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House Sherry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LUCID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GATEWAY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NEWARK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Lucid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LCID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12/05/2023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12/05/2023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43,683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4.36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1,024,542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that have been withheld by the Issuer to satisfy tax withholding and remittance obligations in connection with the vesting of restricted stock units reported on Forms 4 filed on July 27, 2021, June 8, 2022 and September 12, 2023.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Uy, as attorney-in-fact for Sherry House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12/07/2023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2887" TargetMode="External"/><Relationship Id="rId4" Type="http://schemas.openxmlformats.org/officeDocument/2006/relationships/hyperlink" Target="http://www.sec.gov/cgi-bin/browse-edgar?action=getcompany&amp;CIK=000181121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3287</Characters>
  <CharactersWithSpaces>3832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