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by: Lucid Group, Inc.</w:t>
      </w:r>
    </w:p>
    <w:p>
      <w:pPr>
        <w:spacing w:after="0" w:line="9"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Pursuant to Rule 433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on Form S-3: No. 333-295033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836295</wp:posOffset>
            </wp:positionH>
            <wp:positionV relativeFrom="paragraph">
              <wp:posOffset>160020</wp:posOffset>
            </wp:positionV>
            <wp:extent cx="543496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34965" cy="257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Lucid Group, Inc. Announces Registered Public Offering of Common Stock; Total Raise of Approximately $1.05 Billion with Previously Announced Investments from Uber and PIF</w:t>
      </w:r>
    </w:p>
    <w:p>
      <w:pPr>
        <w:spacing w:after="0" w:line="157"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Lucid prices its $300 million registered offering of common stock</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Uber to increase its total investments in Lucid to $500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Ayar Third Investment Company, an affiliate of the Public Investment Fund, to purchase $550 million of Lucid’s convertible preferred stock</w:t>
      </w:r>
    </w:p>
    <w:p>
      <w:pPr>
        <w:spacing w:after="0" w:line="203" w:lineRule="exact"/>
        <w:rPr>
          <w:sz w:val="24"/>
          <w:szCs w:val="24"/>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Newark, Calif. — April 14, 2026 </w:t>
      </w:r>
      <w:r>
        <w:rPr>
          <w:rFonts w:ascii="Times New Roman" w:cs="Times New Roman" w:eastAsia="Times New Roman" w:hAnsi="Times New Roman"/>
          <w:sz w:val="18"/>
          <w:szCs w:val="18"/>
          <w:color w:val="auto"/>
        </w:rPr>
        <w:t>— Lucid Group, Inc. (NASDAQ: LCID), maker of the world’s most advanced electric vehicles,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pricing of its underwritten public offering of its common stock for gross proceeds of $300 million. The underwritten offering is expected to close on or about April 15, 2026, subject to customary closing conditions.</w:t>
      </w:r>
    </w:p>
    <w:p>
      <w:pPr>
        <w:spacing w:after="0" w:line="175"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previously announced earlier today, Uber will increase its purchase commitment to at least 35,000 Lucid vehicles designed exclusively for use as part of Uber’s future global robotaxi service. Uber has also committed to an additional $200 million investment in Lucid, raising Uber’s total investments to $500 million to date. Ayar Third Investment has also committed a new investment of $550 million of convertible preferred stock, further strengthening the strategic partnership between the PIF and Lucid. Together with the gross proceeds from the underwritten offering, the total raise for these transactions is expected to be approximately $1.05 billion.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BofA Securities is acting as the sole underwriter for the underwritten offering.</w:t>
      </w:r>
    </w:p>
    <w:p>
      <w:pPr>
        <w:spacing w:after="0" w:line="225"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underwritten offering is being made pursuant to Lucid’s effective shelf registration statement on Form S-3ASR, including a base prospectus, filed with the Securities and Exchange Commission (the “SEC”), and a prospectus supplement relating to the underwritten offering. Prospective investors should read the prospectus supplement and the accompanying base prospectus in that registration statement and other documents that Lucid has filed or will file with the SEC for information about Lucid and the underwritten offering. You may obtain these documents for free by visiting EDGAR on the SEC’s website at www.sec.gov. Alternatively, copies of the prospectus supplement and the base prospectus may be obtained from BofA Securities, Inc., NC1-022-02-25, 201 North Tryon Street, Charlotte, NC 28255-0001, Attn: Prospectus Department, or by email at dg.prospectus_requests@bofa.com.</w:t>
      </w:r>
    </w:p>
    <w:p>
      <w:pPr>
        <w:spacing w:after="0" w:line="187"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shares of Lucid’s common stock, nor shall there be any sale of these securities in any jurisdiction in which such offer, solicitation or sale would be unlawful prior to registration or qualification under the securities laws of any such jurisdiction.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assembles at its vertically integrated facilities in Arizona and Saudi Arabia, enabling continuous innovation across vehicles, software, and advanced driver assistance and autonomy-ready capabilities.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the closings of and use of proceeds from the underwritten offering and private placements to Uber and Ayar, Uber’s purchase of Lucid Midsize SUV vehicles, Lucid’s expansion into the robotaxi market,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cautionary language and the Risk Factors in our Annual Report on Form 10-K for the year ended December 31, 2025, subsequent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media@lucidmotors.com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333333"/>
        </w:rPr>
        <w:t>This communication contains trademarks, service marks, trade names and copyrights of Lucid Group, Inc. and its subsidiaries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2026-04-14T06:53:05Z</dcterms:created>
  <dcterms:modified xsi:type="dcterms:W3CDTF">2026-04-14T06:53:05Z</dcterms:modified>
</cp:coreProperties>
</file>