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27940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Bach Eric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Product &amp; Chief Engineer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116,606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1,796,136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income tax withholding and remittance obligations in connection with the vesting of restricted stock units reported on a Form 4 filed on July 27, 2021.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Butler, as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Eric Bach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281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2022-08-09T19:45:57Z</dcterms:created>
  <dcterms:modified xsi:type="dcterms:W3CDTF">2022-08-09T19:45:57Z</dcterms:modified>
</cp:coreProperties>
</file>