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937895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6" w:lineRule="exact"/>
        <w:rPr>
          <w:sz w:val="24"/>
          <w:szCs w:val="24"/>
          <w:color w:val="auto"/>
        </w:rPr>
      </w:pPr>
    </w:p>
    <w:p>
      <w:pPr>
        <w:ind w:left="420" w:right="1680" w:hanging="367"/>
        <w:spacing w:after="0" w:line="297"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420" w:hanging="367"/>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ind w:left="420"/>
              <w:spacing w:after="0"/>
              <w:rPr>
                <w:sz w:val="20"/>
                <w:szCs w:val="20"/>
                <w:color w:val="auto"/>
              </w:rPr>
            </w:pPr>
            <w:r>
              <w:rPr>
                <w:rFonts w:ascii="Arial" w:cs="Arial" w:eastAsia="Arial" w:hAnsi="Arial"/>
                <w:sz w:val="18"/>
                <w:szCs w:val="18"/>
                <w:b w:val="1"/>
                <w:bCs w:val="1"/>
                <w:color w:val="auto"/>
              </w:rPr>
              <w:t>For the transition period from</w:t>
            </w:r>
          </w:p>
        </w:tc>
        <w:tc>
          <w:tcPr>
            <w:tcW w:w="9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34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3340" w:type="dxa"/>
            <w:vAlign w:val="bottom"/>
          </w:tcPr>
          <w:p>
            <w:pPr>
              <w:spacing w:after="0"/>
              <w:rPr>
                <w:sz w:val="24"/>
                <w:szCs w:val="24"/>
                <w:color w:val="auto"/>
              </w:rPr>
            </w:pPr>
          </w:p>
        </w:tc>
        <w:tc>
          <w:tcPr>
            <w:tcW w:w="4340" w:type="dxa"/>
            <w:vAlign w:val="bottom"/>
            <w:gridSpan w:val="2"/>
          </w:tcPr>
          <w:p>
            <w:pPr>
              <w:jc w:val="center"/>
              <w:ind w:left="159"/>
              <w:spacing w:after="0"/>
              <w:rPr>
                <w:sz w:val="20"/>
                <w:szCs w:val="20"/>
                <w:color w:val="auto"/>
              </w:rPr>
            </w:pPr>
            <w:r>
              <w:rPr>
                <w:rFonts w:ascii="Arial" w:cs="Arial" w:eastAsia="Arial" w:hAnsi="Arial"/>
                <w:sz w:val="18"/>
                <w:szCs w:val="18"/>
                <w:b w:val="1"/>
                <w:bCs w:val="1"/>
                <w:color w:val="auto"/>
                <w:w w:val="91"/>
              </w:rPr>
              <w:t>Commission File Number: 001-39408</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3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0" w:type="dxa"/>
            <w:vAlign w:val="bottom"/>
          </w:tcPr>
          <w:p>
            <w:pPr>
              <w:jc w:val="center"/>
              <w:ind w:right="604"/>
              <w:spacing w:after="0"/>
              <w:rPr>
                <w:sz w:val="20"/>
                <w:szCs w:val="20"/>
                <w:color w:val="auto"/>
              </w:rPr>
            </w:pPr>
            <w:r>
              <w:rPr>
                <w:rFonts w:ascii="Arial" w:cs="Arial" w:eastAsia="Arial" w:hAnsi="Arial"/>
                <w:sz w:val="32"/>
                <w:szCs w:val="32"/>
                <w:b w:val="1"/>
                <w:bCs w:val="1"/>
                <w:color w:val="auto"/>
                <w:w w:val="94"/>
              </w:rPr>
              <w:t>Lucid Group, Inc.</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40" w:type="dxa"/>
            <w:vAlign w:val="bottom"/>
          </w:tcPr>
          <w:p>
            <w:pPr>
              <w:spacing w:after="0"/>
              <w:rPr>
                <w:sz w:val="22"/>
                <w:szCs w:val="22"/>
                <w:color w:val="auto"/>
              </w:rPr>
            </w:pPr>
          </w:p>
        </w:tc>
        <w:tc>
          <w:tcPr>
            <w:tcW w:w="4340" w:type="dxa"/>
            <w:vAlign w:val="bottom"/>
            <w:gridSpan w:val="2"/>
          </w:tcPr>
          <w:p>
            <w:pPr>
              <w:jc w:val="center"/>
              <w:ind w:left="159"/>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6"/>
        </w:trPr>
        <w:tc>
          <w:tcPr>
            <w:tcW w:w="3340" w:type="dxa"/>
            <w:vAlign w:val="bottom"/>
          </w:tcPr>
          <w:p>
            <w:pPr>
              <w:jc w:val="center"/>
              <w:ind w:left="1399"/>
              <w:spacing w:after="0"/>
              <w:rPr>
                <w:sz w:val="20"/>
                <w:szCs w:val="20"/>
                <w:color w:val="auto"/>
              </w:rPr>
            </w:pPr>
            <w:r>
              <w:rPr>
                <w:rFonts w:ascii="Arial" w:cs="Arial" w:eastAsia="Arial" w:hAnsi="Arial"/>
                <w:sz w:val="18"/>
                <w:szCs w:val="18"/>
                <w:b w:val="1"/>
                <w:bCs w:val="1"/>
                <w:color w:val="auto"/>
                <w:w w:val="93"/>
              </w:rPr>
              <w:t>Delaware</w:t>
            </w:r>
          </w:p>
        </w:tc>
        <w:tc>
          <w:tcPr>
            <w:tcW w:w="940" w:type="dxa"/>
            <w:vAlign w:val="bottom"/>
          </w:tcPr>
          <w:p>
            <w:pPr>
              <w:spacing w:after="0"/>
              <w:rPr>
                <w:sz w:val="24"/>
                <w:szCs w:val="24"/>
                <w:color w:val="auto"/>
              </w:rPr>
            </w:pPr>
          </w:p>
        </w:tc>
        <w:tc>
          <w:tcPr>
            <w:tcW w:w="3400" w:type="dxa"/>
            <w:vAlign w:val="bottom"/>
          </w:tcPr>
          <w:p>
            <w:pPr>
              <w:jc w:val="right"/>
              <w:spacing w:after="0"/>
              <w:rPr>
                <w:sz w:val="20"/>
                <w:szCs w:val="20"/>
                <w:color w:val="auto"/>
              </w:rPr>
            </w:pPr>
            <w:r>
              <w:rPr>
                <w:rFonts w:ascii="Arial" w:cs="Arial" w:eastAsia="Arial" w:hAnsi="Arial"/>
                <w:sz w:val="18"/>
                <w:szCs w:val="18"/>
                <w:b w:val="1"/>
                <w:bCs w:val="1"/>
                <w:color w:val="auto"/>
              </w:rPr>
              <w:t>85-0891392</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4280" w:type="dxa"/>
            <w:vAlign w:val="bottom"/>
            <w:gridSpan w:val="2"/>
          </w:tcPr>
          <w:p>
            <w:pPr>
              <w:jc w:val="center"/>
              <w:ind w:left="459"/>
              <w:spacing w:after="0"/>
              <w:rPr>
                <w:sz w:val="20"/>
                <w:szCs w:val="20"/>
                <w:color w:val="auto"/>
              </w:rPr>
            </w:pPr>
            <w:r>
              <w:rPr>
                <w:rFonts w:ascii="Arial" w:cs="Arial" w:eastAsia="Arial" w:hAnsi="Arial"/>
                <w:sz w:val="14"/>
                <w:szCs w:val="14"/>
                <w:b w:val="1"/>
                <w:bCs w:val="1"/>
                <w:i w:val="1"/>
                <w:iCs w:val="1"/>
                <w:color w:val="auto"/>
                <w:w w:val="90"/>
              </w:rPr>
              <w:t>(State or other jurisdiction of incorporation or organization)</w:t>
            </w:r>
          </w:p>
        </w:tc>
        <w:tc>
          <w:tcPr>
            <w:tcW w:w="6740" w:type="dxa"/>
            <w:vAlign w:val="bottom"/>
            <w:gridSpan w:val="2"/>
          </w:tcPr>
          <w:p>
            <w:pPr>
              <w:jc w:val="center"/>
              <w:ind w:right="759"/>
              <w:spacing w:after="0"/>
              <w:rPr>
                <w:sz w:val="20"/>
                <w:szCs w:val="20"/>
                <w:color w:val="auto"/>
              </w:rPr>
            </w:pPr>
            <w:r>
              <w:rPr>
                <w:rFonts w:ascii="Arial" w:cs="Arial" w:eastAsia="Arial" w:hAnsi="Arial"/>
                <w:sz w:val="14"/>
                <w:szCs w:val="14"/>
                <w:b w:val="1"/>
                <w:bCs w:val="1"/>
                <w:i w:val="1"/>
                <w:iCs w:val="1"/>
                <w:color w:val="auto"/>
                <w:w w:val="93"/>
              </w:rPr>
              <w:t>(I.R.S. Employer Identification No.)</w:t>
            </w:r>
          </w:p>
        </w:tc>
        <w:tc>
          <w:tcPr>
            <w:tcW w:w="0" w:type="dxa"/>
            <w:vAlign w:val="bottom"/>
          </w:tcPr>
          <w:p>
            <w:pPr>
              <w:spacing w:after="0"/>
              <w:rPr>
                <w:sz w:val="1"/>
                <w:szCs w:val="1"/>
                <w:color w:val="auto"/>
              </w:rPr>
            </w:pPr>
          </w:p>
        </w:tc>
      </w:tr>
      <w:tr>
        <w:trPr>
          <w:trHeight w:val="452"/>
        </w:trPr>
        <w:tc>
          <w:tcPr>
            <w:tcW w:w="3340" w:type="dxa"/>
            <w:vAlign w:val="bottom"/>
          </w:tcPr>
          <w:p>
            <w:pPr>
              <w:spacing w:after="0"/>
              <w:rPr>
                <w:sz w:val="24"/>
                <w:szCs w:val="24"/>
                <w:color w:val="auto"/>
              </w:rPr>
            </w:pPr>
          </w:p>
        </w:tc>
        <w:tc>
          <w:tcPr>
            <w:tcW w:w="4340" w:type="dxa"/>
            <w:vAlign w:val="bottom"/>
            <w:gridSpan w:val="2"/>
          </w:tcPr>
          <w:p>
            <w:pPr>
              <w:jc w:val="center"/>
              <w:ind w:left="139"/>
              <w:spacing w:after="0"/>
              <w:rPr>
                <w:sz w:val="20"/>
                <w:szCs w:val="20"/>
                <w:color w:val="auto"/>
              </w:rPr>
            </w:pPr>
            <w:r>
              <w:rPr>
                <w:rFonts w:ascii="Arial" w:cs="Arial" w:eastAsia="Arial" w:hAnsi="Arial"/>
                <w:sz w:val="18"/>
                <w:szCs w:val="18"/>
                <w:b w:val="1"/>
                <w:bCs w:val="1"/>
                <w:color w:val="auto"/>
                <w:w w:val="92"/>
              </w:rPr>
              <w:t>7373 Gateway Boulevard, Newark, CA 94560</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340" w:type="dxa"/>
            <w:vAlign w:val="bottom"/>
          </w:tcPr>
          <w:p>
            <w:pPr>
              <w:spacing w:after="0"/>
              <w:rPr>
                <w:sz w:val="15"/>
                <w:szCs w:val="15"/>
                <w:color w:val="auto"/>
              </w:rPr>
            </w:pPr>
          </w:p>
        </w:tc>
        <w:tc>
          <w:tcPr>
            <w:tcW w:w="4340" w:type="dxa"/>
            <w:vAlign w:val="bottom"/>
            <w:gridSpan w:val="2"/>
          </w:tcPr>
          <w:p>
            <w:pPr>
              <w:jc w:val="center"/>
              <w:ind w:left="159"/>
              <w:spacing w:after="0"/>
              <w:rPr>
                <w:sz w:val="20"/>
                <w:szCs w:val="20"/>
                <w:color w:val="auto"/>
              </w:rPr>
            </w:pPr>
            <w:r>
              <w:rPr>
                <w:rFonts w:ascii="Arial" w:cs="Arial" w:eastAsia="Arial" w:hAnsi="Arial"/>
                <w:sz w:val="14"/>
                <w:szCs w:val="14"/>
                <w:b w:val="1"/>
                <w:bCs w:val="1"/>
                <w:i w:val="1"/>
                <w:iCs w:val="1"/>
                <w:color w:val="auto"/>
                <w:w w:val="88"/>
              </w:rPr>
              <w:t>(Address of principal executive offices) (Zip code)</w:t>
            </w: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3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0" w:type="dxa"/>
            <w:vAlign w:val="bottom"/>
          </w:tcPr>
          <w:p>
            <w:pPr>
              <w:jc w:val="center"/>
              <w:ind w:right="624"/>
              <w:spacing w:after="0"/>
              <w:rPr>
                <w:sz w:val="20"/>
                <w:szCs w:val="20"/>
                <w:color w:val="auto"/>
              </w:rPr>
            </w:pPr>
            <w:r>
              <w:rPr>
                <w:rFonts w:ascii="Arial" w:cs="Arial" w:eastAsia="Arial" w:hAnsi="Arial"/>
                <w:sz w:val="18"/>
                <w:szCs w:val="18"/>
                <w:b w:val="1"/>
                <w:bCs w:val="1"/>
                <w:color w:val="auto"/>
                <w:w w:val="90"/>
              </w:rPr>
              <w:t>(510) 648-3553</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340" w:type="dxa"/>
            <w:vAlign w:val="bottom"/>
          </w:tcPr>
          <w:p>
            <w:pPr>
              <w:spacing w:after="0"/>
              <w:rPr>
                <w:sz w:val="15"/>
                <w:szCs w:val="15"/>
                <w:color w:val="auto"/>
              </w:rPr>
            </w:pPr>
          </w:p>
        </w:tc>
        <w:tc>
          <w:tcPr>
            <w:tcW w:w="4340" w:type="dxa"/>
            <w:vAlign w:val="bottom"/>
            <w:gridSpan w:val="2"/>
          </w:tcPr>
          <w:p>
            <w:pPr>
              <w:jc w:val="center"/>
              <w:ind w:left="139"/>
              <w:spacing w:after="0"/>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94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0"/>
        </w:trPr>
        <w:tc>
          <w:tcPr>
            <w:tcW w:w="3340" w:type="dxa"/>
            <w:vAlign w:val="bottom"/>
          </w:tcPr>
          <w:p>
            <w:pPr>
              <w:jc w:val="center"/>
              <w:ind w:left="1139"/>
              <w:spacing w:after="0"/>
              <w:rPr>
                <w:sz w:val="20"/>
                <w:szCs w:val="20"/>
                <w:color w:val="auto"/>
              </w:rPr>
            </w:pPr>
            <w:r>
              <w:rPr>
                <w:rFonts w:ascii="Arial" w:cs="Arial" w:eastAsia="Arial" w:hAnsi="Arial"/>
                <w:sz w:val="18"/>
                <w:szCs w:val="18"/>
                <w:b w:val="1"/>
                <w:bCs w:val="1"/>
                <w:color w:val="auto"/>
                <w:w w:val="87"/>
              </w:rPr>
              <w:t>Title of each class</w:t>
            </w:r>
          </w:p>
        </w:tc>
        <w:tc>
          <w:tcPr>
            <w:tcW w:w="94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45"/>
        </w:trPr>
        <w:tc>
          <w:tcPr>
            <w:tcW w:w="4280" w:type="dxa"/>
            <w:vAlign w:val="bottom"/>
            <w:gridSpan w:val="2"/>
          </w:tcPr>
          <w:p>
            <w:pPr>
              <w:jc w:val="center"/>
              <w:ind w:left="179"/>
              <w:spacing w:after="0"/>
              <w:rPr>
                <w:sz w:val="20"/>
                <w:szCs w:val="20"/>
                <w:color w:val="auto"/>
              </w:rPr>
            </w:pPr>
            <w:r>
              <w:rPr>
                <w:rFonts w:ascii="Arial" w:cs="Arial" w:eastAsia="Arial" w:hAnsi="Arial"/>
                <w:sz w:val="14"/>
                <w:szCs w:val="14"/>
                <w:color w:val="auto"/>
                <w:w w:val="92"/>
              </w:rPr>
              <w:t>Class A Common Stock, $0.0001 par value per share</w:t>
            </w:r>
          </w:p>
        </w:tc>
        <w:tc>
          <w:tcPr>
            <w:tcW w:w="3400" w:type="dxa"/>
            <w:vAlign w:val="bottom"/>
            <w:vMerge w:val="restart"/>
          </w:tcPr>
          <w:p>
            <w:pPr>
              <w:jc w:val="center"/>
              <w:spacing w:after="0"/>
              <w:rPr>
                <w:sz w:val="20"/>
                <w:szCs w:val="20"/>
                <w:color w:val="auto"/>
              </w:rPr>
            </w:pPr>
            <w:r>
              <w:rPr>
                <w:rFonts w:ascii="Arial" w:cs="Arial" w:eastAsia="Arial" w:hAnsi="Arial"/>
                <w:sz w:val="14"/>
                <w:szCs w:val="14"/>
                <w:color w:val="auto"/>
              </w:rPr>
              <w:t>LCID</w:t>
            </w:r>
          </w:p>
        </w:tc>
        <w:tc>
          <w:tcPr>
            <w:tcW w:w="3340" w:type="dxa"/>
            <w:vAlign w:val="bottom"/>
            <w:vMerge w:val="restart"/>
          </w:tcPr>
          <w:p>
            <w:pPr>
              <w:jc w:val="center"/>
              <w:spacing w:after="0"/>
              <w:rPr>
                <w:sz w:val="20"/>
                <w:szCs w:val="20"/>
                <w:color w:val="auto"/>
              </w:rPr>
            </w:pPr>
            <w:r>
              <w:rPr>
                <w:rFonts w:ascii="Arial" w:cs="Arial" w:eastAsia="Arial" w:hAnsi="Arial"/>
                <w:sz w:val="14"/>
                <w:szCs w:val="14"/>
                <w:color w:val="auto"/>
                <w:w w:val="94"/>
              </w:rPr>
              <w:t>The Nasdaq Stock Market LLC</w:t>
            </w:r>
          </w:p>
        </w:tc>
        <w:tc>
          <w:tcPr>
            <w:tcW w:w="0" w:type="dxa"/>
            <w:vAlign w:val="bottom"/>
          </w:tcPr>
          <w:p>
            <w:pPr>
              <w:spacing w:after="0"/>
              <w:rPr>
                <w:sz w:val="1"/>
                <w:szCs w:val="1"/>
                <w:color w:val="auto"/>
              </w:rPr>
            </w:pPr>
          </w:p>
        </w:tc>
      </w:tr>
      <w:tr>
        <w:trPr>
          <w:trHeight w:val="81"/>
        </w:trPr>
        <w:tc>
          <w:tcPr>
            <w:tcW w:w="3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60" w:lineRule="exact"/>
        <w:rPr>
          <w:sz w:val="24"/>
          <w:szCs w:val="24"/>
          <w:color w:val="auto"/>
        </w:rPr>
      </w:pPr>
    </w:p>
    <w:p>
      <w:pPr>
        <w:ind w:right="20"/>
        <w:spacing w:after="0" w:line="31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39" w:lineRule="exact"/>
        <w:rPr>
          <w:sz w:val="24"/>
          <w:szCs w:val="24"/>
          <w:color w:val="auto"/>
        </w:rPr>
      </w:pPr>
    </w:p>
    <w:p>
      <w:pPr>
        <w:spacing w:after="0" w:line="29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o No</w:t>
      </w:r>
    </w:p>
    <w:p>
      <w:pPr>
        <w:spacing w:after="0" w:line="52" w:lineRule="exact"/>
        <w:rPr>
          <w:sz w:val="24"/>
          <w:szCs w:val="24"/>
          <w:color w:val="auto"/>
        </w:rPr>
      </w:pPr>
    </w:p>
    <w:p>
      <w:pPr>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1180" w:type="dxa"/>
        <w:tblCellMar>
          <w:top w:w="0" w:type="dxa"/>
          <w:left w:w="0" w:type="dxa"/>
          <w:bottom w:w="0" w:type="dxa"/>
          <w:right w:w="0" w:type="dxa"/>
        </w:tblCellMar>
      </w:tblPr>
      <w:tr>
        <w:trPr>
          <w:trHeight w:val="182"/>
        </w:trPr>
        <w:tc>
          <w:tcPr>
            <w:tcW w:w="22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700" w:type="dxa"/>
            <w:vAlign w:val="bottom"/>
            <w:vMerge w:val="restart"/>
          </w:tcPr>
          <w:p>
            <w:pPr>
              <w:jc w:val="right"/>
              <w:ind w:right="688"/>
              <w:spacing w:after="0"/>
              <w:rPr>
                <w:sz w:val="20"/>
                <w:szCs w:val="20"/>
                <w:color w:val="auto"/>
              </w:rPr>
            </w:pPr>
            <w:r>
              <w:rPr>
                <w:rFonts w:ascii="Arial" w:cs="Arial" w:eastAsia="Arial" w:hAnsi="Arial"/>
                <w:sz w:val="14"/>
                <w:szCs w:val="14"/>
                <w:color w:val="auto"/>
              </w:rPr>
              <w:t>x</w:t>
            </w:r>
          </w:p>
        </w:tc>
        <w:tc>
          <w:tcPr>
            <w:tcW w:w="3440" w:type="dxa"/>
            <w:vAlign w:val="bottom"/>
            <w:vMerge w:val="restart"/>
          </w:tcPr>
          <w:p>
            <w:pPr>
              <w:ind w:left="760"/>
              <w:spacing w:after="0"/>
              <w:rPr>
                <w:sz w:val="20"/>
                <w:szCs w:val="20"/>
                <w:color w:val="auto"/>
              </w:rPr>
            </w:pPr>
            <w:r>
              <w:rPr>
                <w:rFonts w:ascii="Arial" w:cs="Arial" w:eastAsia="Arial" w:hAnsi="Arial"/>
                <w:sz w:val="14"/>
                <w:szCs w:val="14"/>
                <w:color w:val="auto"/>
              </w:rPr>
              <w:t>Accelerated Filer</w:t>
            </w:r>
          </w:p>
        </w:tc>
        <w:tc>
          <w:tcPr>
            <w:tcW w:w="1060" w:type="dxa"/>
            <w:vAlign w:val="bottom"/>
            <w:vMerge w:val="restart"/>
          </w:tcPr>
          <w:p>
            <w:pPr>
              <w:ind w:left="980"/>
              <w:spacing w:after="0"/>
              <w:rPr>
                <w:sz w:val="20"/>
                <w:szCs w:val="20"/>
                <w:color w:val="auto"/>
              </w:rPr>
            </w:pPr>
            <w:r>
              <w:rPr>
                <w:rFonts w:ascii="Arial" w:cs="Arial" w:eastAsia="Arial" w:hAnsi="Arial"/>
                <w:sz w:val="14"/>
                <w:szCs w:val="14"/>
                <w:color w:val="auto"/>
                <w:w w:val="76"/>
              </w:rPr>
              <w:t>o</w:t>
            </w:r>
          </w:p>
        </w:tc>
        <w:tc>
          <w:tcPr>
            <w:tcW w:w="0" w:type="dxa"/>
            <w:vAlign w:val="bottom"/>
          </w:tcPr>
          <w:p>
            <w:pPr>
              <w:spacing w:after="0"/>
              <w:rPr>
                <w:sz w:val="1"/>
                <w:szCs w:val="1"/>
                <w:color w:val="auto"/>
              </w:rPr>
            </w:pPr>
          </w:p>
        </w:tc>
      </w:tr>
      <w:tr>
        <w:trPr>
          <w:trHeight w:val="81"/>
        </w:trPr>
        <w:tc>
          <w:tcPr>
            <w:tcW w:w="224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34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2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34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224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1700" w:type="dxa"/>
            <w:vAlign w:val="bottom"/>
          </w:tcPr>
          <w:p>
            <w:pPr>
              <w:jc w:val="right"/>
              <w:ind w:right="688"/>
              <w:spacing w:after="0"/>
              <w:rPr>
                <w:sz w:val="20"/>
                <w:szCs w:val="20"/>
                <w:color w:val="auto"/>
              </w:rPr>
            </w:pPr>
            <w:r>
              <w:rPr>
                <w:rFonts w:ascii="Arial" w:cs="Arial" w:eastAsia="Arial" w:hAnsi="Arial"/>
                <w:sz w:val="14"/>
                <w:szCs w:val="14"/>
                <w:color w:val="auto"/>
              </w:rPr>
              <w:t>o</w:t>
            </w:r>
          </w:p>
        </w:tc>
        <w:tc>
          <w:tcPr>
            <w:tcW w:w="3440" w:type="dxa"/>
            <w:vAlign w:val="bottom"/>
          </w:tcPr>
          <w:p>
            <w:pPr>
              <w:ind w:left="800"/>
              <w:spacing w:after="0"/>
              <w:rPr>
                <w:sz w:val="20"/>
                <w:szCs w:val="20"/>
                <w:color w:val="auto"/>
              </w:rPr>
            </w:pPr>
            <w:r>
              <w:rPr>
                <w:rFonts w:ascii="Arial" w:cs="Arial" w:eastAsia="Arial" w:hAnsi="Arial"/>
                <w:sz w:val="14"/>
                <w:szCs w:val="14"/>
                <w:color w:val="auto"/>
              </w:rPr>
              <w:t>Smaller Reporting Company</w:t>
            </w:r>
          </w:p>
        </w:tc>
        <w:tc>
          <w:tcPr>
            <w:tcW w:w="1060" w:type="dxa"/>
            <w:vAlign w:val="bottom"/>
          </w:tcPr>
          <w:p>
            <w:pPr>
              <w:ind w:left="980"/>
              <w:spacing w:after="0"/>
              <w:rPr>
                <w:sz w:val="20"/>
                <w:szCs w:val="20"/>
                <w:color w:val="auto"/>
              </w:rPr>
            </w:pPr>
            <w:r>
              <w:rPr>
                <w:rFonts w:ascii="Arial" w:cs="Arial" w:eastAsia="Arial" w:hAnsi="Arial"/>
                <w:sz w:val="14"/>
                <w:szCs w:val="14"/>
                <w:color w:val="auto"/>
                <w:w w:val="76"/>
              </w:rPr>
              <w:t>o</w:t>
            </w:r>
          </w:p>
        </w:tc>
        <w:tc>
          <w:tcPr>
            <w:tcW w:w="0" w:type="dxa"/>
            <w:vAlign w:val="bottom"/>
          </w:tcPr>
          <w:p>
            <w:pPr>
              <w:spacing w:after="0"/>
              <w:rPr>
                <w:sz w:val="1"/>
                <w:szCs w:val="1"/>
                <w:color w:val="auto"/>
              </w:rPr>
            </w:pPr>
          </w:p>
        </w:tc>
      </w:tr>
      <w:tr>
        <w:trPr>
          <w:trHeight w:val="337"/>
        </w:trPr>
        <w:tc>
          <w:tcPr>
            <w:tcW w:w="2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40" w:type="dxa"/>
            <w:vAlign w:val="bottom"/>
          </w:tcPr>
          <w:p>
            <w:pPr>
              <w:ind w:left="800"/>
              <w:spacing w:after="0"/>
              <w:rPr>
                <w:sz w:val="20"/>
                <w:szCs w:val="20"/>
                <w:color w:val="auto"/>
              </w:rPr>
            </w:pPr>
            <w:r>
              <w:rPr>
                <w:rFonts w:ascii="Arial" w:cs="Arial" w:eastAsia="Arial" w:hAnsi="Arial"/>
                <w:sz w:val="14"/>
                <w:szCs w:val="14"/>
                <w:color w:val="auto"/>
              </w:rPr>
              <w:t>Emerging Growth Company</w:t>
            </w:r>
          </w:p>
        </w:tc>
        <w:tc>
          <w:tcPr>
            <w:tcW w:w="1060" w:type="dxa"/>
            <w:vAlign w:val="bottom"/>
          </w:tcPr>
          <w:p>
            <w:pPr>
              <w:ind w:left="980"/>
              <w:spacing w:after="0"/>
              <w:rPr>
                <w:sz w:val="20"/>
                <w:szCs w:val="20"/>
                <w:color w:val="auto"/>
              </w:rPr>
            </w:pPr>
            <w:r>
              <w:rPr>
                <w:rFonts w:ascii="Arial" w:cs="Arial" w:eastAsia="Arial" w:hAnsi="Arial"/>
                <w:sz w:val="14"/>
                <w:szCs w:val="14"/>
                <w:color w:val="auto"/>
                <w:w w:val="76"/>
              </w:rPr>
              <w:t>o</w:t>
            </w:r>
          </w:p>
        </w:tc>
        <w:tc>
          <w:tcPr>
            <w:tcW w:w="0" w:type="dxa"/>
            <w:vAlign w:val="bottom"/>
          </w:tcPr>
          <w:p>
            <w:pPr>
              <w:spacing w:after="0"/>
              <w:rPr>
                <w:sz w:val="1"/>
                <w:szCs w:val="1"/>
                <w:color w:val="auto"/>
              </w:rPr>
            </w:pPr>
          </w:p>
        </w:tc>
      </w:tr>
    </w:tbl>
    <w:p>
      <w:pPr>
        <w:spacing w:after="0" w:line="182" w:lineRule="exact"/>
        <w:rPr>
          <w:sz w:val="24"/>
          <w:szCs w:val="24"/>
          <w:color w:val="auto"/>
        </w:rPr>
      </w:pPr>
    </w:p>
    <w:p>
      <w:pPr>
        <w:spacing w:after="0" w:line="31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3" w:lineRule="exact"/>
        <w:rPr>
          <w:sz w:val="24"/>
          <w:szCs w:val="24"/>
          <w:color w:val="auto"/>
        </w:rPr>
      </w:pPr>
    </w:p>
    <w:p>
      <w:pPr>
        <w:ind w:right="3840"/>
        <w:spacing w:after="0" w:line="414" w:lineRule="auto"/>
        <w:rPr>
          <w:sz w:val="20"/>
          <w:szCs w:val="20"/>
          <w:color w:val="auto"/>
        </w:rPr>
      </w:pPr>
      <w:r>
        <w:rPr>
          <w:rFonts w:ascii="Arial" w:cs="Arial" w:eastAsia="Arial" w:hAnsi="Arial"/>
          <w:sz w:val="14"/>
          <w:szCs w:val="14"/>
          <w:color w:val="auto"/>
        </w:rPr>
        <w:t>Indicate by check mark whether the registrant is a shell company (as defined in Rule 12b-2 of the Exchange Act). o Yes x No Number of shares of the registrant’s common stock outstanding at November 2, 2022: 1,680,431,090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975360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1"/>
          </w:tcPr>
          <w:p>
            <w:pPr>
              <w:jc w:val="center"/>
              <w:ind w:right="2080"/>
              <w:spacing w:after="0"/>
              <w:rPr>
                <w:sz w:val="20"/>
                <w:szCs w:val="20"/>
                <w:color w:val="auto"/>
              </w:rPr>
            </w:pPr>
            <w:r>
              <w:rPr>
                <w:rFonts w:ascii="Arial" w:cs="Arial" w:eastAsia="Arial" w:hAnsi="Arial"/>
                <w:sz w:val="18"/>
                <w:szCs w:val="18"/>
                <w:b w:val="1"/>
                <w:bCs w:val="1"/>
                <w:color w:val="auto"/>
              </w:rPr>
              <w:t>INDEX TO FORM 10-Q</w:t>
            </w: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9280" w:type="dxa"/>
            <w:vAlign w:val="bottom"/>
            <w:gridSpan w:val="20"/>
            <w:vMerge w:val="restart"/>
          </w:tcPr>
          <w:p>
            <w:pPr>
              <w:spacing w:after="0"/>
              <w:rPr>
                <w:sz w:val="20"/>
                <w:szCs w:val="20"/>
                <w:color w:val="auto"/>
              </w:rPr>
            </w:pPr>
            <w:r>
              <w:rPr>
                <w:rFonts w:ascii="Arial" w:cs="Arial" w:eastAsia="Arial" w:hAnsi="Arial"/>
                <w:sz w:val="18"/>
                <w:szCs w:val="18"/>
                <w:color w:val="0E32E1"/>
              </w:rPr>
              <w:t>PART I. FINANCIAL INFORMATION</w:t>
            </w: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80" w:type="dxa"/>
            <w:vAlign w:val="bottom"/>
            <w:gridSpan w:val="20"/>
            <w:vMerge w:val="continue"/>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360" w:type="dxa"/>
            <w:vAlign w:val="bottom"/>
            <w:tcBorders>
              <w:right w:val="single" w:sz="8" w:color="0E32E1"/>
            </w:tcBorders>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140" w:type="dxa"/>
            <w:vAlign w:val="bottom"/>
            <w:tcBorders>
              <w:bottom w:val="single" w:sz="8" w:color="0E32E1"/>
            </w:tcBorders>
            <w:gridSpan w:val="9"/>
          </w:tcPr>
          <w:p>
            <w:pPr>
              <w:spacing w:after="0"/>
              <w:rPr>
                <w:sz w:val="20"/>
                <w:szCs w:val="20"/>
                <w:color w:val="auto"/>
              </w:rPr>
            </w:pPr>
            <w:r>
              <w:rPr>
                <w:rFonts w:ascii="Arial" w:cs="Arial" w:eastAsia="Arial" w:hAnsi="Arial"/>
                <w:sz w:val="18"/>
                <w:szCs w:val="18"/>
                <w:color w:val="0E32E1"/>
                <w:w w:val="90"/>
              </w:rPr>
              <w:t>Cautionary Note Regarding Forward-Looking Statements</w:t>
            </w:r>
          </w:p>
        </w:tc>
        <w:tc>
          <w:tcPr>
            <w:tcW w:w="4180" w:type="dxa"/>
            <w:vAlign w:val="bottom"/>
            <w:gridSpan w:val="10"/>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242424"/>
              </w:rPr>
              <w:t>3</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Borders>
              <w:bottom w:val="single" w:sz="8" w:color="0E32E1"/>
            </w:tcBorders>
            <w:gridSpan w:val="6"/>
          </w:tcPr>
          <w:p>
            <w:pPr>
              <w:spacing w:after="0"/>
              <w:rPr>
                <w:sz w:val="20"/>
                <w:szCs w:val="20"/>
                <w:color w:val="auto"/>
              </w:rPr>
            </w:pPr>
            <w:r>
              <w:rPr>
                <w:rFonts w:ascii="Arial" w:cs="Arial" w:eastAsia="Arial" w:hAnsi="Arial"/>
                <w:sz w:val="18"/>
                <w:szCs w:val="18"/>
                <w:color w:val="0E32E1"/>
                <w:w w:val="87"/>
              </w:rPr>
              <w:t>Frequently Used Terms</w:t>
            </w:r>
          </w:p>
        </w:tc>
        <w:tc>
          <w:tcPr>
            <w:tcW w:w="6640" w:type="dxa"/>
            <w:vAlign w:val="bottom"/>
            <w:gridSpan w:val="13"/>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8320" w:type="dxa"/>
            <w:vAlign w:val="bottom"/>
            <w:gridSpan w:val="19"/>
          </w:tcPr>
          <w:p>
            <w:pPr>
              <w:spacing w:after="0"/>
              <w:rPr>
                <w:sz w:val="20"/>
                <w:szCs w:val="20"/>
                <w:color w:val="auto"/>
              </w:rPr>
            </w:pPr>
            <w:r>
              <w:rPr>
                <w:rFonts w:ascii="Arial" w:cs="Arial" w:eastAsia="Arial" w:hAnsi="Arial"/>
                <w:sz w:val="18"/>
                <w:szCs w:val="18"/>
                <w:color w:val="0E32E1"/>
              </w:rPr>
              <w:t>Condensed Consolidated Financial Statements (Unaudited)</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360" w:type="dxa"/>
            <w:vAlign w:val="bottom"/>
            <w:tcBorders>
              <w:right w:val="single" w:sz="8" w:color="0E32E1"/>
            </w:tcBorders>
            <w:shd w:val="clear" w:color="auto" w:fill="0E32E1"/>
          </w:tcPr>
          <w:p>
            <w:pPr>
              <w:spacing w:after="0" w:line="20" w:lineRule="exact"/>
              <w:rPr>
                <w:sz w:val="1"/>
                <w:szCs w:val="1"/>
                <w:color w:val="auto"/>
              </w:rPr>
            </w:pPr>
          </w:p>
        </w:tc>
        <w:tc>
          <w:tcPr>
            <w:tcW w:w="1380" w:type="dxa"/>
            <w:vAlign w:val="bottom"/>
            <w:gridSpan w:val="2"/>
            <w:shd w:val="clear" w:color="auto" w:fill="0E32E1"/>
          </w:tcPr>
          <w:p>
            <w:pPr>
              <w:spacing w:after="0" w:line="20" w:lineRule="exact"/>
              <w:rPr>
                <w:sz w:val="1"/>
                <w:szCs w:val="1"/>
                <w:color w:val="auto"/>
              </w:rPr>
            </w:pPr>
          </w:p>
        </w:tc>
        <w:tc>
          <w:tcPr>
            <w:tcW w:w="1180" w:type="dxa"/>
            <w:vAlign w:val="bottom"/>
            <w:gridSpan w:val="2"/>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320" w:type="dxa"/>
            <w:vAlign w:val="bottom"/>
            <w:gridSpan w:val="19"/>
          </w:tcPr>
          <w:p>
            <w:pPr>
              <w:spacing w:after="0"/>
              <w:rPr>
                <w:sz w:val="20"/>
                <w:szCs w:val="20"/>
                <w:color w:val="auto"/>
              </w:rPr>
            </w:pPr>
            <w:r>
              <w:rPr>
                <w:rFonts w:ascii="Arial" w:cs="Arial" w:eastAsia="Arial" w:hAnsi="Arial"/>
                <w:sz w:val="18"/>
                <w:szCs w:val="18"/>
                <w:color w:val="0E32E1"/>
                <w:w w:val="98"/>
              </w:rPr>
              <w:t>Condensed Consolidated Balance Sheets as of September 30, 2022 and December 31, 2021 (Unaudited)</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360" w:type="dxa"/>
            <w:vAlign w:val="bottom"/>
            <w:tcBorders>
              <w:right w:val="single" w:sz="8" w:color="0E32E1"/>
            </w:tcBorders>
            <w:shd w:val="clear" w:color="auto" w:fill="0E32E1"/>
          </w:tcPr>
          <w:p>
            <w:pPr>
              <w:spacing w:after="0" w:line="20" w:lineRule="exact"/>
              <w:rPr>
                <w:sz w:val="1"/>
                <w:szCs w:val="1"/>
                <w:color w:val="auto"/>
              </w:rPr>
            </w:pPr>
          </w:p>
        </w:tc>
        <w:tc>
          <w:tcPr>
            <w:tcW w:w="1380" w:type="dxa"/>
            <w:vAlign w:val="bottom"/>
            <w:gridSpan w:val="2"/>
            <w:shd w:val="clear" w:color="auto" w:fill="0E32E1"/>
          </w:tcPr>
          <w:p>
            <w:pPr>
              <w:spacing w:after="0" w:line="20" w:lineRule="exact"/>
              <w:rPr>
                <w:sz w:val="1"/>
                <w:szCs w:val="1"/>
                <w:color w:val="auto"/>
              </w:rPr>
            </w:pPr>
          </w:p>
        </w:tc>
        <w:tc>
          <w:tcPr>
            <w:tcW w:w="1280" w:type="dxa"/>
            <w:vAlign w:val="bottom"/>
            <w:gridSpan w:val="3"/>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1120" w:type="dxa"/>
            <w:vAlign w:val="bottom"/>
            <w:shd w:val="clear" w:color="auto" w:fill="0E32E1"/>
          </w:tcPr>
          <w:p>
            <w:pPr>
              <w:spacing w:after="0" w:line="20" w:lineRule="exact"/>
              <w:rPr>
                <w:sz w:val="1"/>
                <w:szCs w:val="1"/>
                <w:color w:val="auto"/>
              </w:rPr>
            </w:pPr>
          </w:p>
        </w:tc>
        <w:tc>
          <w:tcPr>
            <w:tcW w:w="1040" w:type="dxa"/>
            <w:vAlign w:val="bottom"/>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320" w:type="dxa"/>
            <w:vAlign w:val="bottom"/>
            <w:gridSpan w:val="19"/>
          </w:tcPr>
          <w:p>
            <w:pPr>
              <w:spacing w:after="0"/>
              <w:rPr>
                <w:sz w:val="20"/>
                <w:szCs w:val="20"/>
                <w:color w:val="auto"/>
              </w:rPr>
            </w:pPr>
            <w:r>
              <w:rPr>
                <w:rFonts w:ascii="Arial" w:cs="Arial" w:eastAsia="Arial" w:hAnsi="Arial"/>
                <w:sz w:val="18"/>
                <w:szCs w:val="18"/>
                <w:color w:val="0E32E1"/>
                <w:w w:val="89"/>
              </w:rPr>
              <w:t>Condensed Consolidated Statements of Operations and Comprehensive Loss for the Three and Nine Months Ended</w:t>
            </w: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60" w:type="dxa"/>
            <w:vAlign w:val="bottom"/>
            <w:tcBorders>
              <w:top w:val="single" w:sz="8" w:color="0E32E1"/>
              <w:bottom w:val="single" w:sz="8" w:color="0E32E1"/>
            </w:tcBorders>
            <w:gridSpan w:val="8"/>
          </w:tcPr>
          <w:p>
            <w:pPr>
              <w:spacing w:after="0" w:line="156" w:lineRule="exact"/>
              <w:rPr>
                <w:sz w:val="20"/>
                <w:szCs w:val="20"/>
                <w:color w:val="auto"/>
              </w:rPr>
            </w:pPr>
            <w:r>
              <w:rPr>
                <w:rFonts w:ascii="Arial" w:cs="Arial" w:eastAsia="Arial" w:hAnsi="Arial"/>
                <w:sz w:val="18"/>
                <w:szCs w:val="18"/>
                <w:color w:val="0E32E1"/>
                <w:w w:val="88"/>
              </w:rPr>
              <w:t>September 30, 2022 and 2021 (Unaudited)</w:t>
            </w:r>
          </w:p>
        </w:tc>
        <w:tc>
          <w:tcPr>
            <w:tcW w:w="5240" w:type="dxa"/>
            <w:vAlign w:val="bottom"/>
            <w:tcBorders>
              <w:top w:val="single" w:sz="8" w:color="0E32E1"/>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320" w:type="dxa"/>
            <w:vAlign w:val="bottom"/>
            <w:gridSpan w:val="19"/>
          </w:tcPr>
          <w:p>
            <w:pPr>
              <w:spacing w:after="0"/>
              <w:rPr>
                <w:sz w:val="20"/>
                <w:szCs w:val="20"/>
                <w:color w:val="auto"/>
              </w:rPr>
            </w:pPr>
            <w:r>
              <w:rPr>
                <w:rFonts w:ascii="Arial" w:cs="Arial" w:eastAsia="Arial" w:hAnsi="Arial"/>
                <w:sz w:val="18"/>
                <w:szCs w:val="18"/>
                <w:color w:val="0E32E1"/>
                <w:w w:val="95"/>
              </w:rPr>
              <w:t>Condensed Consolidated Statements of Convertible Preferred Stock and Stockholders’ Equity (Deficit) for the</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940" w:type="dxa"/>
            <w:vAlign w:val="bottom"/>
            <w:tcBorders>
              <w:top w:val="single" w:sz="8" w:color="0E32E1"/>
            </w:tcBorders>
            <w:gridSpan w:val="17"/>
          </w:tcPr>
          <w:p>
            <w:pPr>
              <w:spacing w:after="0" w:line="156" w:lineRule="exact"/>
              <w:rPr>
                <w:sz w:val="20"/>
                <w:szCs w:val="20"/>
                <w:color w:val="auto"/>
              </w:rPr>
            </w:pPr>
            <w:r>
              <w:rPr>
                <w:rFonts w:ascii="Arial" w:cs="Arial" w:eastAsia="Arial" w:hAnsi="Arial"/>
                <w:sz w:val="18"/>
                <w:szCs w:val="18"/>
                <w:color w:val="0E32E1"/>
              </w:rPr>
              <w:t>Three and Nine Months Ended September 30, 2022 and 2021 (Unaudited)</w:t>
            </w:r>
          </w:p>
        </w:tc>
        <w:tc>
          <w:tcPr>
            <w:tcW w:w="38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360" w:type="dxa"/>
            <w:vAlign w:val="bottom"/>
            <w:tcBorders>
              <w:right w:val="single" w:sz="8" w:color="0E32E1"/>
            </w:tcBorders>
            <w:shd w:val="clear" w:color="auto" w:fill="0E32E1"/>
          </w:tcPr>
          <w:p>
            <w:pPr>
              <w:spacing w:after="0" w:line="20" w:lineRule="exact"/>
              <w:rPr>
                <w:sz w:val="1"/>
                <w:szCs w:val="1"/>
                <w:color w:val="auto"/>
              </w:rPr>
            </w:pPr>
          </w:p>
        </w:tc>
        <w:tc>
          <w:tcPr>
            <w:tcW w:w="2660" w:type="dxa"/>
            <w:vAlign w:val="bottom"/>
            <w:gridSpan w:val="5"/>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320" w:type="dxa"/>
            <w:vAlign w:val="bottom"/>
            <w:gridSpan w:val="19"/>
          </w:tcPr>
          <w:p>
            <w:pPr>
              <w:spacing w:after="0"/>
              <w:rPr>
                <w:sz w:val="20"/>
                <w:szCs w:val="20"/>
                <w:color w:val="auto"/>
              </w:rPr>
            </w:pPr>
            <w:r>
              <w:rPr>
                <w:rFonts w:ascii="Arial" w:cs="Arial" w:eastAsia="Arial" w:hAnsi="Arial"/>
                <w:sz w:val="18"/>
                <w:szCs w:val="18"/>
                <w:color w:val="0E32E1"/>
                <w:w w:val="93"/>
              </w:rPr>
              <w:t>Condensed Consolidated Statements of Cash Flows for the Nine Months Ended September 30, 2022 and 2021</w:t>
            </w: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920" w:type="dxa"/>
            <w:vAlign w:val="bottom"/>
            <w:tcBorders>
              <w:top w:val="single" w:sz="8" w:color="0E32E1"/>
            </w:tcBorders>
            <w:gridSpan w:val="16"/>
          </w:tcPr>
          <w:p>
            <w:pPr>
              <w:spacing w:after="0" w:line="156" w:lineRule="exact"/>
              <w:rPr>
                <w:sz w:val="20"/>
                <w:szCs w:val="20"/>
                <w:color w:val="auto"/>
              </w:rPr>
            </w:pPr>
            <w:r>
              <w:rPr>
                <w:rFonts w:ascii="Arial" w:cs="Arial" w:eastAsia="Arial" w:hAnsi="Arial"/>
                <w:sz w:val="18"/>
                <w:szCs w:val="18"/>
                <w:color w:val="0E32E1"/>
              </w:rPr>
              <w:t>(Unaudited)</w:t>
            </w:r>
          </w:p>
        </w:tc>
        <w:tc>
          <w:tcPr>
            <w:tcW w:w="400" w:type="dxa"/>
            <w:vAlign w:val="bottom"/>
            <w:gridSpan w:val="3"/>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900" w:type="dxa"/>
            <w:vAlign w:val="bottom"/>
            <w:tcBorders>
              <w:bottom w:val="single" w:sz="8" w:color="0E32E1"/>
            </w:tcBorders>
            <w:gridSpan w:val="12"/>
          </w:tcPr>
          <w:p>
            <w:pPr>
              <w:spacing w:after="0"/>
              <w:rPr>
                <w:sz w:val="20"/>
                <w:szCs w:val="20"/>
                <w:color w:val="auto"/>
              </w:rPr>
            </w:pPr>
            <w:r>
              <w:rPr>
                <w:rFonts w:ascii="Arial" w:cs="Arial" w:eastAsia="Arial" w:hAnsi="Arial"/>
                <w:sz w:val="18"/>
                <w:szCs w:val="18"/>
                <w:color w:val="0E32E1"/>
                <w:w w:val="89"/>
              </w:rPr>
              <w:t>Notes to Condensed Consolidated Financial Statements (Unaudited)</w:t>
            </w:r>
          </w:p>
        </w:tc>
        <w:tc>
          <w:tcPr>
            <w:tcW w:w="3420" w:type="dxa"/>
            <w:vAlign w:val="bottom"/>
            <w:gridSpan w:val="7"/>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8320" w:type="dxa"/>
            <w:vAlign w:val="bottom"/>
            <w:gridSpan w:val="19"/>
          </w:tcPr>
          <w:p>
            <w:pPr>
              <w:spacing w:after="0"/>
              <w:rPr>
                <w:sz w:val="20"/>
                <w:szCs w:val="20"/>
                <w:color w:val="auto"/>
              </w:rPr>
            </w:pPr>
            <w:r>
              <w:rPr>
                <w:rFonts w:ascii="Arial" w:cs="Arial" w:eastAsia="Arial" w:hAnsi="Arial"/>
                <w:sz w:val="18"/>
                <w:szCs w:val="18"/>
                <w:color w:val="0E32E1"/>
              </w:rPr>
              <w:t>Management’s Discussion and Analysis of Financial Condition and Results of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6440" w:type="dxa"/>
            <w:vAlign w:val="bottom"/>
            <w:tcBorders>
              <w:top w:val="single" w:sz="8" w:color="0E32E1"/>
            </w:tcBorders>
            <w:gridSpan w:val="14"/>
          </w:tcPr>
          <w:p>
            <w:pPr>
              <w:spacing w:after="0"/>
              <w:rPr>
                <w:sz w:val="20"/>
                <w:szCs w:val="20"/>
                <w:color w:val="auto"/>
              </w:rPr>
            </w:pPr>
            <w:r>
              <w:rPr>
                <w:rFonts w:ascii="Arial" w:cs="Arial" w:eastAsia="Arial" w:hAnsi="Arial"/>
                <w:sz w:val="18"/>
                <w:szCs w:val="18"/>
                <w:color w:val="0E32E1"/>
              </w:rPr>
              <w:t>Quantitative and Qualitative Disclosures About Market Risk</w:t>
            </w:r>
          </w:p>
        </w:tc>
        <w:tc>
          <w:tcPr>
            <w:tcW w:w="1880" w:type="dxa"/>
            <w:vAlign w:val="bottom"/>
            <w:gridSpan w:val="5"/>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4340" w:type="dxa"/>
            <w:vAlign w:val="bottom"/>
            <w:tcBorders>
              <w:top w:val="single" w:sz="8" w:color="0E32E1"/>
            </w:tcBorders>
            <w:gridSpan w:val="11"/>
          </w:tcPr>
          <w:p>
            <w:pPr>
              <w:spacing w:after="0"/>
              <w:rPr>
                <w:sz w:val="20"/>
                <w:szCs w:val="20"/>
                <w:color w:val="auto"/>
              </w:rPr>
            </w:pPr>
            <w:r>
              <w:rPr>
                <w:rFonts w:ascii="Arial" w:cs="Arial" w:eastAsia="Arial" w:hAnsi="Arial"/>
                <w:sz w:val="18"/>
                <w:szCs w:val="18"/>
                <w:color w:val="0E32E1"/>
              </w:rPr>
              <w:t>Control and Procedures</w:t>
            </w:r>
          </w:p>
        </w:tc>
        <w:tc>
          <w:tcPr>
            <w:tcW w:w="3980" w:type="dxa"/>
            <w:vAlign w:val="bottom"/>
            <w:gridSpan w:val="8"/>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360" w:type="dxa"/>
            <w:vAlign w:val="bottom"/>
            <w:tcBorders>
              <w:right w:val="single" w:sz="8" w:color="0E32E1"/>
            </w:tcBorders>
            <w:shd w:val="clear" w:color="auto" w:fill="0E32E1"/>
          </w:tcPr>
          <w:p>
            <w:pPr>
              <w:spacing w:after="0" w:line="20" w:lineRule="exact"/>
              <w:rPr>
                <w:sz w:val="1"/>
                <w:szCs w:val="1"/>
                <w:color w:val="auto"/>
              </w:rPr>
            </w:pPr>
          </w:p>
        </w:tc>
        <w:tc>
          <w:tcPr>
            <w:tcW w:w="664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2640" w:type="dxa"/>
            <w:vAlign w:val="bottom"/>
            <w:tcBorders>
              <w:bottom w:val="single" w:sz="8" w:color="0E32E1"/>
            </w:tcBorders>
            <w:gridSpan w:val="7"/>
          </w:tcPr>
          <w:p>
            <w:pPr>
              <w:spacing w:after="0"/>
              <w:rPr>
                <w:sz w:val="20"/>
                <w:szCs w:val="20"/>
                <w:color w:val="auto"/>
              </w:rPr>
            </w:pPr>
            <w:r>
              <w:rPr>
                <w:rFonts w:ascii="Arial" w:cs="Arial" w:eastAsia="Arial" w:hAnsi="Arial"/>
                <w:sz w:val="18"/>
                <w:szCs w:val="18"/>
                <w:color w:val="0E32E1"/>
                <w:w w:val="97"/>
              </w:rPr>
              <w:t>PART II. OTHER INFORMATION</w:t>
            </w:r>
          </w:p>
        </w:tc>
        <w:tc>
          <w:tcPr>
            <w:tcW w:w="6640" w:type="dxa"/>
            <w:vAlign w:val="bottom"/>
            <w:gridSpan w:val="13"/>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8320" w:type="dxa"/>
            <w:vAlign w:val="bottom"/>
            <w:gridSpan w:val="19"/>
          </w:tcPr>
          <w:p>
            <w:pPr>
              <w:spacing w:after="0"/>
              <w:rPr>
                <w:sz w:val="20"/>
                <w:szCs w:val="20"/>
                <w:color w:val="auto"/>
              </w:rPr>
            </w:pPr>
            <w:r>
              <w:rPr>
                <w:rFonts w:ascii="Arial" w:cs="Arial" w:eastAsia="Arial" w:hAnsi="Arial"/>
                <w:sz w:val="18"/>
                <w:szCs w:val="18"/>
                <w:color w:val="0E32E1"/>
              </w:rPr>
              <w:t>Legal Proceedings</w:t>
            </w:r>
          </w:p>
        </w:tc>
        <w:tc>
          <w:tcPr>
            <w:tcW w:w="800" w:type="dxa"/>
            <w:vAlign w:val="bottom"/>
          </w:tcPr>
          <w:p>
            <w:pPr>
              <w:jc w:val="right"/>
              <w:spacing w:after="0"/>
              <w:rPr>
                <w:sz w:val="20"/>
                <w:szCs w:val="20"/>
                <w:color w:val="auto"/>
              </w:rPr>
            </w:pPr>
            <w:r>
              <w:rPr>
                <w:rFonts w:ascii="Arial" w:cs="Arial" w:eastAsia="Arial" w:hAnsi="Arial"/>
                <w:sz w:val="18"/>
                <w:szCs w:val="18"/>
                <w:color w:val="auto"/>
              </w:rPr>
              <w:t>52</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E32E1"/>
              <w:bottom w:val="single" w:sz="8" w:color="0E32E1"/>
            </w:tcBorders>
            <w:gridSpan w:val="4"/>
          </w:tcPr>
          <w:p>
            <w:pPr>
              <w:spacing w:after="0"/>
              <w:rPr>
                <w:sz w:val="20"/>
                <w:szCs w:val="20"/>
                <w:color w:val="auto"/>
              </w:rPr>
            </w:pPr>
            <w:r>
              <w:rPr>
                <w:rFonts w:ascii="Arial" w:cs="Arial" w:eastAsia="Arial" w:hAnsi="Arial"/>
                <w:sz w:val="18"/>
                <w:szCs w:val="18"/>
                <w:color w:val="0E32E1"/>
                <w:w w:val="87"/>
              </w:rPr>
              <w:t>Risk Factors</w:t>
            </w:r>
          </w:p>
        </w:tc>
        <w:tc>
          <w:tcPr>
            <w:tcW w:w="420" w:type="dxa"/>
            <w:vAlign w:val="bottom"/>
            <w:tcBorders>
              <w:top w:val="single" w:sz="8" w:color="0E32E1"/>
            </w:tcBorders>
          </w:tcPr>
          <w:p>
            <w:pPr>
              <w:spacing w:after="0"/>
              <w:rPr>
                <w:sz w:val="18"/>
                <w:szCs w:val="18"/>
                <w:color w:val="auto"/>
              </w:rPr>
            </w:pPr>
          </w:p>
        </w:tc>
        <w:tc>
          <w:tcPr>
            <w:tcW w:w="7000" w:type="dxa"/>
            <w:vAlign w:val="bottom"/>
            <w:gridSpan w:val="14"/>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E32E1"/>
            </w:tcBorders>
            <w:gridSpan w:val="2"/>
          </w:tcPr>
          <w:p>
            <w:pPr>
              <w:spacing w:after="0"/>
              <w:rPr>
                <w:sz w:val="20"/>
                <w:szCs w:val="20"/>
                <w:color w:val="auto"/>
              </w:rPr>
            </w:pPr>
            <w:r>
              <w:rPr>
                <w:rFonts w:ascii="Arial" w:cs="Arial" w:eastAsia="Arial" w:hAnsi="Arial"/>
                <w:sz w:val="18"/>
                <w:szCs w:val="18"/>
                <w:color w:val="0E32E1"/>
                <w:w w:val="91"/>
              </w:rPr>
              <w:t>Exhibits</w:t>
            </w:r>
          </w:p>
        </w:tc>
        <w:tc>
          <w:tcPr>
            <w:tcW w:w="7720" w:type="dxa"/>
            <w:vAlign w:val="bottom"/>
            <w:gridSpan w:val="17"/>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280" w:type="dxa"/>
            <w:vAlign w:val="bottom"/>
            <w:gridSpan w:val="20"/>
          </w:tcPr>
          <w:p>
            <w:pPr>
              <w:spacing w:after="0"/>
              <w:rPr>
                <w:sz w:val="20"/>
                <w:szCs w:val="20"/>
                <w:color w:val="auto"/>
              </w:rPr>
            </w:pPr>
            <w:r>
              <w:rPr>
                <w:rFonts w:ascii="Arial" w:cs="Arial" w:eastAsia="Arial" w:hAnsi="Arial"/>
                <w:sz w:val="18"/>
                <w:szCs w:val="18"/>
                <w:color w:val="0E32E1"/>
              </w:rPr>
              <w:t>SIGNATURES</w:t>
            </w:r>
          </w:p>
        </w:tc>
        <w:tc>
          <w:tcPr>
            <w:tcW w:w="800" w:type="dxa"/>
            <w:vAlign w:val="bottom"/>
          </w:tcPr>
          <w:p>
            <w:pPr>
              <w:jc w:val="right"/>
              <w:spacing w:after="0"/>
              <w:rPr>
                <w:sz w:val="20"/>
                <w:szCs w:val="20"/>
                <w:color w:val="auto"/>
              </w:rPr>
            </w:pPr>
            <w:r>
              <w:rPr>
                <w:rFonts w:ascii="Arial" w:cs="Arial" w:eastAsia="Arial" w:hAnsi="Arial"/>
                <w:sz w:val="18"/>
                <w:szCs w:val="18"/>
                <w:color w:val="auto"/>
              </w:rPr>
              <w:t>97</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960" w:type="dxa"/>
            <w:vAlign w:val="bottom"/>
            <w:tcBorders>
              <w:top w:val="single" w:sz="8" w:color="0E32E1"/>
            </w:tcBorders>
          </w:tcPr>
          <w:p>
            <w:pPr>
              <w:spacing w:after="0"/>
              <w:rPr>
                <w:sz w:val="24"/>
                <w:szCs w:val="24"/>
                <w:color w:val="auto"/>
              </w:rPr>
            </w:pPr>
          </w:p>
        </w:tc>
        <w:tc>
          <w:tcPr>
            <w:tcW w:w="140" w:type="dxa"/>
            <w:vAlign w:val="bottom"/>
            <w:tcBorders>
              <w:top w:val="single" w:sz="8" w:color="0E32E1"/>
            </w:tcBorders>
          </w:tcPr>
          <w:p>
            <w:pPr>
              <w:spacing w:after="0"/>
              <w:rPr>
                <w:sz w:val="24"/>
                <w:szCs w:val="24"/>
                <w:color w:val="auto"/>
              </w:rPr>
            </w:pPr>
          </w:p>
        </w:tc>
        <w:tc>
          <w:tcPr>
            <w:tcW w:w="4760" w:type="dxa"/>
            <w:vAlign w:val="bottom"/>
            <w:gridSpan w:val="11"/>
          </w:tcPr>
          <w:p>
            <w:pPr>
              <w:jc w:val="right"/>
              <w:ind w:right="22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t>CAUTIONARY NOTE REGARDING FORWARD-LOOKING STATEMENTS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Quarterly Report on Form 10-Q contains statements that express our opinions, expectations, beliefs, plans, objectives, assumptions or projections regarding future events or future results and therefore are, or may be deemed to be, “forward-looking statements” within the meaning of Section 27A of the Securities Act of 1933 (the “Securities Act”), and Section 21E of the Securities and Exchange Act of 1934 (the “Exchange Act”).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They appear in a number of places throughout this Quarterly Report on Form 10-Q and include, but are not limited to, statements regarding our intentions, beliefs or current expectations concerning, among other things, results of operations, financial condition, liquidity, capital expenditures, prospects, growth, production volumes, strategies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energy storage systems and automotive partnerships, manufacturing capabilities and facilities, studio openings, sales channels and strategies, future vehicle programs, expansion and the potential success of our go-to-market strategy, our financial and operating outlook, future market launches and international expansion, including our planned manufacturing facility in Saudi Arabia and related timing and value to Lucid, and our needs for additional financing. Such forward-looking statements are based on available current market material and our current expectations, beliefs and forecasts concerning future developments. Factors that may impact such forward-looking statements include:</w:t>
      </w:r>
    </w:p>
    <w:p>
      <w:pPr>
        <w:spacing w:after="0" w:line="74" w:lineRule="exact"/>
        <w:rPr>
          <w:sz w:val="20"/>
          <w:szCs w:val="20"/>
          <w:color w:val="auto"/>
        </w:rPr>
      </w:pPr>
    </w:p>
    <w:p>
      <w:pPr>
        <w:ind w:left="660" w:right="3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domestic and foreign business, market, financial, political and legal conditions, including the ongoing conflict between Russia and Ukraine;</w:t>
      </w:r>
    </w:p>
    <w:p>
      <w:pPr>
        <w:spacing w:after="0" w:line="62" w:lineRule="exact"/>
        <w:rPr>
          <w:rFonts w:ascii="Arial" w:cs="Arial" w:eastAsia="Arial" w:hAnsi="Arial"/>
          <w:sz w:val="18"/>
          <w:szCs w:val="18"/>
          <w:color w:val="auto"/>
        </w:rPr>
      </w:pPr>
    </w:p>
    <w:p>
      <w:pPr>
        <w:ind w:left="660" w:right="240" w:hanging="328"/>
        <w:spacing w:after="0" w:line="30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prices and availability of commodities, our supply chain, logistics, inventory management and quality control, and our ability to complete the tooling of our manufacturing facilities over time and scale production of the Lucid Air and other vehicles;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uncertainty of our projected financial information;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timing of expected business milestones and commercial product launches;</w:t>
      </w:r>
    </w:p>
    <w:p>
      <w:pPr>
        <w:spacing w:after="0" w:line="117"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expansion of our manufacturing facility, the construction of new manufacturing facilities and the increase of our production capacity;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expenses;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future market adoption of our offerings;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 and the pace and depth of electric vehicle adoption generally on our future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regulatory requirements, governmental incentives and fuel and energy prices;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rapidly innovate;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or maintain partnerships with original equipment manufacturers, vendors and technology providers;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manage our growth and recruit and retain key employees, including our chief executive officer and executive team;</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potential vehicle recalls;</w:t>
      </w:r>
    </w:p>
    <w:p>
      <w:pPr>
        <w:spacing w:after="0" w:line="117"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expand our brand, and capture additional market share, and the risks associated with negative press or reputational harm;</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utilize zero emission vehicle credits and obtain and utilize certain tax and other incentives;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issue equity or equity-linked securities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pay interest and principal on our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changes to vehicle specifications which may impact performance, pricing, and other expectations;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potential litigation, government and regulatory proceedings, investigations and inquiries;</w:t>
      </w:r>
    </w:p>
    <w:p>
      <w:pPr>
        <w:spacing w:after="0" w:line="117"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global COVID-19 pandemic on our supply chain, projected results of operations, financial performance or other financial metrics, or on any of the foregoing risks;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other factors disclosed in this Quarterly Report on Form 10-Q or our other filings with the Securities and Exchange Commission (the “SEC”).</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3" w:name="page4"/>
    <w:bookmarkEnd w:id="3"/>
    <w:p>
      <w:pPr>
        <w:spacing w:after="0" w:line="268" w:lineRule="auto"/>
        <w:rPr>
          <w:sz w:val="20"/>
          <w:szCs w:val="20"/>
          <w:color w:val="auto"/>
        </w:rPr>
      </w:pPr>
      <w:r>
        <w:rPr>
          <w:rFonts w:ascii="Arial" w:cs="Arial" w:eastAsia="Arial" w:hAnsi="Arial"/>
          <w:sz w:val="17"/>
          <w:szCs w:val="17"/>
          <w:color w:val="auto"/>
        </w:rPr>
        <w:t>The forward-looking statements contained in this Quarterly Report on Form 10-Q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II, Item 1A. Should one or more of these risks or uncertainties materialize, or should any of the assumptions prove incorrect, actual results may vary in material respects from those projected in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our expectations, plans or forecasts of future events and views as of the date of this Quarterly Report on Form 10-Q. We anticipate that subsequent events and developments will cause our assessments to change. However, while we may elect to update the forward-looking statements at some point in the future,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Quarterly Report on Form 10-Q.</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Frequently Used Terms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Unless otherwise stated in Item I. Financial Statements and accompanying footnotes, or the context otherwise requires, references in this Quarterly Report on Form 10-Q to: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2009 Plan</w:t>
      </w:r>
      <w:r>
        <w:rPr>
          <w:rFonts w:ascii="Arial" w:cs="Arial" w:eastAsia="Arial" w:hAnsi="Arial"/>
          <w:sz w:val="18"/>
          <w:szCs w:val="18"/>
          <w:color w:val="auto"/>
        </w:rPr>
        <w:t>” are to the Atieva, Inc. 2009 Share Plan duly adopted by the board of directors of Legacy Lucid on December 17,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2014 Plan</w:t>
      </w:r>
      <w:r>
        <w:rPr>
          <w:rFonts w:ascii="Arial" w:cs="Arial" w:eastAsia="Arial" w:hAnsi="Arial"/>
          <w:sz w:val="18"/>
          <w:szCs w:val="18"/>
          <w:color w:val="auto"/>
        </w:rPr>
        <w:t>” are to the Atieva, Inc. 2014 Share Plan duly adopted by the board of directors of Legacy Lucid on May 14, 2014;</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2021 Plan</w:t>
      </w:r>
      <w:r>
        <w:rPr>
          <w:rFonts w:ascii="Arial" w:cs="Arial" w:eastAsia="Arial" w:hAnsi="Arial"/>
          <w:sz w:val="18"/>
          <w:szCs w:val="18"/>
          <w:color w:val="auto"/>
        </w:rPr>
        <w:t>” are to the Atieva, Inc. 2021 Stock Incentive Plan duly adopted by the compensation committee of the board of directors of Legacy Lucid on January 13, 2021 and approved by Legacy Lucid’s shareholders on January 21,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2026 Notes</w:t>
      </w:r>
      <w:r>
        <w:rPr>
          <w:rFonts w:ascii="Arial" w:cs="Arial" w:eastAsia="Arial" w:hAnsi="Arial"/>
          <w:sz w:val="18"/>
          <w:szCs w:val="18"/>
          <w:color w:val="auto"/>
        </w:rPr>
        <w:t>” are to the 1.25% Convertible Senior Notes due 2026;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AMP-1”</w:t>
      </w:r>
      <w:r>
        <w:rPr>
          <w:rFonts w:ascii="Arial" w:cs="Arial" w:eastAsia="Arial" w:hAnsi="Arial"/>
          <w:sz w:val="18"/>
          <w:szCs w:val="18"/>
          <w:color w:val="auto"/>
        </w:rPr>
        <w:t xml:space="preserve"> are to our Advanced Manufacturing Plant 1 in Casa Grande, Arizona;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AMP-2”</w:t>
      </w:r>
      <w:r>
        <w:rPr>
          <w:rFonts w:ascii="Arial" w:cs="Arial" w:eastAsia="Arial" w:hAnsi="Arial"/>
          <w:sz w:val="18"/>
          <w:szCs w:val="18"/>
          <w:color w:val="auto"/>
        </w:rPr>
        <w:t xml:space="preserve"> are to our planned Advanced Manufacturing Plant 2, which is currently under construction in the Kingdom of Saudi Arabia;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Ayar</w:t>
      </w:r>
      <w:r>
        <w:rPr>
          <w:rFonts w:ascii="Arial" w:cs="Arial" w:eastAsia="Arial" w:hAnsi="Arial"/>
          <w:sz w:val="18"/>
          <w:szCs w:val="18"/>
          <w:color w:val="auto"/>
        </w:rPr>
        <w:t>” are to Ayar Third Investment Company, an affiliate of PIF and the controlling stockholder of the Company;</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or “Board of Directors” are, prior to consummation of the Transactions, to the board of directors of Legacy Lucid, and, following consummation of the Transactions, to the board of directors of Lucid Group Inc., a Delaware corporation;</w:t>
      </w:r>
    </w:p>
    <w:p>
      <w:pPr>
        <w:spacing w:after="0" w:line="197"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Churchill</w:t>
      </w:r>
      <w:r>
        <w:rPr>
          <w:rFonts w:ascii="Arial" w:cs="Arial" w:eastAsia="Arial" w:hAnsi="Arial"/>
          <w:sz w:val="16"/>
          <w:szCs w:val="16"/>
          <w:color w:val="auto"/>
        </w:rPr>
        <w:t xml:space="preserve">” or </w:t>
      </w:r>
      <w:r>
        <w:rPr>
          <w:rFonts w:ascii="Arial" w:cs="Arial" w:eastAsia="Arial" w:hAnsi="Arial"/>
          <w:sz w:val="16"/>
          <w:szCs w:val="16"/>
          <w:i w:val="1"/>
          <w:iCs w:val="1"/>
          <w:color w:val="auto"/>
        </w:rPr>
        <w:t>“CCIV”</w:t>
      </w:r>
      <w:r>
        <w:rPr>
          <w:rFonts w:ascii="Arial" w:cs="Arial" w:eastAsia="Arial" w:hAnsi="Arial"/>
          <w:sz w:val="16"/>
          <w:szCs w:val="16"/>
          <w:color w:val="auto"/>
        </w:rPr>
        <w:t xml:space="preserve"> are to Churchill Capital Corp IV, a Delaware corporation and our predecessor company prior to the consummation of the Transactions, which changed its name to Lucid Group, Inc. following the consummation of the Transactions, and its consolidated subsidiaries;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Churchill’s Class A common stock</w:t>
      </w:r>
      <w:r>
        <w:rPr>
          <w:rFonts w:ascii="Arial" w:cs="Arial" w:eastAsia="Arial" w:hAnsi="Arial"/>
          <w:sz w:val="18"/>
          <w:szCs w:val="18"/>
          <w:color w:val="auto"/>
        </w:rPr>
        <w:t>” are to Churchill’s Class A common stock, par value $0.0001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Churchill’s Class B common stock</w:t>
      </w:r>
      <w:r>
        <w:rPr>
          <w:rFonts w:ascii="Arial" w:cs="Arial" w:eastAsia="Arial" w:hAnsi="Arial"/>
          <w:sz w:val="18"/>
          <w:szCs w:val="18"/>
          <w:color w:val="auto"/>
        </w:rPr>
        <w:t>” are to Churchill’s Class B common stock, par value $0.0001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Churchill IPO</w:t>
      </w:r>
      <w:r>
        <w:rPr>
          <w:rFonts w:ascii="Arial" w:cs="Arial" w:eastAsia="Arial" w:hAnsi="Arial"/>
          <w:sz w:val="18"/>
          <w:szCs w:val="18"/>
          <w:color w:val="auto"/>
        </w:rPr>
        <w:t>” are to the initial public offering by Churchill which closed on August 3,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are to the consummation of the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are to July 23, 2021, the date on which the Transactions were consummated;</w:t>
      </w:r>
    </w:p>
    <w:p>
      <w:pPr>
        <w:spacing w:after="0" w:line="25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common stock</w:t>
      </w:r>
      <w:r>
        <w:rPr>
          <w:rFonts w:ascii="Arial" w:cs="Arial" w:eastAsia="Arial" w:hAnsi="Arial"/>
          <w:sz w:val="17"/>
          <w:szCs w:val="17"/>
          <w:color w:val="auto"/>
        </w:rPr>
        <w:t>” are, prior to the consummation of the Transactions, to Churchill’s Class A common stock and Churchill’s Class B common stock and, following the consummation of the Transactions, to the common stock of Lucid Group, Inc., par value $0.0001 per share;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ESG</w:t>
      </w:r>
      <w:r>
        <w:rPr>
          <w:rFonts w:ascii="Arial" w:cs="Arial" w:eastAsia="Arial" w:hAnsi="Arial"/>
          <w:sz w:val="18"/>
          <w:szCs w:val="18"/>
          <w:color w:val="auto"/>
        </w:rPr>
        <w:t>” are to the Environmental, Social and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w:t>
      </w:r>
      <w:r>
        <w:rPr>
          <w:rFonts w:ascii="Arial" w:cs="Arial" w:eastAsia="Arial" w:hAnsi="Arial"/>
          <w:sz w:val="18"/>
          <w:szCs w:val="18"/>
          <w:color w:val="auto"/>
        </w:rPr>
        <w:t>” are to electric vehicle;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Ratio</w:t>
      </w:r>
      <w:r>
        <w:rPr>
          <w:rFonts w:ascii="Arial" w:cs="Arial" w:eastAsia="Arial" w:hAnsi="Arial"/>
          <w:sz w:val="18"/>
          <w:szCs w:val="18"/>
          <w:color w:val="auto"/>
        </w:rPr>
        <w:t>” are to the quotient as defined in, and calculated in accordance with, the Merger Agreement, which is 2.644;</w:t>
      </w:r>
    </w:p>
    <w:p>
      <w:pPr>
        <w:sectPr>
          <w:pgSz w:w="11900" w:h="16838" w:orient="portrait"/>
          <w:cols w:equalWidth="0" w:num="1">
            <w:col w:w="11220"/>
          </w:cols>
          <w:pgMar w:left="320" w:top="989" w:right="35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type w:val="continuous"/>
        </w:sectPr>
      </w:pPr>
    </w:p>
    <w:bookmarkStart w:id="4" w:name="page5"/>
    <w:bookmarkEnd w:id="4"/>
    <w:p>
      <w:pPr>
        <w:ind w:right="3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Investor Rights Agreement</w:t>
      </w:r>
      <w:r>
        <w:rPr>
          <w:rFonts w:ascii="Arial" w:cs="Arial" w:eastAsia="Arial" w:hAnsi="Arial"/>
          <w:sz w:val="18"/>
          <w:szCs w:val="18"/>
          <w:color w:val="auto"/>
        </w:rPr>
        <w:t>” are to the Investor Rights Agreement, dated as of February 22, 2021, by and among the Company, the Sponsor, Ayar and certain other parties thereto;</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w:t>
      </w:r>
      <w:r>
        <w:rPr>
          <w:rFonts w:ascii="Arial" w:cs="Arial" w:eastAsia="Arial" w:hAnsi="Arial"/>
          <w:sz w:val="18"/>
          <w:szCs w:val="18"/>
          <w:color w:val="auto"/>
        </w:rPr>
        <w:t>” are to Atieva, Inc., d/b/a Lucid Motors, an exempted company incorporated with limited liability under the laws of the Cayman Islands, and its consolidated subsidiaries before the Closing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 Common Shares</w:t>
      </w:r>
      <w:r>
        <w:rPr>
          <w:rFonts w:ascii="Arial" w:cs="Arial" w:eastAsia="Arial" w:hAnsi="Arial"/>
          <w:sz w:val="18"/>
          <w:szCs w:val="18"/>
          <w:color w:val="auto"/>
        </w:rPr>
        <w:t>” are to the common shares, par value $0.0001 per share, of Legacy Lucid;</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Legacy Lucid Share Plans</w:t>
      </w:r>
      <w:r>
        <w:rPr>
          <w:rFonts w:ascii="Arial" w:cs="Arial" w:eastAsia="Arial" w:hAnsi="Arial"/>
          <w:sz w:val="16"/>
          <w:szCs w:val="16"/>
          <w:color w:val="auto"/>
        </w:rPr>
        <w:t>” are to the 2009 Plan, the 2014 Plan, the 2021 Plan, in each case as amended from time to time in accordance with their terms;</w:t>
      </w:r>
    </w:p>
    <w:p>
      <w:pPr>
        <w:spacing w:after="0" w:line="2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 Options</w:t>
      </w:r>
      <w:r>
        <w:rPr>
          <w:rFonts w:ascii="Arial" w:cs="Arial" w:eastAsia="Arial" w:hAnsi="Arial"/>
          <w:sz w:val="18"/>
          <w:szCs w:val="18"/>
          <w:color w:val="auto"/>
        </w:rPr>
        <w:t>” are to all issued and outstanding options to purchase or otherwise acquire Legacy Lucid Common Shares (whether or not vested) held by any person, including share options granted under any Legacy Lucid Share Plan;</w:t>
      </w:r>
    </w:p>
    <w:p>
      <w:pPr>
        <w:spacing w:after="0" w:line="1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 Preferred Shares</w:t>
      </w:r>
      <w:r>
        <w:rPr>
          <w:rFonts w:ascii="Arial" w:cs="Arial" w:eastAsia="Arial" w:hAnsi="Arial"/>
          <w:sz w:val="18"/>
          <w:szCs w:val="18"/>
          <w:color w:val="auto"/>
        </w:rPr>
        <w:t>” are to, collectively, Legacy Lucid Series A Preferred Shares, Legacy Lucid Series B Preferred Shares, Legacy Lucid Series C Preferred Shares, Legacy Lucid Series D Preferred Shares and Legacy Lucid Series E Preferred Shares;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 Series A Preferred Shares</w:t>
      </w:r>
      <w:r>
        <w:rPr>
          <w:rFonts w:ascii="Arial" w:cs="Arial" w:eastAsia="Arial" w:hAnsi="Arial"/>
          <w:sz w:val="18"/>
          <w:szCs w:val="18"/>
          <w:color w:val="auto"/>
        </w:rPr>
        <w:t>” are to the Series A preferred shares, par value $0.0001 per share, of Legacy Lucid;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 Series B Preferred Shares</w:t>
      </w:r>
      <w:r>
        <w:rPr>
          <w:rFonts w:ascii="Arial" w:cs="Arial" w:eastAsia="Arial" w:hAnsi="Arial"/>
          <w:sz w:val="18"/>
          <w:szCs w:val="18"/>
          <w:color w:val="auto"/>
        </w:rPr>
        <w:t>” are to the Series B preferred shares, par value $0.0001 per share, of Legacy Lucid;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 Series C Preferred Shares</w:t>
      </w:r>
      <w:r>
        <w:rPr>
          <w:rFonts w:ascii="Arial" w:cs="Arial" w:eastAsia="Arial" w:hAnsi="Arial"/>
          <w:sz w:val="18"/>
          <w:szCs w:val="18"/>
          <w:color w:val="auto"/>
        </w:rPr>
        <w:t>” are to the Series C preferred shares, par value $0.0001 per share, of Legacy Lucid;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 Series D Preferred Shares</w:t>
      </w:r>
      <w:r>
        <w:rPr>
          <w:rFonts w:ascii="Arial" w:cs="Arial" w:eastAsia="Arial" w:hAnsi="Arial"/>
          <w:sz w:val="18"/>
          <w:szCs w:val="18"/>
          <w:color w:val="auto"/>
        </w:rPr>
        <w:t>” are to the Series D preferred shares, par value $0.0001 per share, of Legacy Lucid;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 Series E Preferred Shares</w:t>
      </w:r>
      <w:r>
        <w:rPr>
          <w:rFonts w:ascii="Arial" w:cs="Arial" w:eastAsia="Arial" w:hAnsi="Arial"/>
          <w:sz w:val="18"/>
          <w:szCs w:val="18"/>
          <w:color w:val="auto"/>
        </w:rPr>
        <w:t>” are to the Series E preferred shares, par value $0.0001 per share, of Legacy Lucid;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 Share</w:t>
      </w:r>
      <w:r>
        <w:rPr>
          <w:rFonts w:ascii="Arial" w:cs="Arial" w:eastAsia="Arial" w:hAnsi="Arial"/>
          <w:sz w:val="18"/>
          <w:szCs w:val="18"/>
          <w:color w:val="auto"/>
        </w:rPr>
        <w:t>s” are to the Legacy Lucid Common Shares and Legacy Lucid Preferred Shares;</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 RSUs</w:t>
      </w:r>
      <w:r>
        <w:rPr>
          <w:rFonts w:ascii="Arial" w:cs="Arial" w:eastAsia="Arial" w:hAnsi="Arial"/>
          <w:sz w:val="18"/>
          <w:szCs w:val="18"/>
          <w:color w:val="auto"/>
        </w:rPr>
        <w:t>” are to all issued and outstanding restricted stock unit awards with respect to Legacy Lucid Common Shares outstanding under any Legacy Lucid Share Plan;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Lucid Options</w:t>
      </w:r>
      <w:r>
        <w:rPr>
          <w:rFonts w:ascii="Arial" w:cs="Arial" w:eastAsia="Arial" w:hAnsi="Arial"/>
          <w:sz w:val="17"/>
          <w:szCs w:val="17"/>
          <w:color w:val="auto"/>
        </w:rPr>
        <w:t>” are to all issued and outstanding options to purchase shares of common stock immediately following the closing of the Merger;</w:t>
      </w:r>
    </w:p>
    <w:p>
      <w:pPr>
        <w:spacing w:after="0" w:line="2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RSUs</w:t>
      </w:r>
      <w:r>
        <w:rPr>
          <w:rFonts w:ascii="Arial" w:cs="Arial" w:eastAsia="Arial" w:hAnsi="Arial"/>
          <w:sz w:val="18"/>
          <w:szCs w:val="18"/>
          <w:color w:val="auto"/>
        </w:rPr>
        <w:t>” are to all issued and outstanding restricted stock unit awards with respect to shares of common stock immediately following the closing of the Merger;</w:t>
      </w:r>
    </w:p>
    <w:p>
      <w:pPr>
        <w:spacing w:after="0" w:line="1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w:t>
      </w:r>
      <w:r>
        <w:rPr>
          <w:rFonts w:ascii="Arial" w:cs="Arial" w:eastAsia="Arial" w:hAnsi="Arial"/>
          <w:sz w:val="18"/>
          <w:szCs w:val="18"/>
          <w:color w:val="auto"/>
        </w:rPr>
        <w:t>” are to the merger of a merger subsidiary of Churchill and Atieva, Inc., with Atieva, Inc. surviving such merger as a wholly owned subsidiary of Churchill;</w:t>
      </w:r>
    </w:p>
    <w:p>
      <w:pPr>
        <w:spacing w:after="0" w:line="19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Agreement</w:t>
      </w:r>
      <w:r>
        <w:rPr>
          <w:rFonts w:ascii="Arial" w:cs="Arial" w:eastAsia="Arial" w:hAnsi="Arial"/>
          <w:sz w:val="18"/>
          <w:szCs w:val="18"/>
          <w:color w:val="auto"/>
        </w:rPr>
        <w:t>” are to that certain Agreement and Plan of Merger, dated as of February 22, 2021, by and among Churchill, Legacy Lucid and Air Merger Sub, Inc., a Delaware corporation and a direct, wholly-owned subsidiary of Churchill, as the same has been or may be amended, modified, supplemented or waived from time to 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PIF</w:t>
      </w:r>
      <w:r>
        <w:rPr>
          <w:rFonts w:ascii="Arial" w:cs="Arial" w:eastAsia="Arial" w:hAnsi="Arial"/>
          <w:sz w:val="18"/>
          <w:szCs w:val="18"/>
          <w:color w:val="auto"/>
        </w:rPr>
        <w:t>” are to the Public Investment Fund, the sovereign wealth fund of the Kingdom of Saudi Arabia;</w:t>
      </w:r>
    </w:p>
    <w:p>
      <w:pPr>
        <w:spacing w:after="0" w:line="25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Investment</w:t>
      </w:r>
      <w:r>
        <w:rPr>
          <w:rFonts w:ascii="Arial" w:cs="Arial" w:eastAsia="Arial" w:hAnsi="Arial"/>
          <w:sz w:val="18"/>
          <w:szCs w:val="18"/>
          <w:color w:val="auto"/>
        </w:rPr>
        <w:t>” are to the private placement subscription agreements that Churchill entered into contemporaneously with the execution of the Merger Agreement whereby Churchill has agreed to issue and sell to certain investors $2.5 billion of Churchill’s Class A common stock at a purchase price of $15.00 per share. The PIPE Investment closed simultaneously with the Closing of the Merger;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Investors</w:t>
      </w:r>
      <w:r>
        <w:rPr>
          <w:rFonts w:ascii="Arial" w:cs="Arial" w:eastAsia="Arial" w:hAnsi="Arial"/>
          <w:sz w:val="18"/>
          <w:szCs w:val="18"/>
          <w:color w:val="auto"/>
        </w:rPr>
        <w:t>” are to the investors participating in the PIPE Investment;</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Private Placement Warrants</w:t>
      </w:r>
      <w:r>
        <w:rPr>
          <w:rFonts w:ascii="Arial" w:cs="Arial" w:eastAsia="Arial" w:hAnsi="Arial"/>
          <w:sz w:val="18"/>
          <w:szCs w:val="18"/>
          <w:color w:val="auto"/>
        </w:rPr>
        <w:t>” are to Churchill’s warrants issued to the Sponsor in a private placement simultaneously with the closing of the Churchill IPO;</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Warrants</w:t>
      </w:r>
      <w:r>
        <w:rPr>
          <w:rFonts w:ascii="Arial" w:cs="Arial" w:eastAsia="Arial" w:hAnsi="Arial"/>
          <w:sz w:val="18"/>
          <w:szCs w:val="18"/>
          <w:color w:val="auto"/>
        </w:rPr>
        <w:t>” are to Churchill’s warrants sold as part of the units in the Churchill IPO (whether they were purchased in the Churchill IPO or thereafter in the open market);</w:t>
      </w:r>
    </w:p>
    <w:p>
      <w:pPr>
        <w:sectPr>
          <w:pgSz w:w="11900" w:h="16838" w:orient="portrait"/>
          <w:cols w:equalWidth="0" w:num="1">
            <w:col w:w="11180"/>
          </w:cols>
          <w:pgMar w:left="320" w:top="1016" w:right="39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16" w:right="399" w:bottom="1440" w:gutter="0" w:footer="0" w:header="0"/>
          <w:type w:val="continuous"/>
        </w:sectPr>
      </w:pPr>
    </w:p>
    <w:bookmarkStart w:id="5" w:name="page6"/>
    <w:bookmarkEnd w:id="5"/>
    <w:p>
      <w:pPr>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Promissory Note</w:t>
      </w:r>
      <w:r>
        <w:rPr>
          <w:rFonts w:ascii="Arial" w:cs="Arial" w:eastAsia="Arial" w:hAnsi="Arial"/>
          <w:sz w:val="17"/>
          <w:szCs w:val="17"/>
          <w:color w:val="auto"/>
        </w:rPr>
        <w:t>” are to the unsecured promissory note issued by Churchill to the Sponsor in an aggregate principal amount of $1,500,000. The Sponsor has elected to exercise its option to convert the unpaid balance of the Promissory Note of $1,500,000 into Working Capital Warrants;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w:t>
      </w:r>
      <w:r>
        <w:rPr>
          <w:rFonts w:ascii="Arial" w:cs="Arial" w:eastAsia="Arial" w:hAnsi="Arial"/>
          <w:sz w:val="18"/>
          <w:szCs w:val="18"/>
          <w:color w:val="auto"/>
        </w:rPr>
        <w:t>” are to Churchill Sponsor IV LLC, a Delaware limited liability company and an affiliate of M. Klein and Company;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Transactions</w:t>
      </w:r>
      <w:r>
        <w:rPr>
          <w:rFonts w:ascii="Arial" w:cs="Arial" w:eastAsia="Arial" w:hAnsi="Arial"/>
          <w:sz w:val="17"/>
          <w:szCs w:val="17"/>
          <w:color w:val="auto"/>
        </w:rPr>
        <w:t>” are to the Merger, together with the other transactions consummated under the Merger Agreement and the related agreements;</w:t>
      </w:r>
    </w:p>
    <w:p>
      <w:pPr>
        <w:spacing w:after="0" w:line="26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 Agreement</w:t>
      </w:r>
      <w:r>
        <w:rPr>
          <w:rFonts w:ascii="Arial" w:cs="Arial" w:eastAsia="Arial" w:hAnsi="Arial"/>
          <w:sz w:val="18"/>
          <w:szCs w:val="18"/>
          <w:color w:val="auto"/>
        </w:rPr>
        <w:t>” are to the Warrant Agreement, dated July 29, 2020, entered into in connection with the Churchill IPO by and between Continental Stock Transfer &amp; Trust Company and Churchill; and</w:t>
      </w:r>
    </w:p>
    <w:p>
      <w:pPr>
        <w:spacing w:after="0" w:line="1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Working Capital Warrants</w:t>
      </w:r>
      <w:r>
        <w:rPr>
          <w:rFonts w:ascii="Arial" w:cs="Arial" w:eastAsia="Arial" w:hAnsi="Arial"/>
          <w:sz w:val="18"/>
          <w:szCs w:val="18"/>
          <w:color w:val="auto"/>
        </w:rPr>
        <w:t>” are to the warrants to purchase Churchill’s Class A common stock pursuant to the terms of the Promissory Note, on terms identical to the terms of the Private Placement Warrants.</w:t>
      </w:r>
    </w:p>
    <w:p>
      <w:pPr>
        <w:spacing w:after="0" w:line="19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Unless the context otherwise requires, all references in this section to “Lucid,” the “Company,” “we,” “us,” “our,” and other similar terms refer to Legacy Lucid and its subsidiaries prior to the Closing, and Lucid Group, Inc., a Delaware corporation, and its subsidiaries after the Closing.</w:t>
      </w:r>
    </w:p>
    <w:p>
      <w:pPr>
        <w:spacing w:after="0" w:line="2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773" w:right="5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6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1,264,136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6,262,905</w:t>
            </w:r>
          </w:p>
        </w:tc>
      </w:tr>
      <w:tr>
        <w:trPr>
          <w:trHeight w:val="229"/>
        </w:trPr>
        <w:tc>
          <w:tcPr>
            <w:tcW w:w="8620" w:type="dxa"/>
            <w:vAlign w:val="bottom"/>
            <w:gridSpan w:val="2"/>
          </w:tcPr>
          <w:p>
            <w:pPr>
              <w:ind w:left="18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2,078,045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r>
      <w:tr>
        <w:trPr>
          <w:trHeight w:val="229"/>
        </w:trPr>
        <w:tc>
          <w:tcPr>
            <w:tcW w:w="8620" w:type="dxa"/>
            <w:vAlign w:val="bottom"/>
            <w:gridSpan w:val="2"/>
          </w:tcPr>
          <w:p>
            <w:pPr>
              <w:ind w:left="18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685,321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127,250</w:t>
            </w:r>
          </w:p>
        </w:tc>
      </w:tr>
      <w:tr>
        <w:trPr>
          <w:trHeight w:val="229"/>
        </w:trPr>
        <w:tc>
          <w:tcPr>
            <w:tcW w:w="8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70,346</w:t>
            </w:r>
          </w:p>
        </w:tc>
      </w:tr>
      <w:tr>
        <w:trPr>
          <w:trHeight w:val="230"/>
        </w:trPr>
        <w:tc>
          <w:tcPr>
            <w:tcW w:w="86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43,328</w:t>
            </w:r>
          </w:p>
        </w:tc>
      </w:tr>
      <w:tr>
        <w:trPr>
          <w:trHeight w:val="223"/>
        </w:trPr>
        <w:tc>
          <w:tcPr>
            <w:tcW w:w="86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4,156,428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6,506,977</w:t>
            </w:r>
          </w:p>
        </w:tc>
      </w:tr>
      <w:tr>
        <w:trPr>
          <w:trHeight w:val="223"/>
        </w:trPr>
        <w:tc>
          <w:tcPr>
            <w:tcW w:w="862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1,954,310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1,182,153</w:t>
            </w:r>
          </w:p>
        </w:tc>
      </w:tr>
      <w:tr>
        <w:trPr>
          <w:trHeight w:val="229"/>
        </w:trPr>
        <w:tc>
          <w:tcPr>
            <w:tcW w:w="8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161,974</w:t>
            </w:r>
          </w:p>
        </w:tc>
      </w:tr>
      <w:tr>
        <w:trPr>
          <w:trHeight w:val="230"/>
        </w:trPr>
        <w:tc>
          <w:tcPr>
            <w:tcW w:w="8620" w:type="dxa"/>
            <w:vAlign w:val="bottom"/>
            <w:gridSpan w:val="2"/>
          </w:tcPr>
          <w:p>
            <w:pPr>
              <w:ind w:left="2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513,735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51,494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30,609</w:t>
            </w:r>
          </w:p>
        </w:tc>
      </w:tr>
      <w:tr>
        <w:trPr>
          <w:trHeight w:val="223"/>
        </w:trPr>
        <w:tc>
          <w:tcPr>
            <w:tcW w:w="86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6,887,811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7,881,713</w:t>
            </w: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8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6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62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79,781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41,342</w:t>
            </w:r>
          </w:p>
        </w:tc>
      </w:tr>
      <w:tr>
        <w:trPr>
          <w:trHeight w:val="229"/>
        </w:trPr>
        <w:tc>
          <w:tcPr>
            <w:tcW w:w="8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32,364</w:t>
            </w:r>
          </w:p>
        </w:tc>
      </w:tr>
      <w:tr>
        <w:trPr>
          <w:trHeight w:val="230"/>
        </w:trPr>
        <w:tc>
          <w:tcPr>
            <w:tcW w:w="8620" w:type="dxa"/>
            <w:vAlign w:val="bottom"/>
            <w:gridSpan w:val="2"/>
          </w:tcPr>
          <w:p>
            <w:pPr>
              <w:ind w:left="180"/>
              <w:spacing w:after="0"/>
              <w:rPr>
                <w:sz w:val="20"/>
                <w:szCs w:val="20"/>
                <w:color w:val="auto"/>
              </w:rPr>
            </w:pPr>
            <w:r>
              <w:rPr>
                <w:rFonts w:ascii="Arial" w:cs="Arial" w:eastAsia="Arial" w:hAnsi="Arial"/>
                <w:sz w:val="18"/>
                <w:szCs w:val="18"/>
                <w:color w:val="auto"/>
              </w:rPr>
              <w:t>Finance lease liabilities, current portion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4,183</w:t>
            </w:r>
          </w:p>
        </w:tc>
      </w:tr>
      <w:tr>
        <w:trPr>
          <w:trHeight w:val="230"/>
        </w:trPr>
        <w:tc>
          <w:tcPr>
            <w:tcW w:w="8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686,555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318,212</w:t>
            </w:r>
          </w:p>
        </w:tc>
      </w:tr>
      <w:tr>
        <w:trPr>
          <w:trHeight w:val="223"/>
        </w:trPr>
        <w:tc>
          <w:tcPr>
            <w:tcW w:w="8620" w:type="dxa"/>
            <w:vAlign w:val="bottom"/>
            <w:gridSpan w:val="2"/>
          </w:tcPr>
          <w:p>
            <w:pPr>
              <w:ind w:left="68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825,124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396,101</w:t>
            </w:r>
          </w:p>
        </w:tc>
      </w:tr>
      <w:tr>
        <w:trPr>
          <w:trHeight w:val="230"/>
        </w:trPr>
        <w:tc>
          <w:tcPr>
            <w:tcW w:w="8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liabilities, net of current portion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w:t>
            </w:r>
          </w:p>
        </w:tc>
      </w:tr>
      <w:tr>
        <w:trPr>
          <w:trHeight w:val="230"/>
        </w:trPr>
        <w:tc>
          <w:tcPr>
            <w:tcW w:w="8620" w:type="dxa"/>
            <w:vAlign w:val="bottom"/>
            <w:gridSpan w:val="2"/>
          </w:tcPr>
          <w:p>
            <w:pPr>
              <w:ind w:left="20"/>
              <w:spacing w:after="0"/>
              <w:rPr>
                <w:sz w:val="20"/>
                <w:szCs w:val="20"/>
                <w:color w:val="auto"/>
              </w:rPr>
            </w:pPr>
            <w:r>
              <w:rPr>
                <w:rFonts w:ascii="Arial" w:cs="Arial" w:eastAsia="Arial" w:hAnsi="Arial"/>
                <w:sz w:val="18"/>
                <w:szCs w:val="18"/>
                <w:color w:val="auto"/>
              </w:rPr>
              <w:t>Common stock warrant liability</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396,489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1,394,808</w:t>
            </w:r>
          </w:p>
        </w:tc>
      </w:tr>
      <w:tr>
        <w:trPr>
          <w:trHeight w:val="229"/>
        </w:trPr>
        <w:tc>
          <w:tcPr>
            <w:tcW w:w="8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1,990,571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1,986,791</w:t>
            </w:r>
          </w:p>
        </w:tc>
      </w:tr>
      <w:tr>
        <w:trPr>
          <w:trHeight w:val="230"/>
        </w:trPr>
        <w:tc>
          <w:tcPr>
            <w:tcW w:w="8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188,575</w:t>
            </w:r>
          </w:p>
        </w:tc>
      </w:tr>
      <w:tr>
        <w:trPr>
          <w:trHeight w:val="223"/>
        </w:trPr>
        <w:tc>
          <w:tcPr>
            <w:tcW w:w="86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3,656,564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3,972,358</w:t>
            </w:r>
          </w:p>
        </w:tc>
      </w:tr>
      <w:tr>
        <w:trPr>
          <w:trHeight w:val="230"/>
        </w:trPr>
        <w:tc>
          <w:tcPr>
            <w:tcW w:w="862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 (Note 15)</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7"/>
        </w:trPr>
        <w:tc>
          <w:tcPr>
            <w:tcW w:w="8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29"/>
        </w:trPr>
        <w:tc>
          <w:tcPr>
            <w:tcW w:w="8620" w:type="dxa"/>
            <w:vAlign w:val="bottom"/>
            <w:gridSpan w:val="2"/>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6"/>
        </w:trPr>
        <w:tc>
          <w:tcPr>
            <w:tcW w:w="86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Preferred stock, par value $0.0001; 10,000,000 shares authorized as of September 30, 2022 and</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7"/>
              </w:rPr>
              <w:t>December 31, 2021; no shares issued and outstanding as of September 30, 2022 and December 31, 2021</w:t>
            </w: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86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3"/>
              </w:rPr>
              <w:t>Common stock, par value $0.0001; 15,000,000,000 shares authorized as of September 30, 2022 and December 31,</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8"/>
        </w:trPr>
        <w:tc>
          <w:tcPr>
            <w:tcW w:w="8620" w:type="dxa"/>
            <w:vAlign w:val="bottom"/>
            <w:gridSpan w:val="2"/>
          </w:tcPr>
          <w:p>
            <w:pPr>
              <w:ind w:left="360"/>
              <w:spacing w:after="0" w:line="189" w:lineRule="exact"/>
              <w:rPr>
                <w:sz w:val="20"/>
                <w:szCs w:val="20"/>
                <w:color w:val="auto"/>
              </w:rPr>
            </w:pPr>
            <w:r>
              <w:rPr>
                <w:rFonts w:ascii="Arial" w:cs="Arial" w:eastAsia="Arial" w:hAnsi="Arial"/>
                <w:sz w:val="18"/>
                <w:szCs w:val="18"/>
                <w:color w:val="auto"/>
                <w:w w:val="91"/>
              </w:rPr>
              <w:t>2021; 1,681,005,163 and 1,648,413,415 shares issued and 1,680,147,338 and 1,647,555,590 shares outstanding</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0"/>
        </w:trPr>
        <w:tc>
          <w:tcPr>
            <w:tcW w:w="8620" w:type="dxa"/>
            <w:vAlign w:val="bottom"/>
            <w:gridSpan w:val="2"/>
          </w:tcPr>
          <w:p>
            <w:pPr>
              <w:ind w:left="360"/>
              <w:spacing w:after="0"/>
              <w:rPr>
                <w:sz w:val="20"/>
                <w:szCs w:val="20"/>
                <w:color w:val="auto"/>
              </w:rPr>
            </w:pPr>
            <w:r>
              <w:rPr>
                <w:rFonts w:ascii="Arial" w:cs="Arial" w:eastAsia="Arial" w:hAnsi="Arial"/>
                <w:sz w:val="18"/>
                <w:szCs w:val="18"/>
                <w:color w:val="auto"/>
              </w:rPr>
              <w:t>as of September 30, 2022 and December 31, 2021, respectively</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8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10,162,745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9,995,778</w:t>
            </w:r>
          </w:p>
        </w:tc>
      </w:tr>
      <w:tr>
        <w:trPr>
          <w:trHeight w:val="230"/>
        </w:trPr>
        <w:tc>
          <w:tcPr>
            <w:tcW w:w="8620" w:type="dxa"/>
            <w:vAlign w:val="bottom"/>
            <w:gridSpan w:val="2"/>
          </w:tcPr>
          <w:p>
            <w:pPr>
              <w:ind w:left="20"/>
              <w:spacing w:after="0"/>
              <w:rPr>
                <w:sz w:val="20"/>
                <w:szCs w:val="20"/>
                <w:color w:val="auto"/>
              </w:rPr>
            </w:pPr>
            <w:r>
              <w:rPr>
                <w:rFonts w:ascii="Arial" w:cs="Arial" w:eastAsia="Arial" w:hAnsi="Arial"/>
                <w:sz w:val="18"/>
                <w:szCs w:val="18"/>
                <w:color w:val="auto"/>
              </w:rPr>
              <w:t>Treasury stock, at cost, 857,825 shares at September 30, 2022 and December 31, 2021</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(20,716)</w:t>
            </w:r>
          </w:p>
        </w:tc>
      </w:tr>
      <w:tr>
        <w:trPr>
          <w:trHeight w:val="229"/>
        </w:trPr>
        <w:tc>
          <w:tcPr>
            <w:tcW w:w="8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(6,897,684)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(6,065,872)</w:t>
            </w:r>
          </w:p>
        </w:tc>
      </w:tr>
      <w:tr>
        <w:trPr>
          <w:trHeight w:val="223"/>
        </w:trPr>
        <w:tc>
          <w:tcPr>
            <w:tcW w:w="8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3,231,247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3,909,355</w:t>
            </w:r>
          </w:p>
        </w:tc>
      </w:tr>
      <w:tr>
        <w:trPr>
          <w:trHeight w:val="223"/>
        </w:trPr>
        <w:tc>
          <w:tcPr>
            <w:tcW w:w="86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6,887,811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7,881,713</w:t>
            </w:r>
          </w:p>
        </w:tc>
      </w:tr>
      <w:tr>
        <w:trPr>
          <w:trHeight w:val="20"/>
        </w:trPr>
        <w:tc>
          <w:tcPr>
            <w:tcW w:w="8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985" w:right="3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Three Months Ended</w:t>
            </w:r>
          </w:p>
        </w:tc>
        <w:tc>
          <w:tcPr>
            <w:tcW w:w="140" w:type="dxa"/>
            <w:vAlign w:val="bottom"/>
          </w:tcPr>
          <w:p>
            <w:pPr>
              <w:spacing w:after="0"/>
              <w:rPr>
                <w:sz w:val="17"/>
                <w:szCs w:val="17"/>
                <w:color w:val="auto"/>
              </w:rPr>
            </w:pPr>
          </w:p>
        </w:tc>
        <w:tc>
          <w:tcPr>
            <w:tcW w:w="25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5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0"/>
                <w:szCs w:val="20"/>
                <w:color w:val="auto"/>
              </w:rPr>
            </w:pPr>
          </w:p>
        </w:tc>
        <w:tc>
          <w:tcPr>
            <w:tcW w:w="25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r>
      <w:tr>
        <w:trPr>
          <w:trHeight w:val="227"/>
        </w:trPr>
        <w:tc>
          <w:tcPr>
            <w:tcW w:w="58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350,468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r>
      <w:tr>
        <w:trPr>
          <w:trHeight w:val="257"/>
        </w:trPr>
        <w:tc>
          <w:tcPr>
            <w:tcW w:w="5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492,483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1,030,795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3,424</w:t>
            </w: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586,579</w:t>
            </w:r>
          </w:p>
        </w:tc>
      </w:tr>
      <w:tr>
        <w:trPr>
          <w:trHeight w:val="229"/>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251,554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563,707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455,478</w:t>
            </w:r>
          </w:p>
        </w:tc>
      </w:tr>
      <w:tr>
        <w:trPr>
          <w:trHeight w:val="223"/>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 and expenses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882,980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497,282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2,194,720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1,045,481</w:t>
            </w:r>
          </w:p>
        </w:tc>
      </w:tr>
      <w:tr>
        <w:trPr>
          <w:trHeight w:val="237"/>
        </w:trPr>
        <w:tc>
          <w:tcPr>
            <w:tcW w:w="5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(1,844,252)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(1,044,762)</w:t>
            </w:r>
          </w:p>
        </w:tc>
      </w:tr>
      <w:tr>
        <w:trPr>
          <w:trHeight w:val="257"/>
        </w:trPr>
        <w:tc>
          <w:tcPr>
            <w:tcW w:w="5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 net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860" w:type="dxa"/>
            <w:vAlign w:val="bottom"/>
          </w:tcPr>
          <w:p>
            <w:pPr>
              <w:ind w:left="140"/>
              <w:spacing w:after="0"/>
              <w:rPr>
                <w:sz w:val="20"/>
                <w:szCs w:val="20"/>
                <w:color w:val="auto"/>
              </w:rPr>
            </w:pPr>
            <w:r>
              <w:rPr>
                <w:rFonts w:ascii="Arial" w:cs="Arial" w:eastAsia="Arial" w:hAnsi="Arial"/>
                <w:sz w:val="18"/>
                <w:szCs w:val="18"/>
                <w:color w:val="auto"/>
              </w:rPr>
              <w:t>Change in fair value of forward contracts</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(454,546)</w:t>
            </w:r>
          </w:p>
        </w:tc>
      </w:tr>
      <w:tr>
        <w:trPr>
          <w:trHeight w:val="230"/>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w:t>
            </w:r>
          </w:p>
        </w:tc>
      </w:tr>
      <w:tr>
        <w:trPr>
          <w:trHeight w:val="229"/>
        </w:trPr>
        <w:tc>
          <w:tcPr>
            <w:tcW w:w="5860" w:type="dxa"/>
            <w:vAlign w:val="bottom"/>
          </w:tcPr>
          <w:p>
            <w:pPr>
              <w:ind w:left="140"/>
              <w:spacing w:after="0"/>
              <w:rPr>
                <w:sz w:val="20"/>
                <w:szCs w:val="20"/>
                <w:color w:val="auto"/>
              </w:rPr>
            </w:pPr>
            <w:r>
              <w:rPr>
                <w:rFonts w:ascii="Arial" w:cs="Arial" w:eastAsia="Arial" w:hAnsi="Arial"/>
                <w:sz w:val="18"/>
                <w:szCs w:val="18"/>
                <w:color w:val="auto"/>
              </w:rPr>
              <w:t>Change in fair value of common stock warrant liability</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140,146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998,319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(24,787)</w:t>
            </w:r>
          </w:p>
        </w:tc>
      </w:tr>
      <w:tr>
        <w:trPr>
          <w:trHeight w:val="230"/>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costs expensed</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r>
      <w:tr>
        <w:trPr>
          <w:trHeight w:val="229"/>
        </w:trPr>
        <w:tc>
          <w:tcPr>
            <w:tcW w:w="586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27,284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5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23"/>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157,571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1,012,980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(489,288)</w:t>
            </w: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(529,952)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(524,381)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(831,272)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(1,534,050)</w:t>
            </w: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(530,101)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(524,403)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(831,812)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(1,534,081)</w:t>
            </w:r>
          </w:p>
        </w:tc>
      </w:tr>
      <w:tr>
        <w:trPr>
          <w:trHeight w:val="175"/>
        </w:trPr>
        <w:tc>
          <w:tcPr>
            <w:tcW w:w="58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Deemed dividend related to the issuance of Series E convertible preferred</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(2,167,332)</w:t>
            </w: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common stockholders, basic</w:t>
            </w: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(530,101)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(524,403)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(831,812)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(3,701,413)</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dilutive warrants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(140,146)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(998,319)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common stockholders, 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(670,247)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(524,403)</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(1,830,131)</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(3,701,413)</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5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175"/>
        </w:trPr>
        <w:tc>
          <w:tcPr>
            <w:tcW w:w="5860" w:type="dxa"/>
            <w:vAlign w:val="bottom"/>
          </w:tcPr>
          <w:p>
            <w:pPr>
              <w:ind w:left="20"/>
              <w:spacing w:after="0" w:line="176" w:lineRule="exact"/>
              <w:rPr>
                <w:sz w:val="20"/>
                <w:szCs w:val="20"/>
                <w:color w:val="auto"/>
              </w:rPr>
            </w:pPr>
            <w:r>
              <w:rPr>
                <w:rFonts w:ascii="Arial" w:cs="Arial" w:eastAsia="Arial" w:hAnsi="Arial"/>
                <w:sz w:val="18"/>
                <w:szCs w:val="18"/>
                <w:color w:val="auto"/>
                <w:w w:val="96"/>
              </w:rPr>
              <w:t>Weighted average shares outstanding used in computing net loss per share</w:t>
            </w:r>
          </w:p>
        </w:tc>
        <w:tc>
          <w:tcPr>
            <w:tcW w:w="1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w w:val="92"/>
              </w:rPr>
              <w:t>1,676,048,504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w w:val="90"/>
              </w:rPr>
              <w:t>1,217,032,285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w w:val="90"/>
              </w:rPr>
              <w:t>1,666,693,217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w w:val="97"/>
              </w:rPr>
              <w:t>432,654,607</w:t>
            </w:r>
          </w:p>
        </w:tc>
      </w:tr>
      <w:tr>
        <w:trPr>
          <w:trHeight w:val="237"/>
        </w:trPr>
        <w:tc>
          <w:tcPr>
            <w:tcW w:w="5860" w:type="dxa"/>
            <w:vAlign w:val="bottom"/>
          </w:tcPr>
          <w:p>
            <w:pPr>
              <w:ind w:left="20"/>
              <w:spacing w:after="0"/>
              <w:rPr>
                <w:sz w:val="20"/>
                <w:szCs w:val="20"/>
                <w:color w:val="auto"/>
              </w:rPr>
            </w:pPr>
            <w:r>
              <w:rPr>
                <w:rFonts w:ascii="Arial" w:cs="Arial" w:eastAsia="Arial" w:hAnsi="Arial"/>
                <w:sz w:val="18"/>
                <w:szCs w:val="18"/>
                <w:color w:val="auto"/>
              </w:rPr>
              <w:t>attributable to common stockholders, basic</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82"/>
        </w:trPr>
        <w:tc>
          <w:tcPr>
            <w:tcW w:w="58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6"/>
              </w:rPr>
              <w:t>Weighted average shares outstanding used in computing net loss per share</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2"/>
              </w:rPr>
              <w:t>1,690,963,548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0"/>
              </w:rPr>
              <w:t>1,217,032,285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0"/>
              </w:rPr>
              <w:t>1,686,576,589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7"/>
              </w:rPr>
              <w:t>432,654,607</w:t>
            </w:r>
          </w:p>
        </w:tc>
      </w:tr>
      <w:tr>
        <w:trPr>
          <w:trHeight w:val="24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common stockholders, diluted</w:t>
            </w: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r>
      <w:tr>
        <w:trPr>
          <w:trHeight w:val="223"/>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per share attributable to common stockholders, 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58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Other comprehensive loss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860" w:type="dxa"/>
            <w:vAlign w:val="bottom"/>
          </w:tcPr>
          <w:p>
            <w:pPr>
              <w:ind w:left="140"/>
              <w:spacing w:after="0"/>
              <w:rPr>
                <w:sz w:val="20"/>
                <w:szCs w:val="20"/>
                <w:color w:val="auto"/>
              </w:rPr>
            </w:pPr>
            <w:r>
              <w:rPr>
                <w:rFonts w:ascii="Arial" w:cs="Arial" w:eastAsia="Arial" w:hAnsi="Arial"/>
                <w:sz w:val="18"/>
                <w:szCs w:val="18"/>
                <w:color w:val="auto"/>
              </w:rPr>
              <w:t>Net unrealized losses on investments, net of tax</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(12,575)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(13,266)</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(542,676)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(524,403)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(845,078)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(1,534,081)</w:t>
            </w:r>
          </w:p>
        </w:tc>
      </w:tr>
      <w:tr>
        <w:trPr>
          <w:trHeight w:val="175"/>
        </w:trPr>
        <w:tc>
          <w:tcPr>
            <w:tcW w:w="5860" w:type="dxa"/>
            <w:vAlign w:val="bottom"/>
          </w:tcPr>
          <w:p>
            <w:pPr>
              <w:ind w:left="140"/>
              <w:spacing w:after="0" w:line="176" w:lineRule="exact"/>
              <w:rPr>
                <w:sz w:val="20"/>
                <w:szCs w:val="20"/>
                <w:color w:val="auto"/>
              </w:rPr>
            </w:pPr>
            <w:r>
              <w:rPr>
                <w:rFonts w:ascii="Arial" w:cs="Arial" w:eastAsia="Arial" w:hAnsi="Arial"/>
                <w:sz w:val="18"/>
                <w:szCs w:val="18"/>
                <w:color w:val="auto"/>
                <w:w w:val="96"/>
              </w:rPr>
              <w:t>Deemed dividend related to the issuance of Series E convertible preferred</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5860" w:type="dxa"/>
            <w:vAlign w:val="bottom"/>
          </w:tcPr>
          <w:p>
            <w:pPr>
              <w:ind w:left="140"/>
              <w:spacing w:after="0"/>
              <w:rPr>
                <w:sz w:val="20"/>
                <w:szCs w:val="20"/>
                <w:color w:val="auto"/>
              </w:rPr>
            </w:pPr>
            <w:r>
              <w:rPr>
                <w:rFonts w:ascii="Arial" w:cs="Arial" w:eastAsia="Arial" w:hAnsi="Arial"/>
                <w:sz w:val="18"/>
                <w:szCs w:val="18"/>
                <w:color w:val="auto"/>
              </w:rPr>
              <w:t>stock</w:t>
            </w:r>
          </w:p>
        </w:tc>
        <w:tc>
          <w:tcPr>
            <w:tcW w:w="1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(2,167,332)</w:t>
            </w:r>
          </w:p>
        </w:tc>
      </w:tr>
      <w:tr>
        <w:trPr>
          <w:trHeight w:val="248"/>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 attributable to common stockholders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(542,676)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(845,078)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(3,701,413)</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985" w:right="3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4"/>
            <w:vMerge w:val="restart"/>
          </w:tcPr>
          <w:p>
            <w:pPr>
              <w:jc w:val="right"/>
              <w:ind w:right="13"/>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Additional</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8"/>
              </w:rPr>
              <w:t>Accumulated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21"/>
        </w:trPr>
        <w:tc>
          <w:tcPr>
            <w:tcW w:w="4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4"/>
            <w:vMerge w:val="continue"/>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2"/>
              </w:rPr>
              <w:t>Other</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 2022</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880" w:type="dxa"/>
            <w:vAlign w:val="bottom"/>
            <w:gridSpan w:val="2"/>
            <w:vMerge w:val="restart"/>
          </w:tcPr>
          <w:p>
            <w:pPr>
              <w:jc w:val="right"/>
              <w:ind w:right="280"/>
              <w:spacing w:after="0" w:line="122" w:lineRule="exact"/>
              <w:rPr>
                <w:sz w:val="20"/>
                <w:szCs w:val="20"/>
                <w:color w:val="auto"/>
              </w:rPr>
            </w:pPr>
            <w:r>
              <w:rPr>
                <w:rFonts w:ascii="Arial" w:cs="Arial" w:eastAsia="Arial" w:hAnsi="Arial"/>
                <w:sz w:val="13"/>
                <w:szCs w:val="13"/>
                <w:b w:val="1"/>
                <w:bCs w:val="1"/>
                <w:color w:val="auto"/>
              </w:rPr>
              <w:t>Paid-In</w:t>
            </w:r>
          </w:p>
        </w:tc>
        <w:tc>
          <w:tcPr>
            <w:tcW w:w="4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700" w:type="dxa"/>
            <w:vAlign w:val="bottom"/>
            <w:gridSpan w:val="3"/>
            <w:vMerge w:val="restart"/>
          </w:tcPr>
          <w:p>
            <w:pPr>
              <w:ind w:left="20"/>
              <w:spacing w:after="0" w:line="122" w:lineRule="exact"/>
              <w:rPr>
                <w:sz w:val="20"/>
                <w:szCs w:val="20"/>
                <w:color w:val="auto"/>
              </w:rPr>
            </w:pPr>
            <w:r>
              <w:rPr>
                <w:rFonts w:ascii="Arial" w:cs="Arial" w:eastAsia="Arial" w:hAnsi="Arial"/>
                <w:sz w:val="13"/>
                <w:szCs w:val="13"/>
                <w:b w:val="1"/>
                <w:bCs w:val="1"/>
                <w:color w:val="auto"/>
              </w:rPr>
              <w:t>Treasury</w:t>
            </w:r>
          </w:p>
        </w:tc>
        <w:tc>
          <w:tcPr>
            <w:tcW w:w="20" w:type="dxa"/>
            <w:vAlign w:val="bottom"/>
            <w:vMerge w:val="restart"/>
          </w:tcPr>
          <w:p>
            <w:pPr>
              <w:spacing w:after="0"/>
              <w:rPr>
                <w:sz w:val="4"/>
                <w:szCs w:val="4"/>
                <w:color w:val="auto"/>
              </w:rPr>
            </w:pPr>
          </w:p>
        </w:tc>
        <w:tc>
          <w:tcPr>
            <w:tcW w:w="860" w:type="dxa"/>
            <w:vAlign w:val="bottom"/>
            <w:gridSpan w:val="4"/>
            <w:vMerge w:val="restart"/>
          </w:tcPr>
          <w:p>
            <w:pPr>
              <w:jc w:val="center"/>
              <w:ind w:right="20"/>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gridSpan w:val="2"/>
            <w:vMerge w:val="restart"/>
          </w:tcPr>
          <w:p>
            <w:pPr>
              <w:jc w:val="right"/>
              <w:ind w:right="60"/>
              <w:spacing w:after="0" w:line="122" w:lineRule="exact"/>
              <w:rPr>
                <w:sz w:val="20"/>
                <w:szCs w:val="20"/>
                <w:color w:val="auto"/>
              </w:rPr>
            </w:pPr>
            <w:r>
              <w:rPr>
                <w:rFonts w:ascii="Arial" w:cs="Arial" w:eastAsia="Arial" w:hAnsi="Arial"/>
                <w:sz w:val="13"/>
                <w:szCs w:val="13"/>
                <w:b w:val="1"/>
                <w:bCs w:val="1"/>
                <w:color w:val="auto"/>
                <w:w w:val="90"/>
              </w:rPr>
              <w:t>Accumulated</w:t>
            </w: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48"/>
        </w:trPr>
        <w:tc>
          <w:tcPr>
            <w:tcW w:w="49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9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80" w:type="dxa"/>
            <w:vAlign w:val="bottom"/>
          </w:tcPr>
          <w:p>
            <w:pPr>
              <w:spacing w:after="0"/>
              <w:rPr>
                <w:sz w:val="16"/>
                <w:szCs w:val="16"/>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Capital</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spacing w:after="0"/>
              <w:rPr>
                <w:sz w:val="20"/>
                <w:szCs w:val="20"/>
                <w:color w:val="auto"/>
              </w:rPr>
            </w:pPr>
            <w:r>
              <w:rPr>
                <w:rFonts w:ascii="Arial" w:cs="Arial" w:eastAsia="Arial" w:hAnsi="Arial"/>
                <w:sz w:val="13"/>
                <w:szCs w:val="13"/>
                <w:b w:val="1"/>
                <w:bCs w:val="1"/>
                <w:color w:val="auto"/>
              </w:rPr>
              <w:t>Stock</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78"/>
              </w:rPr>
              <w:t>Loss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Deficit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96"/>
        </w:trPr>
        <w:tc>
          <w:tcPr>
            <w:tcW w:w="49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2022</w:t>
            </w: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1"/>
              </w:rPr>
              <w:t>1,672,543,611</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13"/>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167</w:t>
            </w: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0"/>
              </w:rPr>
              <w:t>$ 10,099,209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95"/>
              </w:rPr>
              <w:t>(20,716)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(691)</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1"/>
              </w:rPr>
              <w:t>$ (6,367,583)</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$ 3,710,386</w:t>
            </w:r>
          </w:p>
        </w:tc>
        <w:tc>
          <w:tcPr>
            <w:tcW w:w="0" w:type="dxa"/>
            <w:vAlign w:val="bottom"/>
          </w:tcPr>
          <w:p>
            <w:pPr>
              <w:spacing w:after="0"/>
              <w:rPr>
                <w:sz w:val="1"/>
                <w:szCs w:val="1"/>
                <w:color w:val="auto"/>
              </w:rPr>
            </w:pPr>
          </w:p>
        </w:tc>
      </w:tr>
      <w:tr>
        <w:trPr>
          <w:trHeight w:val="182"/>
        </w:trPr>
        <w:tc>
          <w:tcPr>
            <w:tcW w:w="4940" w:type="dxa"/>
            <w:vAlign w:val="bottom"/>
            <w:gridSpan w:val="2"/>
          </w:tcPr>
          <w:p>
            <w:pPr>
              <w:ind w:left="140"/>
              <w:spacing w:after="0"/>
              <w:rPr>
                <w:sz w:val="20"/>
                <w:szCs w:val="20"/>
                <w:color w:val="auto"/>
              </w:rPr>
            </w:pPr>
            <w:r>
              <w:rPr>
                <w:rFonts w:ascii="Arial" w:cs="Arial" w:eastAsia="Arial" w:hAnsi="Arial"/>
                <w:sz w:val="14"/>
                <w:szCs w:val="14"/>
                <w:color w:val="auto"/>
              </w:rPr>
              <w:t>Net loss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ind w:right="40"/>
              <w:spacing w:after="0"/>
              <w:rPr>
                <w:sz w:val="20"/>
                <w:szCs w:val="20"/>
                <w:color w:val="auto"/>
              </w:rPr>
            </w:pPr>
            <w:r>
              <w:rPr>
                <w:rFonts w:ascii="Arial" w:cs="Arial" w:eastAsia="Arial" w:hAnsi="Arial"/>
                <w:sz w:val="14"/>
                <w:szCs w:val="14"/>
                <w:color w:val="auto"/>
              </w:rPr>
              <w:t>(530,101)</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(530,101)</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Net unrealized losses on investments, net of tax</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(12,575)</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(12,575)</w:t>
            </w:r>
          </w:p>
        </w:tc>
        <w:tc>
          <w:tcPr>
            <w:tcW w:w="0" w:type="dxa"/>
            <w:vAlign w:val="bottom"/>
          </w:tcPr>
          <w:p>
            <w:pPr>
              <w:spacing w:after="0"/>
              <w:rPr>
                <w:sz w:val="1"/>
                <w:szCs w:val="1"/>
                <w:color w:val="auto"/>
              </w:rPr>
            </w:pPr>
          </w:p>
        </w:tc>
      </w:tr>
      <w:tr>
        <w:trPr>
          <w:trHeight w:val="182"/>
        </w:trPr>
        <w:tc>
          <w:tcPr>
            <w:tcW w:w="4940" w:type="dxa"/>
            <w:vAlign w:val="bottom"/>
            <w:gridSpan w:val="2"/>
          </w:tcPr>
          <w:p>
            <w:pPr>
              <w:ind w:left="140"/>
              <w:spacing w:after="0"/>
              <w:rPr>
                <w:sz w:val="20"/>
                <w:szCs w:val="20"/>
                <w:color w:val="auto"/>
              </w:rPr>
            </w:pPr>
            <w:r>
              <w:rPr>
                <w:rFonts w:ascii="Arial" w:cs="Arial" w:eastAsia="Arial" w:hAnsi="Arial"/>
                <w:sz w:val="14"/>
                <w:szCs w:val="14"/>
                <w:color w:val="auto"/>
              </w:rPr>
              <w:t>Issuance and sale of common stock for tax withholdings of employee RSUs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(21,654)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(21,654)</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Issuance of common stock upon vesting of employee RSUs</w:t>
            </w:r>
          </w:p>
        </w:tc>
        <w:tc>
          <w:tcPr>
            <w:tcW w:w="10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5,100,389</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940" w:type="dxa"/>
            <w:vAlign w:val="bottom"/>
            <w:gridSpan w:val="2"/>
          </w:tcPr>
          <w:p>
            <w:pPr>
              <w:ind w:left="140"/>
              <w:spacing w:after="0"/>
              <w:rPr>
                <w:sz w:val="20"/>
                <w:szCs w:val="20"/>
                <w:color w:val="auto"/>
              </w:rPr>
            </w:pPr>
            <w:r>
              <w:rPr>
                <w:rFonts w:ascii="Arial" w:cs="Arial" w:eastAsia="Arial" w:hAnsi="Arial"/>
                <w:sz w:val="14"/>
                <w:szCs w:val="14"/>
                <w:color w:val="auto"/>
              </w:rPr>
              <w:t>Issuance of common stock upon exercise of stock options</w:t>
            </w:r>
          </w:p>
        </w:tc>
        <w:tc>
          <w:tcPr>
            <w:tcW w:w="1040" w:type="dxa"/>
            <w:vAlign w:val="bottom"/>
            <w:gridSpan w:val="4"/>
          </w:tcPr>
          <w:p>
            <w:pPr>
              <w:jc w:val="right"/>
              <w:ind w:right="60"/>
              <w:spacing w:after="0"/>
              <w:rPr>
                <w:sz w:val="20"/>
                <w:szCs w:val="20"/>
                <w:color w:val="auto"/>
              </w:rPr>
            </w:pPr>
            <w:r>
              <w:rPr>
                <w:rFonts w:ascii="Arial" w:cs="Arial" w:eastAsia="Arial" w:hAnsi="Arial"/>
                <w:sz w:val="14"/>
                <w:szCs w:val="14"/>
                <w:color w:val="auto"/>
              </w:rPr>
              <w:t>2,503,338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1,888</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1,889</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83,302</w:t>
            </w: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83,302</w:t>
            </w:r>
          </w:p>
        </w:tc>
        <w:tc>
          <w:tcPr>
            <w:tcW w:w="0" w:type="dxa"/>
            <w:vAlign w:val="bottom"/>
          </w:tcPr>
          <w:p>
            <w:pPr>
              <w:spacing w:after="0"/>
              <w:rPr>
                <w:sz w:val="1"/>
                <w:szCs w:val="1"/>
                <w:color w:val="auto"/>
              </w:rPr>
            </w:pPr>
          </w:p>
        </w:tc>
      </w:tr>
      <w:tr>
        <w:trPr>
          <w:trHeight w:val="196"/>
        </w:trPr>
        <w:tc>
          <w:tcPr>
            <w:tcW w:w="49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September 30, 2022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91"/>
              </w:rPr>
              <w:t>1,680,147,338</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168</w:t>
            </w:r>
          </w:p>
        </w:tc>
        <w:tc>
          <w:tcPr>
            <w:tcW w:w="10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$ 10,162,745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95"/>
              </w:rPr>
              <w:t>(20,716)</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(13,266)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1"/>
              </w:rPr>
              <w:t>$ (6,897,684)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$ 3,231,247</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4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4"/>
            <w:vMerge w:val="restart"/>
          </w:tcPr>
          <w:p>
            <w:pPr>
              <w:jc w:val="right"/>
              <w:ind w:right="213"/>
              <w:spacing w:after="0"/>
              <w:rPr>
                <w:sz w:val="20"/>
                <w:szCs w:val="20"/>
                <w:color w:val="auto"/>
              </w:rPr>
            </w:pPr>
            <w:r>
              <w:rPr>
                <w:rFonts w:ascii="Arial" w:cs="Arial" w:eastAsia="Arial" w:hAnsi="Arial"/>
                <w:sz w:val="13"/>
                <w:szCs w:val="13"/>
                <w:b w:val="1"/>
                <w:bCs w:val="1"/>
                <w:color w:val="auto"/>
              </w:rPr>
              <w:t>Convertible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4"/>
          </w:tcPr>
          <w:p>
            <w:pPr>
              <w:jc w:val="right"/>
              <w:ind w:right="93"/>
              <w:spacing w:after="0" w:line="135" w:lineRule="exact"/>
              <w:rPr>
                <w:sz w:val="20"/>
                <w:szCs w:val="20"/>
                <w:color w:val="auto"/>
              </w:rPr>
            </w:pPr>
            <w:r>
              <w:rPr>
                <w:rFonts w:ascii="Arial" w:cs="Arial" w:eastAsia="Arial" w:hAnsi="Arial"/>
                <w:sz w:val="13"/>
                <w:szCs w:val="13"/>
                <w:b w:val="1"/>
                <w:bCs w:val="1"/>
                <w:color w:val="auto"/>
              </w:rPr>
              <w:t>Preferred Stock</w:t>
            </w:r>
          </w:p>
        </w:tc>
        <w:tc>
          <w:tcPr>
            <w:tcW w:w="3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gridSpan w:val="7"/>
          </w:tcPr>
          <w:p>
            <w:pPr>
              <w:jc w:val="right"/>
              <w:ind w:right="420"/>
              <w:spacing w:after="0" w:line="135" w:lineRule="exact"/>
              <w:rPr>
                <w:sz w:val="20"/>
                <w:szCs w:val="20"/>
                <w:color w:val="auto"/>
              </w:rPr>
            </w:pPr>
            <w:r>
              <w:rPr>
                <w:rFonts w:ascii="Arial" w:cs="Arial" w:eastAsia="Arial" w:hAnsi="Arial"/>
                <w:sz w:val="13"/>
                <w:szCs w:val="13"/>
                <w:b w:val="1"/>
                <w:bCs w:val="1"/>
                <w:color w:val="auto"/>
              </w:rPr>
              <w:t>Common Stock</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w w:val="88"/>
              </w:rPr>
              <w:t>Accumulated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41"/>
        </w:trPr>
        <w:tc>
          <w:tcPr>
            <w:tcW w:w="4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 2021</w:t>
            </w: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2"/>
            <w:vMerge w:val="restart"/>
          </w:tcPr>
          <w:p>
            <w:pPr>
              <w:ind w:left="80"/>
              <w:spacing w:after="0" w:line="122" w:lineRule="exact"/>
              <w:rPr>
                <w:sz w:val="20"/>
                <w:szCs w:val="20"/>
                <w:color w:val="auto"/>
              </w:rPr>
            </w:pPr>
            <w:r>
              <w:rPr>
                <w:rFonts w:ascii="Arial" w:cs="Arial" w:eastAsia="Arial" w:hAnsi="Arial"/>
                <w:sz w:val="13"/>
                <w:szCs w:val="13"/>
                <w:b w:val="1"/>
                <w:bCs w:val="1"/>
                <w:color w:val="auto"/>
              </w:rPr>
              <w:t>Paid-In</w:t>
            </w: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61"/>
        </w:trPr>
        <w:tc>
          <w:tcPr>
            <w:tcW w:w="49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w w:val="99"/>
              </w:rPr>
              <w:t>Shares</w:t>
            </w:r>
            <w:r>
              <w:rPr>
                <w:rFonts w:ascii="Arial" w:cs="Arial" w:eastAsia="Arial" w:hAnsi="Arial"/>
                <w:sz w:val="16"/>
                <w:szCs w:val="16"/>
                <w:b w:val="1"/>
                <w:bCs w:val="1"/>
                <w:color w:val="auto"/>
                <w:w w:val="99"/>
                <w:vertAlign w:val="superscript"/>
              </w:rPr>
              <w:t>(1)</w:t>
            </w:r>
          </w:p>
        </w:tc>
        <w:tc>
          <w:tcPr>
            <w:tcW w:w="80" w:type="dxa"/>
            <w:vAlign w:val="bottom"/>
          </w:tcPr>
          <w:p>
            <w:pPr>
              <w:spacing w:after="0"/>
              <w:rPr>
                <w:sz w:val="5"/>
                <w:szCs w:val="5"/>
                <w:color w:val="auto"/>
              </w:rPr>
            </w:pPr>
          </w:p>
        </w:tc>
        <w:tc>
          <w:tcPr>
            <w:tcW w:w="78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w w:val="93"/>
              </w:rPr>
              <w:t>Amount</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9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right w:val="single" w:sz="8" w:color="auto"/>
            </w:tcBorders>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Deficit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96"/>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2021</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1,155,909,367</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$ 5,836,785</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36,799,150</w:t>
            </w: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4</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26,613</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 (4,495,789)</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 (4,469,172)</w:t>
            </w:r>
          </w:p>
        </w:tc>
        <w:tc>
          <w:tcPr>
            <w:tcW w:w="0" w:type="dxa"/>
            <w:vAlign w:val="bottom"/>
          </w:tcPr>
          <w:p>
            <w:pPr>
              <w:spacing w:after="0"/>
              <w:rPr>
                <w:sz w:val="1"/>
                <w:szCs w:val="1"/>
                <w:color w:val="auto"/>
              </w:rPr>
            </w:pPr>
          </w:p>
        </w:tc>
      </w:tr>
      <w:tr>
        <w:trPr>
          <w:trHeight w:val="182"/>
        </w:trPr>
        <w:tc>
          <w:tcPr>
            <w:tcW w:w="4940" w:type="dxa"/>
            <w:vAlign w:val="bottom"/>
            <w:gridSpan w:val="2"/>
          </w:tcPr>
          <w:p>
            <w:pPr>
              <w:ind w:left="140"/>
              <w:spacing w:after="0"/>
              <w:rPr>
                <w:sz w:val="20"/>
                <w:szCs w:val="20"/>
                <w:color w:val="auto"/>
              </w:rPr>
            </w:pPr>
            <w:r>
              <w:rPr>
                <w:rFonts w:ascii="Arial" w:cs="Arial" w:eastAsia="Arial" w:hAnsi="Arial"/>
                <w:sz w:val="14"/>
                <w:szCs w:val="14"/>
                <w:color w:val="auto"/>
              </w:rPr>
              <w:t>Net loss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(524,403)</w:t>
            </w:r>
          </w:p>
        </w:tc>
        <w:tc>
          <w:tcPr>
            <w:tcW w:w="4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(524,403)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40" w:type="dxa"/>
            <w:vAlign w:val="bottom"/>
            <w:gridSpan w:val="2"/>
            <w:shd w:val="clear" w:color="auto" w:fill="CCEEFF"/>
          </w:tcPr>
          <w:p>
            <w:pPr>
              <w:ind w:left="140"/>
              <w:spacing w:after="0" w:line="143" w:lineRule="exact"/>
              <w:rPr>
                <w:sz w:val="20"/>
                <w:szCs w:val="20"/>
                <w:color w:val="auto"/>
              </w:rPr>
            </w:pPr>
            <w:r>
              <w:rPr>
                <w:rFonts w:ascii="Arial" w:cs="Arial" w:eastAsia="Arial" w:hAnsi="Arial"/>
                <w:sz w:val="14"/>
                <w:szCs w:val="14"/>
                <w:color w:val="auto"/>
                <w:w w:val="97"/>
              </w:rPr>
              <w:t>Conversion of convertible preferred stock into common stock in connection with</w:t>
            </w:r>
          </w:p>
        </w:tc>
        <w:tc>
          <w:tcPr>
            <w:tcW w:w="9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(1,155,909,367)</w:t>
            </w:r>
          </w:p>
        </w:tc>
        <w:tc>
          <w:tcPr>
            <w:tcW w:w="8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(5,836,785)</w:t>
            </w: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w w:val="96"/>
              </w:rPr>
              <w:t>1,155,909,367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116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5,836,669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5,836,785</w:t>
            </w:r>
          </w:p>
        </w:tc>
        <w:tc>
          <w:tcPr>
            <w:tcW w:w="0" w:type="dxa"/>
            <w:vAlign w:val="bottom"/>
          </w:tcPr>
          <w:p>
            <w:pPr>
              <w:spacing w:after="0"/>
              <w:rPr>
                <w:sz w:val="1"/>
                <w:szCs w:val="1"/>
                <w:color w:val="auto"/>
              </w:rPr>
            </w:pPr>
          </w:p>
        </w:tc>
      </w:tr>
      <w:tr>
        <w:trPr>
          <w:trHeight w:val="194"/>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the reverse recapitalization</w:t>
            </w:r>
          </w:p>
        </w:tc>
        <w:tc>
          <w:tcPr>
            <w:tcW w:w="96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6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94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Issuance of common stock and common stock warrants upon the reverse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90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425,395,023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42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w w:val="93"/>
              </w:rPr>
              <w:t>3,590,914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3"/>
            <w:vMerge w:val="restart"/>
          </w:tcPr>
          <w:p>
            <w:pPr>
              <w:jc w:val="right"/>
              <w:spacing w:after="0"/>
              <w:rPr>
                <w:sz w:val="20"/>
                <w:szCs w:val="20"/>
                <w:color w:val="auto"/>
              </w:rPr>
            </w:pPr>
            <w:r>
              <w:rPr>
                <w:rFonts w:ascii="Arial" w:cs="Arial" w:eastAsia="Arial" w:hAnsi="Arial"/>
                <w:sz w:val="14"/>
                <w:szCs w:val="14"/>
                <w:color w:val="auto"/>
              </w:rPr>
              <w:t>3,590,956</w:t>
            </w:r>
          </w:p>
        </w:tc>
        <w:tc>
          <w:tcPr>
            <w:tcW w:w="0" w:type="dxa"/>
            <w:vAlign w:val="bottom"/>
          </w:tcPr>
          <w:p>
            <w:pPr>
              <w:spacing w:after="0"/>
              <w:rPr>
                <w:sz w:val="1"/>
                <w:szCs w:val="1"/>
                <w:color w:val="auto"/>
              </w:rPr>
            </w:pPr>
          </w:p>
        </w:tc>
      </w:tr>
      <w:tr>
        <w:trPr>
          <w:trHeight w:val="188"/>
        </w:trPr>
        <w:tc>
          <w:tcPr>
            <w:tcW w:w="4940" w:type="dxa"/>
            <w:vAlign w:val="bottom"/>
            <w:gridSpan w:val="2"/>
          </w:tcPr>
          <w:p>
            <w:pPr>
              <w:ind w:left="140"/>
              <w:spacing w:after="0"/>
              <w:rPr>
                <w:sz w:val="20"/>
                <w:szCs w:val="20"/>
                <w:color w:val="auto"/>
              </w:rPr>
            </w:pPr>
            <w:r>
              <w:rPr>
                <w:rFonts w:ascii="Arial" w:cs="Arial" w:eastAsia="Arial" w:hAnsi="Arial"/>
                <w:sz w:val="14"/>
                <w:szCs w:val="14"/>
                <w:color w:val="auto"/>
              </w:rPr>
              <w:t>recapitalization, net of issuance costs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Issuance of common stock upon exercise of common stock warrants</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22,651,424</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173,271</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173,273</w:t>
            </w:r>
          </w:p>
        </w:tc>
        <w:tc>
          <w:tcPr>
            <w:tcW w:w="0" w:type="dxa"/>
            <w:vAlign w:val="bottom"/>
          </w:tcPr>
          <w:p>
            <w:pPr>
              <w:spacing w:after="0"/>
              <w:rPr>
                <w:sz w:val="1"/>
                <w:szCs w:val="1"/>
                <w:color w:val="auto"/>
              </w:rPr>
            </w:pPr>
          </w:p>
        </w:tc>
      </w:tr>
      <w:tr>
        <w:trPr>
          <w:trHeight w:val="182"/>
        </w:trPr>
        <w:tc>
          <w:tcPr>
            <w:tcW w:w="4940" w:type="dxa"/>
            <w:vAlign w:val="bottom"/>
            <w:gridSpan w:val="2"/>
          </w:tcPr>
          <w:p>
            <w:pPr>
              <w:ind w:left="140"/>
              <w:spacing w:after="0"/>
              <w:rPr>
                <w:sz w:val="20"/>
                <w:szCs w:val="20"/>
                <w:color w:val="auto"/>
              </w:rPr>
            </w:pPr>
            <w:r>
              <w:rPr>
                <w:rFonts w:ascii="Arial" w:cs="Arial" w:eastAsia="Arial" w:hAnsi="Arial"/>
                <w:sz w:val="14"/>
                <w:szCs w:val="14"/>
                <w:color w:val="auto"/>
              </w:rPr>
              <w:t>Issuance of common stock upon exercise of stock options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4"/>
                <w:szCs w:val="14"/>
                <w:color w:val="auto"/>
              </w:rPr>
              <w:t>887,852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763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763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236,956</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236,956</w:t>
            </w:r>
          </w:p>
        </w:tc>
        <w:tc>
          <w:tcPr>
            <w:tcW w:w="0" w:type="dxa"/>
            <w:vAlign w:val="bottom"/>
          </w:tcPr>
          <w:p>
            <w:pPr>
              <w:spacing w:after="0"/>
              <w:rPr>
                <w:sz w:val="1"/>
                <w:szCs w:val="1"/>
                <w:color w:val="auto"/>
              </w:rPr>
            </w:pPr>
          </w:p>
        </w:tc>
      </w:tr>
      <w:tr>
        <w:trPr>
          <w:trHeight w:val="236"/>
        </w:trPr>
        <w:tc>
          <w:tcPr>
            <w:tcW w:w="49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September 30, 2021</w:t>
            </w:r>
          </w:p>
        </w:tc>
        <w:tc>
          <w:tcPr>
            <w:tcW w:w="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p>
        </w:tc>
        <w:tc>
          <w:tcPr>
            <w:tcW w:w="460" w:type="dxa"/>
            <w:vAlign w:val="bottom"/>
            <w:tcBorders>
              <w:top w:val="single" w:sz="8" w:color="auto"/>
              <w:bottom w:val="single" w:sz="8" w:color="auto"/>
            </w:tcBorders>
            <w:gridSpan w:val="2"/>
          </w:tcPr>
          <w:p>
            <w:pPr>
              <w:jc w:val="right"/>
              <w:ind w:right="293"/>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93"/>
              </w:rPr>
              <w:t>1,641,642,816</w:t>
            </w:r>
          </w:p>
        </w:tc>
        <w:tc>
          <w:tcPr>
            <w:tcW w:w="4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164</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9,865,186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 (5,020,192)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$ 4,845,158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______________________________________________________________</w:t>
      </w:r>
    </w:p>
    <w:p>
      <w:pPr>
        <w:spacing w:after="0" w:line="52" w:lineRule="exact"/>
        <w:rPr>
          <w:sz w:val="20"/>
          <w:szCs w:val="20"/>
          <w:color w:val="auto"/>
        </w:rPr>
      </w:pPr>
    </w:p>
    <w:p>
      <w:pPr>
        <w:ind w:right="120" w:firstLine="8"/>
        <w:spacing w:after="0" w:line="293" w:lineRule="auto"/>
        <w:tabs>
          <w:tab w:leader="none" w:pos="132" w:val="left"/>
        </w:tabs>
        <w:numPr>
          <w:ilvl w:val="0"/>
          <w:numId w:val="4"/>
        </w:numPr>
        <w:rPr>
          <w:rFonts w:ascii="Arial" w:cs="Arial" w:eastAsia="Arial" w:hAnsi="Arial"/>
          <w:sz w:val="9"/>
          <w:szCs w:val="9"/>
          <w:color w:val="auto"/>
        </w:rPr>
      </w:pPr>
      <w:r>
        <w:rPr>
          <w:rFonts w:ascii="Arial" w:cs="Arial" w:eastAsia="Arial" w:hAnsi="Arial"/>
          <w:sz w:val="14"/>
          <w:szCs w:val="14"/>
          <w:color w:val="auto"/>
        </w:rPr>
        <w:t>The number of shares of convertible preferred stock and common stock issued and outstanding prior to the Merger have been retroactively adjusted by the Exchange Ratio to give effect to the reverse recapitalization treatment of the Merger. See Note 1 “Description of Business” and Note 3 “Reverse Capitalization” for more information.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7"/>
            <w:vMerge w:val="restart"/>
          </w:tcPr>
          <w:p>
            <w:pPr>
              <w:ind w:left="440"/>
              <w:spacing w:after="0"/>
              <w:rPr>
                <w:sz w:val="20"/>
                <w:szCs w:val="20"/>
                <w:color w:val="auto"/>
              </w:rPr>
            </w:pPr>
            <w:r>
              <w:rPr>
                <w:rFonts w:ascii="Arial" w:cs="Arial" w:eastAsia="Arial" w:hAnsi="Arial"/>
                <w:sz w:val="13"/>
                <w:szCs w:val="13"/>
                <w:b w:val="1"/>
                <w:bCs w:val="1"/>
                <w:color w:val="auto"/>
              </w:rPr>
              <w:t>Common Stock</w:t>
            </w:r>
          </w:p>
        </w:tc>
        <w:tc>
          <w:tcPr>
            <w:tcW w:w="20" w:type="dxa"/>
            <w:vAlign w:val="bottom"/>
          </w:tcPr>
          <w:p>
            <w:pPr>
              <w:spacing w:after="0"/>
              <w:rPr>
                <w:sz w:val="13"/>
                <w:szCs w:val="13"/>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Additional</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8"/>
              </w:rPr>
              <w:t>Accumulated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22"/>
        </w:trPr>
        <w:tc>
          <w:tcPr>
            <w:tcW w:w="4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gridSpan w:val="7"/>
            <w:vMerge w:val="continue"/>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2"/>
              </w:rPr>
              <w:t>Other</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2022</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880" w:type="dxa"/>
            <w:vAlign w:val="bottom"/>
            <w:gridSpan w:val="2"/>
            <w:vMerge w:val="restart"/>
          </w:tcPr>
          <w:p>
            <w:pPr>
              <w:jc w:val="right"/>
              <w:ind w:right="280"/>
              <w:spacing w:after="0" w:line="122" w:lineRule="exact"/>
              <w:rPr>
                <w:sz w:val="20"/>
                <w:szCs w:val="20"/>
                <w:color w:val="auto"/>
              </w:rPr>
            </w:pPr>
            <w:r>
              <w:rPr>
                <w:rFonts w:ascii="Arial" w:cs="Arial" w:eastAsia="Arial" w:hAnsi="Arial"/>
                <w:sz w:val="13"/>
                <w:szCs w:val="13"/>
                <w:b w:val="1"/>
                <w:bCs w:val="1"/>
                <w:color w:val="auto"/>
              </w:rPr>
              <w:t>Paid-In</w:t>
            </w:r>
          </w:p>
        </w:tc>
        <w:tc>
          <w:tcPr>
            <w:tcW w:w="4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700" w:type="dxa"/>
            <w:vAlign w:val="bottom"/>
            <w:gridSpan w:val="3"/>
            <w:vMerge w:val="restart"/>
          </w:tcPr>
          <w:p>
            <w:pPr>
              <w:ind w:left="20"/>
              <w:spacing w:after="0" w:line="122" w:lineRule="exact"/>
              <w:rPr>
                <w:sz w:val="20"/>
                <w:szCs w:val="20"/>
                <w:color w:val="auto"/>
              </w:rPr>
            </w:pPr>
            <w:r>
              <w:rPr>
                <w:rFonts w:ascii="Arial" w:cs="Arial" w:eastAsia="Arial" w:hAnsi="Arial"/>
                <w:sz w:val="13"/>
                <w:szCs w:val="13"/>
                <w:b w:val="1"/>
                <w:bCs w:val="1"/>
                <w:color w:val="auto"/>
              </w:rPr>
              <w:t>Treasury</w:t>
            </w:r>
          </w:p>
        </w:tc>
        <w:tc>
          <w:tcPr>
            <w:tcW w:w="20" w:type="dxa"/>
            <w:vAlign w:val="bottom"/>
            <w:vMerge w:val="restart"/>
          </w:tcPr>
          <w:p>
            <w:pPr>
              <w:spacing w:after="0"/>
              <w:rPr>
                <w:sz w:val="4"/>
                <w:szCs w:val="4"/>
                <w:color w:val="auto"/>
              </w:rPr>
            </w:pPr>
          </w:p>
        </w:tc>
        <w:tc>
          <w:tcPr>
            <w:tcW w:w="860" w:type="dxa"/>
            <w:vAlign w:val="bottom"/>
            <w:gridSpan w:val="4"/>
            <w:vMerge w:val="restart"/>
          </w:tcPr>
          <w:p>
            <w:pPr>
              <w:jc w:val="center"/>
              <w:ind w:right="20"/>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gridSpan w:val="2"/>
            <w:vMerge w:val="restart"/>
          </w:tcPr>
          <w:p>
            <w:pPr>
              <w:jc w:val="right"/>
              <w:ind w:right="60"/>
              <w:spacing w:after="0" w:line="122" w:lineRule="exact"/>
              <w:rPr>
                <w:sz w:val="20"/>
                <w:szCs w:val="20"/>
                <w:color w:val="auto"/>
              </w:rPr>
            </w:pPr>
            <w:r>
              <w:rPr>
                <w:rFonts w:ascii="Arial" w:cs="Arial" w:eastAsia="Arial" w:hAnsi="Arial"/>
                <w:sz w:val="13"/>
                <w:szCs w:val="13"/>
                <w:b w:val="1"/>
                <w:bCs w:val="1"/>
                <w:color w:val="auto"/>
                <w:w w:val="90"/>
              </w:rPr>
              <w:t>Accumulated</w:t>
            </w: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48"/>
        </w:trPr>
        <w:tc>
          <w:tcPr>
            <w:tcW w:w="49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9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Capital</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spacing w:after="0"/>
              <w:rPr>
                <w:sz w:val="20"/>
                <w:szCs w:val="20"/>
                <w:color w:val="auto"/>
              </w:rPr>
            </w:pPr>
            <w:r>
              <w:rPr>
                <w:rFonts w:ascii="Arial" w:cs="Arial" w:eastAsia="Arial" w:hAnsi="Arial"/>
                <w:sz w:val="13"/>
                <w:szCs w:val="13"/>
                <w:b w:val="1"/>
                <w:bCs w:val="1"/>
                <w:color w:val="auto"/>
              </w:rPr>
              <w:t>Stock</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78"/>
              </w:rPr>
              <w:t>Loss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Deficit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96"/>
        </w:trPr>
        <w:tc>
          <w:tcPr>
            <w:tcW w:w="49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January 1, 2022</w:t>
            </w: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1"/>
              </w:rPr>
              <w:t>1,647,555,590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165</w:t>
            </w: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$ 9,995,778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95"/>
              </w:rPr>
              <w:t>(20,716)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1"/>
              </w:rPr>
              <w:t>$ (6,065,872)</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$ 3,909,355</w:t>
            </w:r>
          </w:p>
        </w:tc>
        <w:tc>
          <w:tcPr>
            <w:tcW w:w="0" w:type="dxa"/>
            <w:vAlign w:val="bottom"/>
          </w:tcPr>
          <w:p>
            <w:pPr>
              <w:spacing w:after="0"/>
              <w:rPr>
                <w:sz w:val="1"/>
                <w:szCs w:val="1"/>
                <w:color w:val="auto"/>
              </w:rPr>
            </w:pPr>
          </w:p>
        </w:tc>
      </w:tr>
      <w:tr>
        <w:trPr>
          <w:trHeight w:val="182"/>
        </w:trPr>
        <w:tc>
          <w:tcPr>
            <w:tcW w:w="4940" w:type="dxa"/>
            <w:vAlign w:val="bottom"/>
            <w:gridSpan w:val="2"/>
          </w:tcPr>
          <w:p>
            <w:pPr>
              <w:ind w:left="140"/>
              <w:spacing w:after="0"/>
              <w:rPr>
                <w:sz w:val="20"/>
                <w:szCs w:val="20"/>
                <w:color w:val="auto"/>
              </w:rPr>
            </w:pPr>
            <w:r>
              <w:rPr>
                <w:rFonts w:ascii="Arial" w:cs="Arial" w:eastAsia="Arial" w:hAnsi="Arial"/>
                <w:sz w:val="14"/>
                <w:szCs w:val="14"/>
                <w:color w:val="auto"/>
              </w:rPr>
              <w:t>Net loss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ind w:right="40"/>
              <w:spacing w:after="0"/>
              <w:rPr>
                <w:sz w:val="20"/>
                <w:szCs w:val="20"/>
                <w:color w:val="auto"/>
              </w:rPr>
            </w:pPr>
            <w:r>
              <w:rPr>
                <w:rFonts w:ascii="Arial" w:cs="Arial" w:eastAsia="Arial" w:hAnsi="Arial"/>
                <w:sz w:val="14"/>
                <w:szCs w:val="14"/>
                <w:color w:val="auto"/>
              </w:rPr>
              <w:t>(831,812)</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(831,812)</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Net unrealized losses on investments, net of tax</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(13,266)</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(13,266)</w:t>
            </w:r>
          </w:p>
        </w:tc>
        <w:tc>
          <w:tcPr>
            <w:tcW w:w="0" w:type="dxa"/>
            <w:vAlign w:val="bottom"/>
          </w:tcPr>
          <w:p>
            <w:pPr>
              <w:spacing w:after="0"/>
              <w:rPr>
                <w:sz w:val="1"/>
                <w:szCs w:val="1"/>
                <w:color w:val="auto"/>
              </w:rPr>
            </w:pPr>
          </w:p>
        </w:tc>
      </w:tr>
      <w:tr>
        <w:trPr>
          <w:trHeight w:val="182"/>
        </w:trPr>
        <w:tc>
          <w:tcPr>
            <w:tcW w:w="4940" w:type="dxa"/>
            <w:vAlign w:val="bottom"/>
            <w:gridSpan w:val="2"/>
          </w:tcPr>
          <w:p>
            <w:pPr>
              <w:ind w:left="140"/>
              <w:spacing w:after="0"/>
              <w:rPr>
                <w:sz w:val="20"/>
                <w:szCs w:val="20"/>
                <w:color w:val="auto"/>
              </w:rPr>
            </w:pPr>
            <w:r>
              <w:rPr>
                <w:rFonts w:ascii="Arial" w:cs="Arial" w:eastAsia="Arial" w:hAnsi="Arial"/>
                <w:sz w:val="14"/>
                <w:szCs w:val="14"/>
                <w:color w:val="auto"/>
              </w:rPr>
              <w:t>Issuance and sale of common stock for tax withholdings of employee RSUs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(212,895)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(212,895)</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Issuance of common stock upon vesting of employee RSUs</w:t>
            </w:r>
          </w:p>
        </w:tc>
        <w:tc>
          <w:tcPr>
            <w:tcW w:w="10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13,142,048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940" w:type="dxa"/>
            <w:vAlign w:val="bottom"/>
            <w:gridSpan w:val="2"/>
          </w:tcPr>
          <w:p>
            <w:pPr>
              <w:ind w:left="140"/>
              <w:spacing w:after="0"/>
              <w:rPr>
                <w:sz w:val="20"/>
                <w:szCs w:val="20"/>
                <w:color w:val="auto"/>
              </w:rPr>
            </w:pPr>
            <w:r>
              <w:rPr>
                <w:rFonts w:ascii="Arial" w:cs="Arial" w:eastAsia="Arial" w:hAnsi="Arial"/>
                <w:sz w:val="14"/>
                <w:szCs w:val="14"/>
                <w:color w:val="auto"/>
              </w:rPr>
              <w:t>Issuance of common stock under employee stock purchase plan</w:t>
            </w:r>
          </w:p>
        </w:tc>
        <w:tc>
          <w:tcPr>
            <w:tcW w:w="1040" w:type="dxa"/>
            <w:vAlign w:val="bottom"/>
            <w:gridSpan w:val="4"/>
          </w:tcPr>
          <w:p>
            <w:pPr>
              <w:jc w:val="right"/>
              <w:ind w:right="60"/>
              <w:spacing w:after="0"/>
              <w:rPr>
                <w:sz w:val="20"/>
                <w:szCs w:val="20"/>
                <w:color w:val="auto"/>
              </w:rPr>
            </w:pPr>
            <w:r>
              <w:rPr>
                <w:rFonts w:ascii="Arial" w:cs="Arial" w:eastAsia="Arial" w:hAnsi="Arial"/>
                <w:sz w:val="14"/>
                <w:szCs w:val="14"/>
                <w:color w:val="auto"/>
              </w:rPr>
              <w:t>751,036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12,882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12,882</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Issuance of common stock upon exercise of stock options</w:t>
            </w:r>
          </w:p>
        </w:tc>
        <w:tc>
          <w:tcPr>
            <w:tcW w:w="10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18,698,664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14,736</w:t>
            </w: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14,738</w:t>
            </w:r>
          </w:p>
        </w:tc>
        <w:tc>
          <w:tcPr>
            <w:tcW w:w="0" w:type="dxa"/>
            <w:vAlign w:val="bottom"/>
          </w:tcPr>
          <w:p>
            <w:pPr>
              <w:spacing w:after="0"/>
              <w:rPr>
                <w:sz w:val="1"/>
                <w:szCs w:val="1"/>
                <w:color w:val="auto"/>
              </w:rPr>
            </w:pPr>
          </w:p>
        </w:tc>
      </w:tr>
      <w:tr>
        <w:trPr>
          <w:trHeight w:val="182"/>
        </w:trPr>
        <w:tc>
          <w:tcPr>
            <w:tcW w:w="4940" w:type="dxa"/>
            <w:vAlign w:val="bottom"/>
            <w:gridSpan w:val="2"/>
          </w:tcPr>
          <w:p>
            <w:pPr>
              <w:ind w:left="140"/>
              <w:spacing w:after="0"/>
              <w:rPr>
                <w:sz w:val="20"/>
                <w:szCs w:val="20"/>
                <w:color w:val="auto"/>
              </w:rPr>
            </w:pPr>
            <w:r>
              <w:rPr>
                <w:rFonts w:ascii="Arial" w:cs="Arial" w:eastAsia="Arial" w:hAnsi="Arial"/>
                <w:sz w:val="14"/>
                <w:szCs w:val="14"/>
                <w:color w:val="auto"/>
              </w:rPr>
              <w:t>Stock-based compensation</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352,245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352,245</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2022</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1"/>
              </w:rPr>
              <w:t>1,680,147,338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168</w:t>
            </w:r>
          </w:p>
        </w:tc>
        <w:tc>
          <w:tcPr>
            <w:tcW w:w="100" w:type="dxa"/>
            <w:vAlign w:val="bottom"/>
            <w:tcBorders>
              <w:bottom w:val="single" w:sz="8" w:color="auto"/>
              <w:right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0"/>
              </w:rPr>
              <w:t>$ 10,162,745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95"/>
              </w:rPr>
              <w:t>(20,716)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(13,266)</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1"/>
              </w:rPr>
              <w:t>$ (6,897,684)</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$ 3,231,247</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Convertible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tcBorders>
              <w:right w:val="single" w:sz="8" w:color="auto"/>
            </w:tcBorders>
            <w:gridSpan w:val="6"/>
          </w:tcPr>
          <w:p>
            <w:pPr>
              <w:ind w:left="340"/>
              <w:spacing w:after="0" w:line="135" w:lineRule="exact"/>
              <w:rPr>
                <w:sz w:val="20"/>
                <w:szCs w:val="20"/>
                <w:color w:val="auto"/>
              </w:rPr>
            </w:pPr>
            <w:r>
              <w:rPr>
                <w:rFonts w:ascii="Arial" w:cs="Arial" w:eastAsia="Arial" w:hAnsi="Arial"/>
                <w:sz w:val="13"/>
                <w:szCs w:val="13"/>
                <w:b w:val="1"/>
                <w:bCs w:val="1"/>
                <w:color w:val="auto"/>
              </w:rPr>
              <w:t>Preferred Stock</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gridSpan w:val="7"/>
          </w:tcPr>
          <w:p>
            <w:pPr>
              <w:jc w:val="right"/>
              <w:ind w:right="420"/>
              <w:spacing w:after="0" w:line="135" w:lineRule="exact"/>
              <w:rPr>
                <w:sz w:val="20"/>
                <w:szCs w:val="20"/>
                <w:color w:val="auto"/>
              </w:rPr>
            </w:pPr>
            <w:r>
              <w:rPr>
                <w:rFonts w:ascii="Arial" w:cs="Arial" w:eastAsia="Arial" w:hAnsi="Arial"/>
                <w:sz w:val="13"/>
                <w:szCs w:val="13"/>
                <w:b w:val="1"/>
                <w:bCs w:val="1"/>
                <w:color w:val="auto"/>
              </w:rPr>
              <w:t>Common Stock</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Additional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w w:val="88"/>
              </w:rPr>
              <w:t>Accumulated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40"/>
        </w:trPr>
        <w:tc>
          <w:tcPr>
            <w:tcW w:w="4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2021</w:t>
            </w: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2"/>
            <w:vMerge w:val="restart"/>
          </w:tcPr>
          <w:p>
            <w:pPr>
              <w:jc w:val="center"/>
              <w:ind w:right="120"/>
              <w:spacing w:after="0" w:line="122" w:lineRule="exact"/>
              <w:rPr>
                <w:sz w:val="20"/>
                <w:szCs w:val="20"/>
                <w:color w:val="auto"/>
              </w:rPr>
            </w:pPr>
            <w:r>
              <w:rPr>
                <w:rFonts w:ascii="Arial" w:cs="Arial" w:eastAsia="Arial" w:hAnsi="Arial"/>
                <w:sz w:val="13"/>
                <w:szCs w:val="13"/>
                <w:b w:val="1"/>
                <w:bCs w:val="1"/>
                <w:color w:val="auto"/>
                <w:w w:val="92"/>
              </w:rPr>
              <w:t>Paid-In</w:t>
            </w: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61"/>
        </w:trPr>
        <w:tc>
          <w:tcPr>
            <w:tcW w:w="49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w w:val="99"/>
              </w:rPr>
              <w:t>Shares</w:t>
            </w:r>
            <w:r>
              <w:rPr>
                <w:rFonts w:ascii="Arial" w:cs="Arial" w:eastAsia="Arial" w:hAnsi="Arial"/>
                <w:sz w:val="16"/>
                <w:szCs w:val="16"/>
                <w:b w:val="1"/>
                <w:bCs w:val="1"/>
                <w:color w:val="auto"/>
                <w:w w:val="99"/>
                <w:vertAlign w:val="superscript"/>
              </w:rPr>
              <w:t>(1)</w:t>
            </w:r>
          </w:p>
        </w:tc>
        <w:tc>
          <w:tcPr>
            <w:tcW w:w="80" w:type="dxa"/>
            <w:vAlign w:val="bottom"/>
          </w:tcPr>
          <w:p>
            <w:pPr>
              <w:spacing w:after="0"/>
              <w:rPr>
                <w:sz w:val="5"/>
                <w:szCs w:val="5"/>
                <w:color w:val="auto"/>
              </w:rPr>
            </w:pPr>
          </w:p>
        </w:tc>
        <w:tc>
          <w:tcPr>
            <w:tcW w:w="78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w w:val="93"/>
              </w:rPr>
              <w:t>Amount</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9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right w:val="single" w:sz="8" w:color="auto"/>
            </w:tcBorders>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Deficit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96"/>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January 1, 2021</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957,159,704</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$ 2,494,076</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28,791,702</w:t>
            </w: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38,113</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 (1,356,893)</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 (1,318,777)</w:t>
            </w:r>
          </w:p>
        </w:tc>
        <w:tc>
          <w:tcPr>
            <w:tcW w:w="0" w:type="dxa"/>
            <w:vAlign w:val="bottom"/>
          </w:tcPr>
          <w:p>
            <w:pPr>
              <w:spacing w:after="0"/>
              <w:rPr>
                <w:sz w:val="1"/>
                <w:szCs w:val="1"/>
                <w:color w:val="auto"/>
              </w:rPr>
            </w:pPr>
          </w:p>
        </w:tc>
      </w:tr>
      <w:tr>
        <w:trPr>
          <w:trHeight w:val="182"/>
        </w:trPr>
        <w:tc>
          <w:tcPr>
            <w:tcW w:w="4940" w:type="dxa"/>
            <w:vAlign w:val="bottom"/>
            <w:gridSpan w:val="2"/>
          </w:tcPr>
          <w:p>
            <w:pPr>
              <w:ind w:left="140"/>
              <w:spacing w:after="0"/>
              <w:rPr>
                <w:sz w:val="20"/>
                <w:szCs w:val="20"/>
                <w:color w:val="auto"/>
              </w:rPr>
            </w:pPr>
            <w:r>
              <w:rPr>
                <w:rFonts w:ascii="Arial" w:cs="Arial" w:eastAsia="Arial" w:hAnsi="Arial"/>
                <w:sz w:val="14"/>
                <w:szCs w:val="14"/>
                <w:color w:val="auto"/>
              </w:rPr>
              <w:t>Net loss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(1,534,081)</w:t>
            </w:r>
          </w:p>
        </w:tc>
        <w:tc>
          <w:tcPr>
            <w:tcW w:w="4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(1,534,081)</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Repurchase of Series B convertible preferred stock</w:t>
            </w: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(3,525,365)</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940" w:type="dxa"/>
            <w:vAlign w:val="bottom"/>
            <w:gridSpan w:val="2"/>
          </w:tcPr>
          <w:p>
            <w:pPr>
              <w:ind w:left="140"/>
              <w:spacing w:after="0"/>
              <w:rPr>
                <w:sz w:val="20"/>
                <w:szCs w:val="20"/>
                <w:color w:val="auto"/>
              </w:rPr>
            </w:pPr>
            <w:r>
              <w:rPr>
                <w:rFonts w:ascii="Arial" w:cs="Arial" w:eastAsia="Arial" w:hAnsi="Arial"/>
                <w:sz w:val="14"/>
                <w:szCs w:val="14"/>
                <w:color w:val="auto"/>
              </w:rPr>
              <w:t>Issuance of Series D convertible preferred stock upon exercise of warrants</w:t>
            </w: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1,546,799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12,936</w:t>
            </w: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Issuance of Series E convertible preferred stock</w:t>
            </w: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200,728,229</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3,206,159</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(22,395)</w:t>
            </w:r>
          </w:p>
        </w:tc>
        <w:tc>
          <w:tcPr>
            <w:tcW w:w="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(2,129,218)</w:t>
            </w:r>
          </w:p>
        </w:tc>
        <w:tc>
          <w:tcPr>
            <w:tcW w:w="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(2,151,613)</w:t>
            </w:r>
          </w:p>
        </w:tc>
        <w:tc>
          <w:tcPr>
            <w:tcW w:w="0" w:type="dxa"/>
            <w:vAlign w:val="bottom"/>
          </w:tcPr>
          <w:p>
            <w:pPr>
              <w:spacing w:after="0"/>
              <w:rPr>
                <w:sz w:val="1"/>
                <w:szCs w:val="1"/>
                <w:color w:val="auto"/>
              </w:rPr>
            </w:pPr>
          </w:p>
        </w:tc>
      </w:tr>
      <w:tr>
        <w:trPr>
          <w:trHeight w:val="182"/>
        </w:trPr>
        <w:tc>
          <w:tcPr>
            <w:tcW w:w="4940" w:type="dxa"/>
            <w:vAlign w:val="bottom"/>
            <w:gridSpan w:val="2"/>
          </w:tcPr>
          <w:p>
            <w:pPr>
              <w:ind w:left="140"/>
              <w:spacing w:after="0"/>
              <w:rPr>
                <w:sz w:val="20"/>
                <w:szCs w:val="20"/>
                <w:color w:val="auto"/>
              </w:rPr>
            </w:pPr>
            <w:r>
              <w:rPr>
                <w:rFonts w:ascii="Arial" w:cs="Arial" w:eastAsia="Arial" w:hAnsi="Arial"/>
                <w:sz w:val="14"/>
                <w:szCs w:val="14"/>
                <w:color w:val="auto"/>
              </w:rPr>
              <w:t>Stock-based compensation related to Series E convertible preferred stock</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123,614</w:t>
            </w: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40" w:type="dxa"/>
            <w:vAlign w:val="bottom"/>
            <w:gridSpan w:val="2"/>
            <w:shd w:val="clear" w:color="auto" w:fill="CCEEFF"/>
          </w:tcPr>
          <w:p>
            <w:pPr>
              <w:ind w:left="140"/>
              <w:spacing w:after="0" w:line="143" w:lineRule="exact"/>
              <w:rPr>
                <w:sz w:val="20"/>
                <w:szCs w:val="20"/>
                <w:color w:val="auto"/>
              </w:rPr>
            </w:pPr>
            <w:r>
              <w:rPr>
                <w:rFonts w:ascii="Arial" w:cs="Arial" w:eastAsia="Arial" w:hAnsi="Arial"/>
                <w:sz w:val="14"/>
                <w:szCs w:val="14"/>
                <w:color w:val="auto"/>
                <w:w w:val="97"/>
              </w:rPr>
              <w:t>Conversion of convertible preferred stock into common stock in connection with</w:t>
            </w:r>
          </w:p>
        </w:tc>
        <w:tc>
          <w:tcPr>
            <w:tcW w:w="9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(1,155,909,367)</w:t>
            </w:r>
          </w:p>
        </w:tc>
        <w:tc>
          <w:tcPr>
            <w:tcW w:w="8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(5,836,785)</w:t>
            </w: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w w:val="96"/>
              </w:rPr>
              <w:t>1,155,909,367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116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5,836,669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5,836,785</w:t>
            </w:r>
          </w:p>
        </w:tc>
        <w:tc>
          <w:tcPr>
            <w:tcW w:w="0" w:type="dxa"/>
            <w:vAlign w:val="bottom"/>
          </w:tcPr>
          <w:p>
            <w:pPr>
              <w:spacing w:after="0"/>
              <w:rPr>
                <w:sz w:val="1"/>
                <w:szCs w:val="1"/>
                <w:color w:val="auto"/>
              </w:rPr>
            </w:pPr>
          </w:p>
        </w:tc>
      </w:tr>
      <w:tr>
        <w:trPr>
          <w:trHeight w:val="194"/>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the reverse recapitalization</w:t>
            </w:r>
          </w:p>
        </w:tc>
        <w:tc>
          <w:tcPr>
            <w:tcW w:w="96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6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94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Issuance of common stock and common stock warrants upon the reverse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90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425,395,023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42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w w:val="93"/>
              </w:rPr>
              <w:t>3,590,914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3"/>
            <w:vMerge w:val="restart"/>
          </w:tcPr>
          <w:p>
            <w:pPr>
              <w:jc w:val="right"/>
              <w:spacing w:after="0"/>
              <w:rPr>
                <w:sz w:val="20"/>
                <w:szCs w:val="20"/>
                <w:color w:val="auto"/>
              </w:rPr>
            </w:pPr>
            <w:r>
              <w:rPr>
                <w:rFonts w:ascii="Arial" w:cs="Arial" w:eastAsia="Arial" w:hAnsi="Arial"/>
                <w:sz w:val="14"/>
                <w:szCs w:val="14"/>
                <w:color w:val="auto"/>
              </w:rPr>
              <w:t>3,590,956</w:t>
            </w:r>
          </w:p>
        </w:tc>
        <w:tc>
          <w:tcPr>
            <w:tcW w:w="0" w:type="dxa"/>
            <w:vAlign w:val="bottom"/>
          </w:tcPr>
          <w:p>
            <w:pPr>
              <w:spacing w:after="0"/>
              <w:rPr>
                <w:sz w:val="1"/>
                <w:szCs w:val="1"/>
                <w:color w:val="auto"/>
              </w:rPr>
            </w:pPr>
          </w:p>
        </w:tc>
      </w:tr>
      <w:tr>
        <w:trPr>
          <w:trHeight w:val="188"/>
        </w:trPr>
        <w:tc>
          <w:tcPr>
            <w:tcW w:w="4940" w:type="dxa"/>
            <w:vAlign w:val="bottom"/>
            <w:gridSpan w:val="2"/>
          </w:tcPr>
          <w:p>
            <w:pPr>
              <w:ind w:left="140"/>
              <w:spacing w:after="0"/>
              <w:rPr>
                <w:sz w:val="20"/>
                <w:szCs w:val="20"/>
                <w:color w:val="auto"/>
              </w:rPr>
            </w:pPr>
            <w:r>
              <w:rPr>
                <w:rFonts w:ascii="Arial" w:cs="Arial" w:eastAsia="Arial" w:hAnsi="Arial"/>
                <w:sz w:val="14"/>
                <w:szCs w:val="14"/>
                <w:color w:val="auto"/>
              </w:rPr>
              <w:t>recapitalization, net of issuance costs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Issuance of common stock upon exercise of common stock warrants</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22,651,424</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173,271</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173,273</w:t>
            </w:r>
          </w:p>
        </w:tc>
        <w:tc>
          <w:tcPr>
            <w:tcW w:w="0" w:type="dxa"/>
            <w:vAlign w:val="bottom"/>
          </w:tcPr>
          <w:p>
            <w:pPr>
              <w:spacing w:after="0"/>
              <w:rPr>
                <w:sz w:val="1"/>
                <w:szCs w:val="1"/>
                <w:color w:val="auto"/>
              </w:rPr>
            </w:pPr>
          </w:p>
        </w:tc>
      </w:tr>
      <w:tr>
        <w:trPr>
          <w:trHeight w:val="182"/>
        </w:trPr>
        <w:tc>
          <w:tcPr>
            <w:tcW w:w="4940" w:type="dxa"/>
            <w:vAlign w:val="bottom"/>
            <w:gridSpan w:val="2"/>
          </w:tcPr>
          <w:p>
            <w:pPr>
              <w:ind w:left="140"/>
              <w:spacing w:after="0"/>
              <w:rPr>
                <w:sz w:val="20"/>
                <w:szCs w:val="20"/>
                <w:color w:val="auto"/>
              </w:rPr>
            </w:pPr>
            <w:r>
              <w:rPr>
                <w:rFonts w:ascii="Arial" w:cs="Arial" w:eastAsia="Arial" w:hAnsi="Arial"/>
                <w:sz w:val="14"/>
                <w:szCs w:val="14"/>
                <w:color w:val="auto"/>
              </w:rPr>
              <w:t>Issuance of common stock upon exercise of stock options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4"/>
                <w:szCs w:val="14"/>
                <w:color w:val="auto"/>
              </w:rPr>
              <w:t>8,895,300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6,028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6,029</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242,586</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242,586</w:t>
            </w:r>
          </w:p>
        </w:tc>
        <w:tc>
          <w:tcPr>
            <w:tcW w:w="0" w:type="dxa"/>
            <w:vAlign w:val="bottom"/>
          </w:tcPr>
          <w:p>
            <w:pPr>
              <w:spacing w:after="0"/>
              <w:rPr>
                <w:sz w:val="1"/>
                <w:szCs w:val="1"/>
                <w:color w:val="auto"/>
              </w:rPr>
            </w:pPr>
          </w:p>
        </w:tc>
      </w:tr>
      <w:tr>
        <w:trPr>
          <w:trHeight w:val="236"/>
        </w:trPr>
        <w:tc>
          <w:tcPr>
            <w:tcW w:w="49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September 30, 2021</w:t>
            </w:r>
          </w:p>
        </w:tc>
        <w:tc>
          <w:tcPr>
            <w:tcW w:w="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gridSpan w:val="2"/>
          </w:tcPr>
          <w:p>
            <w:pPr>
              <w:jc w:val="right"/>
              <w:ind w:right="31"/>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93"/>
              </w:rPr>
              <w:t>1,641,642,816</w:t>
            </w:r>
          </w:p>
        </w:tc>
        <w:tc>
          <w:tcPr>
            <w:tcW w:w="4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164</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9,865,186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 (5,020,192)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$ 4,845,158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______________________________________________________________</w:t>
      </w:r>
    </w:p>
    <w:p>
      <w:pPr>
        <w:spacing w:after="0" w:line="52" w:lineRule="exact"/>
        <w:rPr>
          <w:sz w:val="20"/>
          <w:szCs w:val="20"/>
          <w:color w:val="auto"/>
        </w:rPr>
      </w:pP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3"/>
          <w:szCs w:val="13"/>
          <w:color w:val="auto"/>
        </w:rPr>
        <w:t>The number of shares of convertible preferred stock and common stock issued and outstanding prior to the Merger have been retroactively adjusted by the Exchange Ratio to give effect to the</w:t>
      </w:r>
    </w:p>
    <w:p>
      <w:pPr>
        <w:spacing w:after="0" w:line="210" w:lineRule="auto"/>
        <w:rPr>
          <w:sz w:val="20"/>
          <w:szCs w:val="20"/>
          <w:color w:val="auto"/>
        </w:rPr>
      </w:pPr>
      <w:r>
        <w:rPr>
          <w:rFonts w:ascii="Arial" w:cs="Arial" w:eastAsia="Arial" w:hAnsi="Arial"/>
          <w:sz w:val="14"/>
          <w:szCs w:val="14"/>
          <w:color w:val="auto"/>
        </w:rPr>
        <w:t>reverse recapitalization treatment of the Merger. See Note 1 “Description of Business” and Note 3 “Reverse Capitalization” for more information.</w:t>
      </w:r>
    </w:p>
    <w:p>
      <w:pPr>
        <w:ind w:left="5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4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r>
      <w:tr>
        <w:trPr>
          <w:trHeight w:val="20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(831,812)</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(1,534,081)</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48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131,343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26,621</w:t>
            </w:r>
          </w:p>
        </w:tc>
      </w:tr>
      <w:tr>
        <w:trPr>
          <w:trHeight w:val="219"/>
        </w:trPr>
        <w:tc>
          <w:tcPr>
            <w:tcW w:w="8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insurance premium</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7,184</w:t>
            </w:r>
          </w:p>
        </w:tc>
      </w:tr>
      <w:tr>
        <w:trPr>
          <w:trHeight w:val="213"/>
        </w:trPr>
        <w:tc>
          <w:tcPr>
            <w:tcW w:w="8480" w:type="dxa"/>
            <w:vAlign w:val="bottom"/>
          </w:tcPr>
          <w:p>
            <w:pPr>
              <w:ind w:left="180"/>
              <w:spacing w:after="0"/>
              <w:rPr>
                <w:sz w:val="20"/>
                <w:szCs w:val="20"/>
                <w:color w:val="auto"/>
              </w:rPr>
            </w:pPr>
            <w:r>
              <w:rPr>
                <w:rFonts w:ascii="Arial" w:cs="Arial" w:eastAsia="Arial" w:hAnsi="Arial"/>
                <w:sz w:val="16"/>
                <w:szCs w:val="16"/>
                <w:color w:val="auto"/>
              </w:rPr>
              <w:t>Non-cash operating lease cost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14,254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8,629</w:t>
            </w:r>
          </w:p>
        </w:tc>
      </w:tr>
      <w:tr>
        <w:trPr>
          <w:trHeight w:val="219"/>
        </w:trPr>
        <w:tc>
          <w:tcPr>
            <w:tcW w:w="8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352,245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366,200</w:t>
            </w:r>
          </w:p>
        </w:tc>
      </w:tr>
      <w:tr>
        <w:trPr>
          <w:trHeight w:val="213"/>
        </w:trPr>
        <w:tc>
          <w:tcPr>
            <w:tcW w:w="8480" w:type="dxa"/>
            <w:vAlign w:val="bottom"/>
          </w:tcPr>
          <w:p>
            <w:pPr>
              <w:ind w:left="180"/>
              <w:spacing w:after="0"/>
              <w:rPr>
                <w:sz w:val="20"/>
                <w:szCs w:val="20"/>
                <w:color w:val="auto"/>
              </w:rPr>
            </w:pPr>
            <w:r>
              <w:rPr>
                <w:rFonts w:ascii="Arial" w:cs="Arial" w:eastAsia="Arial" w:hAnsi="Arial"/>
                <w:sz w:val="16"/>
                <w:szCs w:val="16"/>
                <w:color w:val="auto"/>
              </w:rPr>
              <w:t>Inventory and firm purchase commitments write-downs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364,553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fair value of contingent forward contract liability</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454,546</w:t>
            </w:r>
          </w:p>
        </w:tc>
      </w:tr>
      <w:tr>
        <w:trPr>
          <w:trHeight w:val="213"/>
        </w:trPr>
        <w:tc>
          <w:tcPr>
            <w:tcW w:w="8480" w:type="dxa"/>
            <w:vAlign w:val="bottom"/>
          </w:tcPr>
          <w:p>
            <w:pPr>
              <w:ind w:left="180"/>
              <w:spacing w:after="0"/>
              <w:rPr>
                <w:sz w:val="20"/>
                <w:szCs w:val="20"/>
                <w:color w:val="auto"/>
              </w:rPr>
            </w:pPr>
            <w:r>
              <w:rPr>
                <w:rFonts w:ascii="Arial" w:cs="Arial" w:eastAsia="Arial" w:hAnsi="Arial"/>
                <w:sz w:val="16"/>
                <w:szCs w:val="16"/>
                <w:color w:val="auto"/>
              </w:rPr>
              <w:t>Change in fair value of preferred stock warrant liability</w:t>
            </w:r>
          </w:p>
        </w:tc>
        <w:tc>
          <w:tcPr>
            <w:tcW w:w="3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6,976</w:t>
            </w:r>
          </w:p>
        </w:tc>
      </w:tr>
      <w:tr>
        <w:trPr>
          <w:trHeight w:val="219"/>
        </w:trPr>
        <w:tc>
          <w:tcPr>
            <w:tcW w:w="8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fair value of common stock warrant liability</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(998,319)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24,787</w:t>
            </w:r>
          </w:p>
        </w:tc>
      </w:tr>
      <w:tr>
        <w:trPr>
          <w:trHeight w:val="213"/>
        </w:trPr>
        <w:tc>
          <w:tcPr>
            <w:tcW w:w="8480" w:type="dxa"/>
            <w:vAlign w:val="bottom"/>
          </w:tcPr>
          <w:p>
            <w:pPr>
              <w:ind w:left="180"/>
              <w:spacing w:after="0"/>
              <w:rPr>
                <w:sz w:val="20"/>
                <w:szCs w:val="20"/>
                <w:color w:val="auto"/>
              </w:rPr>
            </w:pPr>
            <w:r>
              <w:rPr>
                <w:rFonts w:ascii="Arial" w:cs="Arial" w:eastAsia="Arial" w:hAnsi="Arial"/>
                <w:sz w:val="16"/>
                <w:szCs w:val="16"/>
                <w:color w:val="auto"/>
              </w:rPr>
              <w:t>Other non-cash items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480" w:type="dxa"/>
            <w:vAlign w:val="bottom"/>
          </w:tcPr>
          <w:p>
            <w:pPr>
              <w:ind w:left="18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8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Inventory</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(906,054)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(60,112)</w:t>
            </w:r>
          </w:p>
        </w:tc>
      </w:tr>
      <w:tr>
        <w:trPr>
          <w:trHeight w:val="213"/>
        </w:trPr>
        <w:tc>
          <w:tcPr>
            <w:tcW w:w="848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(12,101)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(65,697)</w:t>
            </w:r>
          </w:p>
        </w:tc>
      </w:tr>
      <w:tr>
        <w:trPr>
          <w:trHeight w:val="219"/>
        </w:trPr>
        <w:tc>
          <w:tcPr>
            <w:tcW w:w="8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(33,262)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8,299</w:t>
            </w:r>
          </w:p>
        </w:tc>
      </w:tr>
      <w:tr>
        <w:trPr>
          <w:trHeight w:val="213"/>
        </w:trPr>
        <w:tc>
          <w:tcPr>
            <w:tcW w:w="8480" w:type="dxa"/>
            <w:vAlign w:val="bottom"/>
          </w:tcPr>
          <w:p>
            <w:pPr>
              <w:ind w:left="180"/>
              <w:spacing w:after="0"/>
              <w:rPr>
                <w:sz w:val="20"/>
                <w:szCs w:val="20"/>
                <w:color w:val="auto"/>
              </w:rPr>
            </w:pPr>
            <w:r>
              <w:rPr>
                <w:rFonts w:ascii="Arial" w:cs="Arial" w:eastAsia="Arial" w:hAnsi="Arial"/>
                <w:sz w:val="16"/>
                <w:szCs w:val="16"/>
                <w:color w:val="auto"/>
              </w:rPr>
              <w:t>Other noncurrent assets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(39,082)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(5,861)</w:t>
            </w:r>
          </w:p>
        </w:tc>
      </w:tr>
      <w:tr>
        <w:trPr>
          <w:trHeight w:val="219"/>
        </w:trPr>
        <w:tc>
          <w:tcPr>
            <w:tcW w:w="8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(14,175)</w:t>
            </w:r>
          </w:p>
        </w:tc>
      </w:tr>
      <w:tr>
        <w:trPr>
          <w:trHeight w:val="213"/>
        </w:trPr>
        <w:tc>
          <w:tcPr>
            <w:tcW w:w="8480" w:type="dxa"/>
            <w:vAlign w:val="bottom"/>
          </w:tcPr>
          <w:p>
            <w:pPr>
              <w:ind w:left="180"/>
              <w:spacing w:after="0"/>
              <w:rPr>
                <w:sz w:val="20"/>
                <w:szCs w:val="20"/>
                <w:color w:val="auto"/>
              </w:rPr>
            </w:pPr>
            <w:r>
              <w:rPr>
                <w:rFonts w:ascii="Arial" w:cs="Arial" w:eastAsia="Arial" w:hAnsi="Arial"/>
                <w:sz w:val="16"/>
                <w:szCs w:val="16"/>
                <w:color w:val="auto"/>
              </w:rPr>
              <w:t>Accrued compensation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16,644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12,752</w:t>
            </w:r>
          </w:p>
        </w:tc>
      </w:tr>
      <w:tr>
        <w:trPr>
          <w:trHeight w:val="219"/>
        </w:trPr>
        <w:tc>
          <w:tcPr>
            <w:tcW w:w="8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lease liability</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(4,516)</w:t>
            </w:r>
          </w:p>
        </w:tc>
      </w:tr>
      <w:tr>
        <w:trPr>
          <w:trHeight w:val="213"/>
        </w:trPr>
        <w:tc>
          <w:tcPr>
            <w:tcW w:w="848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281,545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17,834</w:t>
            </w:r>
          </w:p>
        </w:tc>
      </w:tr>
      <w:tr>
        <w:trPr>
          <w:trHeight w:val="219"/>
        </w:trPr>
        <w:tc>
          <w:tcPr>
            <w:tcW w:w="8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20,191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5,158</w:t>
            </w:r>
          </w:p>
        </w:tc>
      </w:tr>
      <w:tr>
        <w:trPr>
          <w:trHeight w:val="207"/>
        </w:trPr>
        <w:tc>
          <w:tcPr>
            <w:tcW w:w="84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Net cash used in operating activities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(1,577,743)</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(745,401)</w:t>
            </w:r>
          </w:p>
        </w:tc>
      </w:tr>
      <w:tr>
        <w:trPr>
          <w:trHeight w:val="19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48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(784,964)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(299,313)</w:t>
            </w:r>
          </w:p>
        </w:tc>
      </w:tr>
      <w:tr>
        <w:trPr>
          <w:trHeight w:val="219"/>
        </w:trPr>
        <w:tc>
          <w:tcPr>
            <w:tcW w:w="8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government grant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80" w:type="dxa"/>
            <w:vAlign w:val="bottom"/>
          </w:tcPr>
          <w:p>
            <w:pPr>
              <w:ind w:left="180"/>
              <w:spacing w:after="0"/>
              <w:rPr>
                <w:sz w:val="20"/>
                <w:szCs w:val="20"/>
                <w:color w:val="auto"/>
              </w:rPr>
            </w:pPr>
            <w:r>
              <w:rPr>
                <w:rFonts w:ascii="Arial" w:cs="Arial" w:eastAsia="Arial" w:hAnsi="Arial"/>
                <w:sz w:val="16"/>
                <w:szCs w:val="16"/>
                <w:color w:val="auto"/>
              </w:rPr>
              <w:t>Proceeds from sale of property, plant and equipment</w:t>
            </w:r>
          </w:p>
        </w:tc>
        <w:tc>
          <w:tcPr>
            <w:tcW w:w="3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9"/>
        </w:trPr>
        <w:tc>
          <w:tcPr>
            <w:tcW w:w="8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investments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(2,726,677)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Proceeds from maturities of investments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125,353</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(3,289,021)</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(299,294)</w:t>
            </w:r>
          </w:p>
        </w:tc>
      </w:tr>
      <w:tr>
        <w:trPr>
          <w:trHeight w:val="193"/>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9"/>
        </w:trPr>
        <w:tc>
          <w:tcPr>
            <w:tcW w:w="8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 for short-term insurance financing note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(16,819)</w:t>
            </w:r>
          </w:p>
        </w:tc>
      </w:tr>
      <w:tr>
        <w:trPr>
          <w:trHeight w:val="213"/>
        </w:trPr>
        <w:tc>
          <w:tcPr>
            <w:tcW w:w="8480" w:type="dxa"/>
            <w:vAlign w:val="bottom"/>
          </w:tcPr>
          <w:p>
            <w:pPr>
              <w:ind w:left="180"/>
              <w:spacing w:after="0"/>
              <w:rPr>
                <w:sz w:val="20"/>
                <w:szCs w:val="20"/>
                <w:color w:val="auto"/>
              </w:rPr>
            </w:pPr>
            <w:r>
              <w:rPr>
                <w:rFonts w:ascii="Arial" w:cs="Arial" w:eastAsia="Arial" w:hAnsi="Arial"/>
                <w:sz w:val="16"/>
                <w:szCs w:val="16"/>
                <w:color w:val="auto"/>
              </w:rPr>
              <w:t>Payment for finance lease liabilities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(1,915)</w:t>
            </w:r>
          </w:p>
        </w:tc>
      </w:tr>
      <w:tr>
        <w:trPr>
          <w:trHeight w:val="219"/>
        </w:trPr>
        <w:tc>
          <w:tcPr>
            <w:tcW w:w="8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short-term insurance financing note</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41,935</w:t>
            </w:r>
          </w:p>
        </w:tc>
      </w:tr>
      <w:tr>
        <w:trPr>
          <w:trHeight w:val="213"/>
        </w:trPr>
        <w:tc>
          <w:tcPr>
            <w:tcW w:w="8480" w:type="dxa"/>
            <w:vAlign w:val="bottom"/>
          </w:tcPr>
          <w:p>
            <w:pPr>
              <w:ind w:left="180"/>
              <w:spacing w:after="0"/>
              <w:rPr>
                <w:sz w:val="20"/>
                <w:szCs w:val="20"/>
                <w:color w:val="auto"/>
              </w:rPr>
            </w:pPr>
            <w:r>
              <w:rPr>
                <w:rFonts w:ascii="Arial" w:cs="Arial" w:eastAsia="Arial" w:hAnsi="Arial"/>
                <w:sz w:val="16"/>
                <w:szCs w:val="16"/>
                <w:color w:val="auto"/>
              </w:rPr>
              <w:t>Proceeds from borrowings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20,228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Repayments for borrowings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80" w:type="dxa"/>
            <w:vAlign w:val="bottom"/>
          </w:tcPr>
          <w:p>
            <w:pPr>
              <w:ind w:left="180"/>
              <w:spacing w:after="0"/>
              <w:rPr>
                <w:sz w:val="20"/>
                <w:szCs w:val="20"/>
                <w:color w:val="auto"/>
              </w:rPr>
            </w:pPr>
            <w:r>
              <w:rPr>
                <w:rFonts w:ascii="Arial" w:cs="Arial" w:eastAsia="Arial" w:hAnsi="Arial"/>
                <w:sz w:val="16"/>
                <w:szCs w:val="16"/>
                <w:color w:val="auto"/>
              </w:rPr>
              <w:t>Proceeds from failed sale-leaseback transaction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31,700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Repurchase of Series B convertible preferred stock</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r>
      <w:tr>
        <w:trPr>
          <w:trHeight w:val="213"/>
        </w:trPr>
        <w:tc>
          <w:tcPr>
            <w:tcW w:w="8480" w:type="dxa"/>
            <w:vAlign w:val="bottom"/>
          </w:tcPr>
          <w:p>
            <w:pPr>
              <w:ind w:left="180"/>
              <w:spacing w:after="0"/>
              <w:rPr>
                <w:sz w:val="20"/>
                <w:szCs w:val="20"/>
                <w:color w:val="auto"/>
              </w:rPr>
            </w:pPr>
            <w:r>
              <w:rPr>
                <w:rFonts w:ascii="Arial" w:cs="Arial" w:eastAsia="Arial" w:hAnsi="Arial"/>
                <w:sz w:val="16"/>
                <w:szCs w:val="16"/>
                <w:color w:val="auto"/>
              </w:rPr>
              <w:t>Proceeds from issuance of Series D convertible preferred stock</w:t>
            </w:r>
          </w:p>
        </w:tc>
        <w:tc>
          <w:tcPr>
            <w:tcW w:w="3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3,000</w:t>
            </w:r>
          </w:p>
        </w:tc>
      </w:tr>
      <w:tr>
        <w:trPr>
          <w:trHeight w:val="219"/>
        </w:trPr>
        <w:tc>
          <w:tcPr>
            <w:tcW w:w="8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issuance of Series E convertible preferred stock</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r>
      <w:tr>
        <w:trPr>
          <w:trHeight w:val="213"/>
        </w:trPr>
        <w:tc>
          <w:tcPr>
            <w:tcW w:w="8480" w:type="dxa"/>
            <w:vAlign w:val="bottom"/>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14,738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6,027</w:t>
            </w:r>
          </w:p>
        </w:tc>
      </w:tr>
      <w:tr>
        <w:trPr>
          <w:trHeight w:val="219"/>
        </w:trPr>
        <w:tc>
          <w:tcPr>
            <w:tcW w:w="8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the exercise of public warrants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173,273</w:t>
            </w:r>
          </w:p>
        </w:tc>
      </w:tr>
      <w:tr>
        <w:trPr>
          <w:trHeight w:val="213"/>
        </w:trPr>
        <w:tc>
          <w:tcPr>
            <w:tcW w:w="8480" w:type="dxa"/>
            <w:vAlign w:val="bottom"/>
          </w:tcPr>
          <w:p>
            <w:pPr>
              <w:ind w:left="180"/>
              <w:spacing w:after="0"/>
              <w:rPr>
                <w:sz w:val="20"/>
                <w:szCs w:val="20"/>
                <w:color w:val="auto"/>
              </w:rPr>
            </w:pPr>
            <w:r>
              <w:rPr>
                <w:rFonts w:ascii="Arial" w:cs="Arial" w:eastAsia="Arial" w:hAnsi="Arial"/>
                <w:sz w:val="16"/>
                <w:szCs w:val="16"/>
                <w:color w:val="auto"/>
              </w:rPr>
              <w:t>Proceeds from the reverse capitalization</w:t>
            </w:r>
          </w:p>
        </w:tc>
        <w:tc>
          <w:tcPr>
            <w:tcW w:w="3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4,439,153</w:t>
            </w:r>
          </w:p>
        </w:tc>
      </w:tr>
      <w:tr>
        <w:trPr>
          <w:trHeight w:val="219"/>
        </w:trPr>
        <w:tc>
          <w:tcPr>
            <w:tcW w:w="8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 of transaction costs related to the reverse recapitalization</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(4,811)</w:t>
            </w:r>
          </w:p>
        </w:tc>
      </w:tr>
      <w:tr>
        <w:trPr>
          <w:trHeight w:val="213"/>
        </w:trPr>
        <w:tc>
          <w:tcPr>
            <w:tcW w:w="8480" w:type="dxa"/>
            <w:vAlign w:val="bottom"/>
          </w:tcPr>
          <w:p>
            <w:pPr>
              <w:ind w:left="180"/>
              <w:spacing w:after="0"/>
              <w:rPr>
                <w:sz w:val="20"/>
                <w:szCs w:val="20"/>
                <w:color w:val="auto"/>
              </w:rPr>
            </w:pPr>
            <w:r>
              <w:rPr>
                <w:rFonts w:ascii="Arial" w:cs="Arial" w:eastAsia="Arial" w:hAnsi="Arial"/>
                <w:sz w:val="16"/>
                <w:szCs w:val="16"/>
                <w:color w:val="auto"/>
              </w:rPr>
              <w:t>Proceeds from employee stock purchase plan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repurchases from employees for tax withholdings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(212,895)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Payment for credit facility issuance costs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(165,566)</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5,236,843</w:t>
            </w:r>
          </w:p>
        </w:tc>
      </w:tr>
      <w:tr>
        <w:trPr>
          <w:trHeight w:val="206"/>
        </w:trPr>
        <w:tc>
          <w:tcPr>
            <w:tcW w:w="8480" w:type="dxa"/>
            <w:vAlign w:val="bottom"/>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(5,032,330)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4,192,148</w:t>
            </w:r>
          </w:p>
        </w:tc>
      </w:tr>
      <w:tr>
        <w:trPr>
          <w:trHeight w:val="216"/>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cash, cash equivalents, and restricted cash</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6,298,020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640,418</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Ending cash, cash equivalents, and restricted cash</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1,265,690</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4,832,566</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sectPr>
          <w:pgSz w:w="11900" w:h="16838" w:orient="portrait"/>
          <w:cols w:equalWidth="0" w:num="1">
            <w:col w:w="11240"/>
          </w:cols>
          <w:pgMar w:left="320" w:top="931" w:right="339" w:bottom="1440" w:gutter="0" w:footer="0" w:header="0"/>
        </w:sect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60"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Nine Months Ended</w:t>
      </w:r>
    </w:p>
    <w:p>
      <w:pPr>
        <w:jc w:val="center"/>
        <w:ind w:left="8460"/>
        <w:spacing w:after="0"/>
        <w:rPr>
          <w:sz w:val="20"/>
          <w:szCs w:val="20"/>
          <w:color w:val="auto"/>
        </w:rPr>
      </w:pPr>
      <w:r>
        <w:rPr>
          <w:rFonts w:ascii="Arial" w:cs="Arial" w:eastAsia="Arial" w:hAnsi="Arial"/>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r>
      <w:tr>
        <w:trPr>
          <w:trHeight w:val="20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Cash paid for interest, net of amounts capitalized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11,307</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324</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taxes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activity:</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Increases in purchases of property, plant and equipment included in accounts payable and accrued expenses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5,756</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Property, plant and equipment and right-of-use assets obtained through leases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143,972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70,756</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Series D convertible preferred stock upon exercise of preferred stock warrants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9,936</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Issuance of Series E convertible preferred stock contingent forward contracts</w:t>
            </w:r>
          </w:p>
        </w:tc>
        <w:tc>
          <w:tcPr>
            <w:tcW w:w="3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2,167,332</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contribution upon forfeit of Series E awards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15,719</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Issuance of Series E convertible preferred stock upon settlement of contingent forward contracts</w:t>
            </w:r>
          </w:p>
        </w:tc>
        <w:tc>
          <w:tcPr>
            <w:tcW w:w="3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2,621,878</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upon conversion of preferred stock in connection with the reverse recapitalization</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5,836,785</w:t>
            </w:r>
          </w:p>
        </w:tc>
      </w:tr>
      <w:tr>
        <w:trPr>
          <w:trHeight w:val="210"/>
        </w:trPr>
        <w:tc>
          <w:tcPr>
            <w:tcW w:w="8480" w:type="dxa"/>
            <w:vAlign w:val="bottom"/>
          </w:tcPr>
          <w:p>
            <w:pPr>
              <w:ind w:left="20"/>
              <w:spacing w:after="0"/>
              <w:rPr>
                <w:sz w:val="20"/>
                <w:szCs w:val="20"/>
                <w:color w:val="auto"/>
              </w:rPr>
            </w:pPr>
            <w:r>
              <w:rPr>
                <w:rFonts w:ascii="Arial" w:cs="Arial" w:eastAsia="Arial" w:hAnsi="Arial"/>
                <w:sz w:val="16"/>
                <w:szCs w:val="16"/>
                <w:color w:val="auto"/>
              </w:rPr>
              <w:t>Transaction costs related to the reverse recapitalization not yet paid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34,054</w:t>
            </w:r>
          </w:p>
        </w:tc>
      </w:tr>
    </w:tbl>
    <w:p>
      <w:pPr>
        <w:spacing w:after="0" w:line="200" w:lineRule="exact"/>
        <w:rPr>
          <w:sz w:val="20"/>
          <w:szCs w:val="20"/>
          <w:color w:val="auto"/>
        </w:rPr>
      </w:pPr>
    </w:p>
    <w:p>
      <w:pPr>
        <w:sectPr>
          <w:pgSz w:w="11900" w:h="16838" w:orient="portrait"/>
          <w:cols w:equalWidth="0" w:num="1">
            <w:col w:w="11240"/>
          </w:cols>
          <w:pgMar w:left="320" w:top="513" w:right="339" w:bottom="10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075"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w:t>
      </w:r>
      <w:r>
        <w:rPr>
          <w:rFonts w:ascii="Arial" w:cs="Arial" w:eastAsia="Arial" w:hAnsi="Arial"/>
          <w:sz w:val="18"/>
          <w:szCs w:val="18"/>
          <w:b w:val="1"/>
          <w:bCs w:val="1"/>
          <w:color w:val="auto"/>
        </w:rPr>
        <w:t xml:space="preserve"> 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Lucid Group, Inc. (“Lucid”) is a technology and automotive company focused on designing, developing, manufacturing, and selling the next generation of EV, EV powertrains and battery systems.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Lucid was originally incorporated in Delaware on April 30, 2020 under the name Churchill Capital Corp IV (formerly known as Annetta Acquisition Corp) (“Churchill”) as a special purpose acquisition company with the purpose of effecting a merger with one or more operating businesses. On February 22, 2021, Churchill entered into a definitive merger agreement (the “Merger Agreement”) with Atieva, Inc. (“Legacy Lucid”) in which Legacy Lucid would become a wholly owned subsidiary of Churchill (the “Merger”). Upon the closing of the Merger on July 23, 2021 (the “Closing”), Churchill was immediately renamed to “Lucid Group, Inc.” The Merger between Churchill and Legacy Lucid was accounted for as a reverse recapitalization. See Note 3 “Reverse Recapitalization” for more information.</w:t>
      </w:r>
    </w:p>
    <w:p>
      <w:pPr>
        <w:spacing w:after="0" w:line="192"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Throughout the notes to the condensed consolidated financial statements, unless otherwise noted, the “Company,” “we,” “us” or “our” and similar terms refer to Legacy Lucid and its subsidiaries prior to the consummation of the Merger, and Lucid and its subsidiaries after the consummation of the Merger.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devotes its efforts to business planning, research and development, recruiting of management and technical staff, acquiring operating assets, and raising capital.</w:t>
      </w:r>
    </w:p>
    <w:p>
      <w:pPr>
        <w:spacing w:after="0" w:line="17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From inception through September 30, 2022, the Company has incurred operating losses and negative cash flows from operating activities. For the nine months ended September 30, 2022 and 2021, the Company has incurred operating losses, including net losses of $831.8 million and $1.5 billion, respectively. The Company has an accumulated deficit of $6.9 billion as of September 30, 2022.</w:t>
      </w:r>
    </w:p>
    <w:p>
      <w:pPr>
        <w:spacing w:after="0" w:line="1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During the quarter ended June 30, 2021, the Company completed the first phase of the construction of its Advanced Manufacturing Plant 1 in Casa Grande, Arizona (“AMP-1”). The Company began commercial production of its first vehicle, the Lucid Air, in September 2021 and delivered its first vehicles in late October 2021. The Company continues to expand AMP-1, construct its planned Advanced Manufacturing Plant 2 in the Kingdom of Saudi Arabia (“AMP-2”), and build a network of retail sales and service locations. The Company has plans for continued development of additional vehicle model types for future release. The aforementioned activities will require considerable capital, above and beyond the expected cash inflows from the initial sales of the Lucid Air. As such, the future operating plan involves considerable risk if secure funding sources are not identified and confirmed.</w:t>
      </w:r>
    </w:p>
    <w:p>
      <w:pPr>
        <w:spacing w:after="0" w:line="16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Company’s existing sources of liquidity include cash, cash equivalents and investments. Historically, the Company funded operations primarily with issuances of convertible preferred stock and convertible notes. Upon the completion of the Merger, the Company received $4,400.3 million in cash proceeds, net of transaction costs. In December 2021, the Company issued an aggregate of $2,012.5 million principal amount of 1.25% convertible senior notes due in December 2026. In addition, during the nine months ended September 30, 2022, the Company entered into a loan agreement with the Saudi Industrial Development Fund (“SIDF”) with an aggregate principal amount of up to approximately $1.4 billion, revolving credit facilities with Gulf International Bank (“GIB”) in an aggregate principal amount of approximately $266.2 million and a new five-year senior secured asset-based revolving credit facility (“ABL Credit Facility”) with an initial aggregate principal commitment amount of up to $1.0 billion. See Note 6 “Debt”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Significant Risks and Uncertainties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current business activities consist of (i) generating sales from the deliveries and service of vehicles, (ii) research and development efforts to design, engineer and develop high-performance fully electric vehicles and advanced electric vehicle powertrain components, including battery pack systems, (iii) production and manufacturing ramps at existing manufacturing facilities in Casa Grande, Arizona, (iv) phase 2 of construction at AMP-1 in Casa Grande, Arizona, (v) the construction of AMP-2, and (vi) expansion of its retail studios and service centers capabilities throughout North America and across the globe. The Company is subject to the risks associated with such activities, including the need to further develop its technology, its marketing, and distribution channels; further develop its supply chain and manufacturing; and hire additional management and other key personnel. Successful completion of the Company’s development program and, ultimately, the attainment of profitable operations are dependent upon future events, including our ability to access potential markets, and secure long-term financing.</w:t>
      </w:r>
    </w:p>
    <w:p>
      <w:pPr>
        <w:sectPr>
          <w:pgSz w:w="11900" w:h="16838" w:orient="portrait"/>
          <w:cols w:equalWidth="0" w:num="1">
            <w:col w:w="11240"/>
          </w:cols>
          <w:pgMar w:left="320" w:top="769" w:right="339"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3" w:name="page14"/>
    <w:bookmarkEnd w:id="13"/>
    <w:p>
      <w:pPr>
        <w:ind w:right="180"/>
        <w:spacing w:after="0" w:line="257" w:lineRule="auto"/>
        <w:rPr>
          <w:sz w:val="20"/>
          <w:szCs w:val="20"/>
          <w:color w:val="auto"/>
        </w:rPr>
      </w:pPr>
      <w:r>
        <w:rPr>
          <w:rFonts w:ascii="Arial" w:cs="Arial" w:eastAsia="Arial" w:hAnsi="Arial"/>
          <w:sz w:val="18"/>
          <w:szCs w:val="18"/>
          <w:color w:val="auto"/>
        </w:rPr>
        <w:t>The Company participates in a dynamic high-technology industry. Changes in any of the following areas could have a material adverse impact on the Company’s future financial position, results of operations, and/or cash flows: advances and trends in new technologies; competitive pressures; changes in the overall demand for its products and services; acceptance of the Company’s products and services; litigation or claims against the Company based on intellectual property (including patents), regulatory, or other factors; and the Company’s ability to attract and retain employees necessary to support its growth.</w:t>
      </w:r>
    </w:p>
    <w:p>
      <w:pPr>
        <w:spacing w:after="0" w:line="2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global economic recession or other downturn, whether due to inflation, ongoing conflict in Ukraine or other geopolitical events, COVID-19 or other public health crises, interest rate increases or other policy actions by major central banks, or other factors, may have an adverse impact on the Company’s business, prospects, financial condition and results of operations. Adverse economic conditions as well as uncertainty about the current and future global economic conditions may cause the Company’s customers to defer purchases or cancel their reservations and orders in response to tighter credit, decreased cash availability, fluctuations in foreign currency exchange rates, and weakened consumer confidence. Reduced demand for the Company’s products may result in significant decreases in product sales, which in turn would have a material adverse impact on the Company’s business, prospects, financial condition and results of operations. Because of the Company’s premium brand positioning and pricing, an economic downturn is likely to have a heightened adverse effect on the Company compared to many of its electric vehicle and traditional automotive industry competitors, to the extent that consumer demand for luxury goods is reduced in favor of lower-priced alternatives. In addition, any economic recession or other downturn could also cause logistical challenges and other operational risks if any of the Company’s suppliers, sub-suppliers or partners become insolvent or are otherwise unable to continue their operations, fulfill their obligations to the Company, or meet the Company’s future demand. In addition, the deterioration of conditions in global credit markets may limit the Company’s ability to obtain external financing to fund its operations and capital expenditures on terms favorable to the Company, if at all. See “Risk Factors” in Part II, Item 1A of this Quarterly Report on Form 10-Q (the “Quarterly Report”) for additional information regarding risks associated with a global economic recession, including under the caption “</w:t>
      </w:r>
      <w:r>
        <w:rPr>
          <w:rFonts w:ascii="Arial" w:cs="Arial" w:eastAsia="Arial" w:hAnsi="Arial"/>
          <w:sz w:val="16"/>
          <w:szCs w:val="16"/>
          <w:i w:val="1"/>
          <w:iCs w:val="1"/>
          <w:color w:val="231F20"/>
        </w:rPr>
        <w:t>A global economic recession or other downturn may have a</w:t>
      </w:r>
      <w:r>
        <w:rPr>
          <w:rFonts w:ascii="Arial" w:cs="Arial" w:eastAsia="Arial" w:hAnsi="Arial"/>
          <w:sz w:val="16"/>
          <w:szCs w:val="16"/>
          <w:color w:val="auto"/>
        </w:rPr>
        <w:t xml:space="preserve"> </w:t>
      </w:r>
      <w:r>
        <w:rPr>
          <w:rFonts w:ascii="Arial" w:cs="Arial" w:eastAsia="Arial" w:hAnsi="Arial"/>
          <w:sz w:val="16"/>
          <w:szCs w:val="16"/>
          <w:i w:val="1"/>
          <w:iCs w:val="1"/>
          <w:color w:val="231F20"/>
        </w:rPr>
        <w:t>material adverse impact on our business, prospects, results of operations and financial condition</w:t>
      </w:r>
      <w:r>
        <w:rPr>
          <w:rFonts w:ascii="Arial" w:cs="Arial" w:eastAsia="Arial" w:hAnsi="Arial"/>
          <w:sz w:val="16"/>
          <w:szCs w:val="16"/>
          <w:i w:val="1"/>
          <w:iCs w:val="1"/>
          <w:color w:val="000000"/>
        </w:rPr>
        <w:t>.</w:t>
      </w:r>
      <w:r>
        <w:rPr>
          <w:rFonts w:ascii="Arial" w:cs="Arial" w:eastAsia="Arial" w:hAnsi="Arial"/>
          <w:sz w:val="16"/>
          <w:szCs w:val="16"/>
          <w:color w:val="000000"/>
        </w:rPr>
        <w:t>”</w:t>
      </w:r>
    </w:p>
    <w:p>
      <w:pPr>
        <w:spacing w:after="0" w:line="16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COVID-19 pandemic continues to impact the global economy and cause significant macroeconomic uncertainty. Infection rates vary across the jurisdictions in which the Company operates. Governmental authorities have continued to implement numerous and constantly evolving measures to attempt to contain the virus, such as travel bans and restrictions, masking recommendations and mandates, vaccine recommendations and mandates, limits on gatherings, quarantines, shelter-in-place orders and business shutdowns. The Company has taken proactive action to protect the health and safety of its employees, customers, partners and suppliers, consistent with the latest and evolving governmental guidelines. Until the COVID-19 pandemic is adequately contained, the Company expects to continue to implement appropriate measures. The Company continues to monitor the rapidly evolving situation and guidance from international and domestic authorities, including federal, state and local public health authorities, and may take additional actions based on their recommendations and requirements or as the Company otherwise sees fit to protect the health and safety of its employees, customers, partners and suppliers.</w:t>
      </w:r>
    </w:p>
    <w:p>
      <w:pPr>
        <w:spacing w:after="0" w:line="19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While certain of the Company and its suppliers’ operations have from time-to-time been temporarily affected by government-mandated restrictions, the Company was able to commence and continue deliveries of the Lucid Air to customers and to proceed with the construction of AMP-1 and AMP-2. Broader impacts of the pandemic have included inflationary pressure as well as ongoing, industry-wide challenges in logistics and supply chains, such as increased port congestion, intermittent supplier delays and a shortfall of semiconductor supply. Because the Company relies on third party suppliers for the development, manufacture, and/or provision and development of many of the key components and materials used in its vehicles, as well as provisioning and servicing equipment in its manufacturing facilities, the Company has been affected by inflation and such industry-wide challenges in logistics and supply chains. While the Company continues to focus on mitigating risks to its operations and supply chain in the current industry environment, the Company expects that these industry-wide trends will continue to impact its cost structure as well as its ability and the ability of its suppliers to obtain parts, components and manufacturing equipment on a timely basis for the foreseeable future.</w:t>
      </w:r>
    </w:p>
    <w:p>
      <w:pPr>
        <w:spacing w:after="0" w:line="18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the current circumstances, given the dynamic nature of the situation, any impact on the Company’s financial condition, results of operations or cash flows in the future continues to be difficult to estimate and predict, as it depends on future events that are highly uncertain and cannot be predicted with accuracy, including, but not limited to, the duration and continued spread of the outbreak, its severity, potential additional waves of infection, the emergence of more virulent or more dangerous strains of the virus, the actions taken to mitigate the virus or its impact, the development, distribution, efficacy and acceptance of vaccines worldwide, how quickly and to what extent normal economic and operating conditions can resume, the broader impact that the pandemic is having on the economy and our industry and specific implications the pandemic may have on the Company’s suppliers and on global logistics. See “Risk Factors” in Part II, Item 1A of this Quarterly Report for additional information regarding risks associated with the COVID-19 pandemic, including under the caption “</w:t>
      </w:r>
      <w:r>
        <w:rPr>
          <w:rFonts w:ascii="Arial" w:cs="Arial" w:eastAsia="Arial" w:hAnsi="Arial"/>
          <w:sz w:val="17"/>
          <w:szCs w:val="17"/>
          <w:i w:val="1"/>
          <w:iCs w:val="1"/>
          <w:color w:val="auto"/>
        </w:rPr>
        <w:t>The ongoing COVID-19 pandemic has adversely affected, and we cannot predict its ultimate impact on, our</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prospects, results of operations and financial condition.</w:t>
      </w:r>
      <w:r>
        <w:rPr>
          <w:rFonts w:ascii="Arial" w:cs="Arial" w:eastAsia="Arial" w:hAnsi="Arial"/>
          <w:sz w:val="17"/>
          <w:szCs w:val="17"/>
          <w:color w:val="auto"/>
        </w:rPr>
        <w: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accompanying unaudited condensed consolidated financial statements included herein have been prepared in accordance with generally accepted accounting principles in the United States of America (“U.S. GAAP”) and applicable rules and regulations of the U.S. Securities and Exchange Commission (the “SEC”) regarding interim financial reporting. Certain information and disclosures normally included in the financial statements prepared in accordance with U.S. GAAP have been condensed or omitted pursuant to such rules and regulations. These unaudited condensed consolidated financial statements should be read in conjunction with the audited consolidated financial statements and notes included in the Company’s Form 10-K filed with the SEC on February 28, 2022.</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management’s opinion, these unaudited condensed consolidated financial statements have been prepared on the same basis as the annual financial statements and reflect all adjustments, which include normal recurring adjustments, necessary for the fair statement of the Company’s financial position as of September 30, 2022 and the results of operations for the three and nine months ended September 30, 2022 and 2021. The results of operations for the three and nine months ended September 30, 2022 are not necessarily indicative of the results to be expected for the full year ending December 31, 2022 or any other future interim or annual period.</w:t>
      </w:r>
    </w:p>
    <w:p>
      <w:pPr>
        <w:spacing w:after="0" w:line="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All intercompany balances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the financial statements and accompanying notes. Actual results could differ from those estimates. Significant estimates, assumptions and judgments made by management include, among others, inventory valuation, warranty reserve, the determination of the useful lives of property, plant and equipment, fair value of preferred stock warrants, fair value of common stock warrants, fair value of contingent forward contracts liability, estimates of residual value guarantee (“RVG”), valuation of deferred income tax assets and uncertain tax positions, fair value of common stock and other assumptions used to measure stock-based compensation expense, and estimated incremental borrowing rates for assessing operating and financing leases.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Certain prior period balances have been reclassified to conform to the current period presentation in the condensed consolidated financial statements and the accompanying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all highly liquid investments with an original maturity at the date of purchase of three months or less to be cash equivalents.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Restricted cash in other current assets and noncurrent assets is primarily related to letters of credit issued to the landlords for certain of the Company’s leasehold facilities.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to amounts shown in the statements of cash flows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58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1,264,136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6,262,905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4,796,880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614,412</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11,278</w:t>
            </w: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14,728</w:t>
            </w: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1,265,690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6,298,020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4,832,566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640,418</w:t>
            </w:r>
          </w:p>
        </w:tc>
      </w:tr>
      <w:tr>
        <w:trPr>
          <w:trHeight w:val="20"/>
        </w:trPr>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and investments. The Company places its cash primarily with domestic financial institutions that are federally insured within statutory limits, but at times its deposits may exceed federally insured limits.</w:t>
      </w:r>
    </w:p>
    <w:p>
      <w:pPr>
        <w:sectPr>
          <w:pgSz w:w="11900" w:h="16838" w:orient="portrait"/>
          <w:cols w:equalWidth="0" w:num="1">
            <w:col w:w="11240"/>
          </w:cols>
          <w:pgMar w:left="320" w:top="985" w:right="33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Concentration of Supply Risk</w:t>
      </w:r>
    </w:p>
    <w:p>
      <w:pPr>
        <w:spacing w:after="0" w:line="229" w:lineRule="exact"/>
        <w:rPr>
          <w:sz w:val="20"/>
          <w:szCs w:val="20"/>
          <w:color w:val="auto"/>
        </w:rPr>
      </w:pPr>
    </w:p>
    <w:p>
      <w:pPr>
        <w:jc w:val="both"/>
        <w:ind w:right="380"/>
        <w:spacing w:after="0" w:line="311" w:lineRule="auto"/>
        <w:rPr>
          <w:sz w:val="20"/>
          <w:szCs w:val="20"/>
          <w:color w:val="auto"/>
        </w:rPr>
      </w:pPr>
      <w:r>
        <w:rPr>
          <w:rFonts w:ascii="Arial" w:cs="Arial" w:eastAsia="Arial" w:hAnsi="Arial"/>
          <w:sz w:val="16"/>
          <w:szCs w:val="16"/>
          <w:color w:val="auto"/>
        </w:rPr>
        <w:t>The Company is dependent on its suppliers, the majority of which are single-source suppliers, and the inability of these suppliers to deliver necessary components of its products according to the schedule and at prices, quality levels and volumes acceptable to the Company, or its inability to efficiently manage these components, could have a material adverse effect on the Company’s results of operations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The Company’s significant accounting policies are discussed in Note 2 of the notes to the consolidated financial statements included in the Company’s Form 10-K filed with the SEC on February 28, 2022. Except for the policies described below, there have been no significant changes to the Company’s accounting policies during the three and nine months ended September 30,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39"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Company’s investments in marketable debt securities have been classified and accounted for as available-for-sale and they are stated at fair value. The Company classifies its investments as either short-term or long-term based on each instrument’s underlying contractual maturity date. Unrealized gains and losses on our investments of available-for-sale securities are recorded in accumulated other comprehensive loss which is included within stockholders’ equity. Interest, as well as amortization and accretion of purchase premiums and discounts on our investments of available-for-sale securities are included in Interest income. The cost of securities sold is determined using the specific identification method. Realized gains and losses on the sale of available-for-sale securities are recorded in other income (expense), net.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Vehicle Sales with Residual Value Guarantee</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provides an RVG to its commercial banking partner in connection with its vehicle leasing program. Under the vehicle leasing program, the Company generally receives full payment for the vehicle sales price at the time of delivery, does not bear casualty and credit risks during the lease term, and is contractually obligated (or entitled) to share a portion of the shortfall (or excess) between the resale value realized by the commercial banking partner and a predetermined resale value. During the three and nine months ended September 30, 2022, vehicle sales with RVG totaled $10.1 million. At the lease inception, the Company is required to deposit cash collateral equal to a contractual percentage of the residual value of the leased vehicles with the commercial banking partner. The cash collateral is held in a restricted bank account owned by the commercial banking partner until it is used, as applicable, in settlement of the RVG at the end of the lease term. Cash collateral is recorded in other long-term assets, subject to asset impairment review at each reporting period.</w:t>
      </w:r>
    </w:p>
    <w:p>
      <w:pPr>
        <w:spacing w:after="0" w:line="21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The Company accounts for the vehicle leasing program in accordance with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460, </w:t>
      </w:r>
      <w:r>
        <w:rPr>
          <w:rFonts w:ascii="Arial" w:cs="Arial" w:eastAsia="Arial" w:hAnsi="Arial"/>
          <w:sz w:val="16"/>
          <w:szCs w:val="16"/>
          <w:i w:val="1"/>
          <w:iCs w:val="1"/>
          <w:color w:val="auto"/>
        </w:rPr>
        <w:t>Guarantees</w:t>
      </w:r>
      <w:r>
        <w:rPr>
          <w:rFonts w:ascii="Arial" w:cs="Arial" w:eastAsia="Arial" w:hAnsi="Arial"/>
          <w:sz w:val="16"/>
          <w:szCs w:val="16"/>
          <w:color w:val="auto"/>
        </w:rPr>
        <w:t xml:space="preserve"> and ASC 606,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w:t>
      </w:r>
      <w:r>
        <w:rPr>
          <w:rFonts w:ascii="Arial" w:cs="Arial" w:eastAsia="Arial" w:hAnsi="Arial"/>
          <w:sz w:val="16"/>
          <w:szCs w:val="16"/>
          <w:color w:val="auto"/>
        </w:rPr>
        <w:t>. The Company is the lessor at inception of a lease and immediately transfers the lease as well as the underlying vehicle to its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banking partner, with the transaction being accounted for as a sale under ASC 606. The Company recognizes revenue when control transfers upon delivery when the consumer-lessee takes physical possession of the vehicle, and bifurcates the RVG at fair value and accounts for it as a guarantee liability. The remaining amount of the transaction price is allocated among the performance obligations, including the vehicle, the unspecified over-the-air (“</w:t>
      </w:r>
      <w:r>
        <w:rPr>
          <w:rFonts w:ascii="Arial" w:cs="Arial" w:eastAsia="Arial" w:hAnsi="Arial"/>
          <w:sz w:val="16"/>
          <w:szCs w:val="16"/>
          <w:color w:val="333333"/>
        </w:rPr>
        <w:t>OTA”)</w:t>
      </w:r>
      <w:r>
        <w:rPr>
          <w:rFonts w:ascii="Arial" w:cs="Arial" w:eastAsia="Arial" w:hAnsi="Arial"/>
          <w:sz w:val="16"/>
          <w:szCs w:val="16"/>
          <w:color w:val="auto"/>
        </w:rPr>
        <w:t xml:space="preserve"> software updates and remarketing activities, in proportion to the standalone selling price of the Company’s performance obligations.</w:t>
      </w:r>
    </w:p>
    <w:p>
      <w:pPr>
        <w:spacing w:after="0" w:line="19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guarantee liability represents the estimated amount the Company expects to pay at the end of the lease term. The Company is released from residual risk upon either expiration or settlement of the RVG. The Company evaluates variables such as third-party residual value publications, risk of future price deterioration due to changes in market conditions and reconditioning costs to determine the estimated residual value guarantee liability. As we accumulate more data related to the resale value of our vehicles or as market conditions change, there could be material changes to the estimated guarantee liabilities. As of September 30, 2022, the RVG liability was immaterial.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Grants</w:t>
      </w:r>
    </w:p>
    <w:p>
      <w:pPr>
        <w:spacing w:after="0" w:line="25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Government grants are recognized when the grants are received, and all the conditions specified in the grant have been met. Grants related to fixed assets are recorded as a deduction in calculating the carrying amount of the related assets and are recognized in profit or loss over the life of a depreciable asset through reduced depreciation expense. Grants received in advance of the acquisition or construction of assets are recorded initially in deferred liability and then as a deduction in calculating the carrying amount of the related fixed assets upon acquisition or construction of the assets. Grant receipts are classified as investing cash inflows on a gross basis on the condensed consolidated statements of cash flows.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November 2021, the Financial Accounting Standards Board (“FASB”) issued ASU No. 2021-10, Government Assistance (Topic 832): Disclosures by Business Entities about Government Assistance, which requires annual disclosures about transactions with a government that are accounted for by applying a grant or contribution accounting model by analogy. The disclosure requirements include information about the nature of the transactions and the related accounting policy, the line items on the balance sheet and income statement that are affected by the transactions, the amount applicable to each financial statement line and significant terms and conditions of the transactions. The guidance is effective for annual periods beginning after December 15, 2021 and can be applied either prospectively or retrospectively. The Company adopted ASU 2021-10 prospectively on January 1, 2022. The adoption of this ASU did not have an impact to the condensed consolidated financial statements and related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color w:val="auto"/>
        </w:rPr>
        <w:t>–</w:t>
      </w:r>
      <w:r>
        <w:rPr>
          <w:rFonts w:ascii="Arial" w:cs="Arial" w:eastAsia="Arial" w:hAnsi="Arial"/>
          <w:sz w:val="18"/>
          <w:szCs w:val="18"/>
          <w:b w:val="1"/>
          <w:bCs w:val="1"/>
          <w:color w:val="auto"/>
        </w:rPr>
        <w:t xml:space="preserve"> REVERSE RECAPITALIZATION</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On July 23, 2021, upon the consummation of the Merger, all holders of 451,295,965 issued and outstanding Legacy Lucid common stock received shares of Lucid common stock at a deemed value of $10.00 per share after giving effect to the exchange ratio of 2.644 (the “Exchange Ratio”) resulting in 1,193,226,511 shares of Lucid common stock issued and outstanding as of the Closing and all holders of 42,182,931 issued and outstanding Legacy Lucid equity awards received Lucid equity awards covering 111,531,080 shares of Lucid common stock at a deemed value of $10.00 per share after giving effect to the Exchange Ratio, based on the following events contemplated by the Merger Agreement:</w:t>
      </w:r>
    </w:p>
    <w:p>
      <w:pPr>
        <w:spacing w:after="0" w:line="68" w:lineRule="exact"/>
        <w:rPr>
          <w:sz w:val="20"/>
          <w:szCs w:val="20"/>
          <w:color w:val="auto"/>
        </w:rPr>
      </w:pPr>
    </w:p>
    <w:p>
      <w:pPr>
        <w:ind w:left="660" w:right="1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cancellation and conversion of all 437,182,072 issued and outstanding shares of Legacy Lucid preferred stock into 437,182,072 shares of Legacy Lucid common stock at the conversion rate as calculated pursuant to Legacy Lucid’s memorandum and articles of association at the date and time that the Merger became effective;</w:t>
      </w:r>
    </w:p>
    <w:p>
      <w:pPr>
        <w:spacing w:after="0" w:line="75" w:lineRule="exact"/>
        <w:rPr>
          <w:rFonts w:ascii="Arial" w:cs="Arial" w:eastAsia="Arial" w:hAnsi="Arial"/>
          <w:sz w:val="18"/>
          <w:szCs w:val="18"/>
          <w:color w:val="auto"/>
        </w:rPr>
      </w:pPr>
    </w:p>
    <w:p>
      <w:pPr>
        <w:ind w:left="660" w:right="22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surrender and exchange of all 451,295,965 issued and outstanding shares of Legacy Lucid common stock (including Legacy Lucid common stock resulting from the conversion of the Legacy Lucid preferred stock) into 1,193,226,511 shares of Lucid common stock as adjusted by the Exchange Ratio;</w:t>
      </w:r>
    </w:p>
    <w:p>
      <w:pPr>
        <w:spacing w:after="0" w:line="75" w:lineRule="exact"/>
        <w:rPr>
          <w:rFonts w:ascii="Arial" w:cs="Arial" w:eastAsia="Arial" w:hAnsi="Arial"/>
          <w:sz w:val="18"/>
          <w:szCs w:val="18"/>
          <w:color w:val="auto"/>
        </w:rPr>
      </w:pPr>
    </w:p>
    <w:p>
      <w:pPr>
        <w:ind w:left="660" w:right="28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cancellation and exchange of all 25,764,610 granted and outstanding vested and unvested Legacy Lucid options, which became 68,121,210 Lucid options exercisable for shares of Lucid common stock with the same terms and vesting conditions except for the number of shares exercisable and the exercise price, each of which was adjusted by the Exchange Ratio; and</w:t>
      </w:r>
    </w:p>
    <w:p>
      <w:pPr>
        <w:spacing w:after="0" w:line="75" w:lineRule="exact"/>
        <w:rPr>
          <w:rFonts w:ascii="Arial" w:cs="Arial" w:eastAsia="Arial" w:hAnsi="Arial"/>
          <w:sz w:val="18"/>
          <w:szCs w:val="18"/>
          <w:color w:val="auto"/>
        </w:rPr>
      </w:pPr>
    </w:p>
    <w:p>
      <w:pPr>
        <w:ind w:left="660" w:right="20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cancellation and exchange of all 16,418,321 granted and outstanding vested and unvested Legacy Lucid RSUs, which became 43,409,870 Lucid RSUs for shares of Lucid common stock with the same terms and vesting conditions except for the number of shares, which was adjusted by the Exchange Ratio.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other related events that occurred in connection with the Closing are summarized below:</w:t>
      </w:r>
    </w:p>
    <w:p>
      <w:pPr>
        <w:spacing w:after="0" w:line="117" w:lineRule="exact"/>
        <w:rPr>
          <w:sz w:val="20"/>
          <w:szCs w:val="20"/>
          <w:color w:val="auto"/>
        </w:rPr>
      </w:pPr>
    </w:p>
    <w:p>
      <w:pPr>
        <w:ind w:left="660" w:right="14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Churchill entered into separate private placement subscription agreements (the “PIPE Investment”) contemporaneously with the execution of the Merger Agreement pursuant to which Churchill agreed to sell and issue an aggregate of 166,666,667 shares of common stock at a purchase price of $15.00 per share for an aggregate purchase price of $2,500.0 million. The PIPE Investment closed simultaneously with the Closing of the Merger;</w:t>
      </w:r>
    </w:p>
    <w:p>
      <w:pPr>
        <w:spacing w:after="0" w:line="78" w:lineRule="exact"/>
        <w:rPr>
          <w:rFonts w:ascii="Arial" w:cs="Arial" w:eastAsia="Arial" w:hAnsi="Arial"/>
          <w:sz w:val="18"/>
          <w:szCs w:val="18"/>
          <w:color w:val="auto"/>
        </w:rPr>
      </w:pPr>
    </w:p>
    <w:p>
      <w:pPr>
        <w:jc w:val="both"/>
        <w:ind w:left="660" w:right="18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Churchill Sponsor IV LLC (the “Churchill Sponsor”) exercised its right to convert the outstanding and unpaid amount of $1.5 million under the working capital loan provided by the Churchill Sponsor to Churchill into an additional 1,500,000 Private Placement Warrants at a price of $1.00 per warrant in satisfaction of such loan;</w:t>
      </w:r>
    </w:p>
    <w:p>
      <w:pPr>
        <w:spacing w:after="0" w:line="75" w:lineRule="exact"/>
        <w:rPr>
          <w:rFonts w:ascii="Arial" w:cs="Arial" w:eastAsia="Arial" w:hAnsi="Arial"/>
          <w:sz w:val="18"/>
          <w:szCs w:val="18"/>
          <w:color w:val="auto"/>
        </w:rPr>
      </w:pPr>
    </w:p>
    <w:p>
      <w:pPr>
        <w:ind w:left="660" w:right="20" w:hanging="328"/>
        <w:spacing w:after="0" w:line="272"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Churchill and the Churchill Sponsor entered into a letter agreement (the “Sponsor Agreement”), pursuant to which the Churchill Sponsor agreed that 17,250,000 shares of Churchill’s issued and outstanding common stock beneficially held by the Churchill Sponsor (the “Sponsor Earnback Shares”) and 14,783,333 Private Placement Warrants beneficially held by the Churchill Sponsor (the “Sponsor Earnback Warrants”) to purchase shares of the Churchill’s common stock shall become subject to transfer restrictions and contingent forfeiture provisions upon the Closing of the Merger until Lucid’s stock price exceeded certain predetermined levels in the post-Merger period. Any such shares and warrants not released from these transfer restrictions during the earnback period, which expires on the fifth anniversary of the Closing, will be forfeited back to Lucid for no consideration. See Note 12 “Earnback Shares and Warrants” for more information; and</w:t>
      </w:r>
    </w:p>
    <w:p>
      <w:pPr>
        <w:spacing w:after="0" w:line="69" w:lineRule="exact"/>
        <w:rPr>
          <w:rFonts w:ascii="Arial" w:cs="Arial" w:eastAsia="Arial" w:hAnsi="Arial"/>
          <w:sz w:val="17"/>
          <w:szCs w:val="17"/>
          <w:color w:val="auto"/>
        </w:rPr>
      </w:pPr>
    </w:p>
    <w:p>
      <w:pPr>
        <w:ind w:left="660" w:right="30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Churchill redeemed 21,644 public shares of Churchill’s Class A common stock at approximately $10.00 per share for an aggregate payment of $0.2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color w:val="auto"/>
        </w:rPr>
        <w:t>After giving effect to the Merger and the redemption of Churchill shares as described above, the number of shares of common stock issued and outstanding immediately following the consummation of the Merger was as follows:</w:t>
      </w:r>
    </w:p>
    <w:p>
      <w:pPr>
        <w:sectPr>
          <w:pgSz w:w="11900" w:h="16838" w:orient="portrait"/>
          <w:cols w:equalWidth="0" w:num="1">
            <w:col w:w="11220"/>
          </w:cols>
          <w:pgMar w:left="320" w:top="989" w:right="35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Churchill public shares, prior to redemptions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redemption of Churchill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Churchill public shares, net of redemptions</w:t>
      </w:r>
    </w:p>
    <w:p>
      <w:pPr>
        <w:ind w:left="20"/>
        <w:spacing w:after="0" w:line="232" w:lineRule="auto"/>
        <w:rPr>
          <w:sz w:val="20"/>
          <w:szCs w:val="20"/>
          <w:color w:val="auto"/>
        </w:rPr>
      </w:pPr>
      <w:r>
        <w:rPr>
          <w:rFonts w:ascii="Arial" w:cs="Arial" w:eastAsia="Arial" w:hAnsi="Arial"/>
          <w:sz w:val="18"/>
          <w:szCs w:val="18"/>
          <w:color w:val="auto"/>
        </w:rPr>
        <w:t>Churchill Sponsor shares</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31" w:lineRule="auto"/>
        <w:rPr>
          <w:sz w:val="20"/>
          <w:szCs w:val="20"/>
          <w:color w:val="auto"/>
        </w:rPr>
      </w:pPr>
      <w:r>
        <w:rPr>
          <w:rFonts w:ascii="Arial" w:cs="Arial" w:eastAsia="Arial" w:hAnsi="Arial"/>
          <w:sz w:val="18"/>
          <w:szCs w:val="18"/>
          <w:color w:val="auto"/>
        </w:rPr>
        <w:t>PIPE shares</w:t>
      </w:r>
      <w:r>
        <w:rPr>
          <w:rFonts w:ascii="Arial" w:cs="Arial" w:eastAsia="Arial" w:hAnsi="Arial"/>
          <w:sz w:val="23"/>
          <w:szCs w:val="23"/>
          <w:color w:val="auto"/>
          <w:vertAlign w:val="superscript"/>
        </w:rPr>
        <w:t>(2)</w:t>
      </w:r>
    </w:p>
    <w:p>
      <w:pPr>
        <w:spacing w:after="0" w:line="1" w:lineRule="exact"/>
        <w:rPr>
          <w:sz w:val="20"/>
          <w:szCs w:val="20"/>
          <w:color w:val="auto"/>
        </w:rPr>
      </w:pPr>
    </w:p>
    <w:p>
      <w:pPr>
        <w:ind w:left="20" w:right="3260"/>
        <w:spacing w:after="0" w:line="274" w:lineRule="auto"/>
        <w:rPr>
          <w:sz w:val="20"/>
          <w:szCs w:val="20"/>
          <w:color w:val="auto"/>
        </w:rPr>
      </w:pPr>
      <w:r>
        <w:rPr>
          <w:rFonts w:ascii="Arial" w:cs="Arial" w:eastAsia="Arial" w:hAnsi="Arial"/>
          <w:sz w:val="18"/>
          <w:szCs w:val="18"/>
          <w:color w:val="auto"/>
        </w:rPr>
        <w:t>Total shares of Churchill common stock outstanding immediately prior to the Merger Legacy Lucid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Total shares of Lucid common stock outstanding immediately after the Merger</w:t>
      </w:r>
      <w:r>
        <w:rPr>
          <w:rFonts w:ascii="Arial" w:cs="Arial" w:eastAsia="Arial" w:hAnsi="Arial"/>
          <w:sz w:val="23"/>
          <w:szCs w:val="23"/>
          <w:color w:val="auto"/>
          <w:vertAlign w:val="superscript"/>
        </w:rPr>
        <w:t>(3)(4)</w:t>
      </w:r>
    </w:p>
    <w:p>
      <w:pPr>
        <w:spacing w:after="0" w:line="180"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The 51,750,000 shares beneficially owned by the Churchill Sponsor as of the Closing of the Merger includes the 17,250,000 Sponsor Earnback Shares.</w:t>
      </w:r>
    </w:p>
    <w:p>
      <w:pPr>
        <w:spacing w:after="0" w:line="87"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8"/>
        </w:numPr>
        <w:rPr>
          <w:rFonts w:ascii="Arial" w:cs="Arial" w:eastAsia="Arial" w:hAnsi="Arial"/>
          <w:sz w:val="9"/>
          <w:szCs w:val="9"/>
          <w:color w:val="auto"/>
        </w:rPr>
      </w:pPr>
      <w:r>
        <w:rPr>
          <w:rFonts w:ascii="Arial" w:cs="Arial" w:eastAsia="Arial" w:hAnsi="Arial"/>
          <w:sz w:val="14"/>
          <w:szCs w:val="14"/>
          <w:color w:val="auto"/>
        </w:rPr>
        <w:t>Reflects the sale and issuance of 166,666,667 shares of common stock to the PIPE Investors at $15.00 per share.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Shares</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207,000,000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(21,644)</w:t>
      </w:r>
    </w:p>
    <w:p>
      <w:pPr>
        <w:spacing w:after="0" w:line="3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206,978,356</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51,750,000</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166,666,667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14605</wp:posOffset>
            </wp:positionV>
            <wp:extent cx="9944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425,395,023</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1,193,226,511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29210</wp:posOffset>
            </wp:positionV>
            <wp:extent cx="9944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1,618,621,534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29210</wp:posOffset>
            </wp:positionV>
            <wp:extent cx="9944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-295275</wp:posOffset>
            </wp:positionH>
            <wp:positionV relativeFrom="paragraph">
              <wp:posOffset>55245</wp:posOffset>
            </wp:positionV>
            <wp:extent cx="9944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838" w:lineRule="exact"/>
        <w:rPr>
          <w:sz w:val="20"/>
          <w:szCs w:val="20"/>
          <w:color w:val="auto"/>
        </w:rPr>
      </w:pPr>
    </w:p>
    <w:p>
      <w:pPr>
        <w:sectPr>
          <w:pgSz w:w="11900" w:h="16838" w:orient="portrait"/>
          <w:cols w:equalWidth="0" w:num="2">
            <w:col w:w="9420" w:space="720"/>
            <w:col w:w="1080"/>
          </w:cols>
          <w:pgMar w:left="320" w:top="989" w:right="359" w:bottom="1440" w:gutter="0" w:footer="0" w:header="0"/>
          <w:type w:val="continuous"/>
        </w:sectPr>
      </w:pPr>
    </w:p>
    <w:p>
      <w:pPr>
        <w:ind w:left="160" w:hanging="152"/>
        <w:spacing w:after="0"/>
        <w:tabs>
          <w:tab w:leader="none" w:pos="160" w:val="left"/>
        </w:tabs>
        <w:numPr>
          <w:ilvl w:val="0"/>
          <w:numId w:val="9"/>
        </w:numPr>
        <w:rPr>
          <w:rFonts w:ascii="Arial" w:cs="Arial" w:eastAsia="Arial" w:hAnsi="Arial"/>
          <w:sz w:val="9"/>
          <w:szCs w:val="9"/>
          <w:color w:val="auto"/>
        </w:rPr>
      </w:pPr>
      <w:r>
        <w:rPr>
          <w:rFonts w:ascii="Arial" w:cs="Arial" w:eastAsia="Arial" w:hAnsi="Arial"/>
          <w:sz w:val="13"/>
          <w:szCs w:val="13"/>
          <w:color w:val="auto"/>
        </w:rPr>
        <w:t>Excludes 111,531,080 shares of common stock as of the Closing of the Merger to be reserved for potential future issuance upon the exercise of Lucid options or settlement of Lucid RSUs.</w:t>
      </w:r>
    </w:p>
    <w:p>
      <w:pPr>
        <w:spacing w:after="0" w:line="134" w:lineRule="exact"/>
        <w:rPr>
          <w:rFonts w:ascii="Arial" w:cs="Arial" w:eastAsia="Arial" w:hAnsi="Arial"/>
          <w:sz w:val="9"/>
          <w:szCs w:val="9"/>
          <w:color w:val="auto"/>
        </w:rPr>
      </w:pPr>
    </w:p>
    <w:p>
      <w:pPr>
        <w:ind w:right="120" w:firstLine="8"/>
        <w:spacing w:after="0" w:line="298" w:lineRule="auto"/>
        <w:tabs>
          <w:tab w:leader="none" w:pos="145"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Excludes the 85,750,000 warrants issued and outstanding as of the Closing of the Merger, which includes the 41,400,000 public warrants and the 44,350,000 Private Placement Warrants held by the Churchill Sponsor. The 44,350,000 Private Placement Warrants beneficially owned by the Churchill Sponsor as of the consummation of the Merger includes the 14,783,333 Sponsor Earnback Warrants.</w:t>
      </w:r>
    </w:p>
    <w:p>
      <w:pPr>
        <w:spacing w:after="0" w:line="33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Merger has been accounted for as a reverse recapitalization under U.S. GAAP. Under this method of accounting, Churchill has been treated as the acquired company for financial reporting purposes. The reverse recapitalization accounting treatment was primarily determined based on the stockholders of Legacy Lucid having a relative majority of the voting power of Lucid and having the ability to nominate the majority of the members of the Lucid board of directors, senior management of Legacy Lucid comprise the senior management of Lucid, and the strategy and operations of Legacy Lucid prior to the Merger comprise the only ongoing strategy and operations of Lucid. Accordingly, for accounting purposes, the financial statements of Lucid represent a continuation of the financial statements of Legacy Lucid with the Merger being treated as the equivalent of Legacy Lucid issuing shares for the net assets of Churchill, accompanied by a recapitalization. The net assets of Churchill were recognized as of the Closing at historical cost, with no goodwill or other intangible assets recorded. Operations prior to the Merger are presented as those of Legacy Lucid and the accumulated deficit of Legacy Lucid has been carried forward after Closing.</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periods prior to the Merger have been retrospectively adjusted using the Exchange Ratio for the equivalent number of shares outstanding immediately after the Closing to effect the reverse recapitalization.</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connection with the Closing of the Merger, the Company raised $4,439.2 million of gross proceeds, including the contribution of $2,070.1 million of cash held in Churchill’s trust account from its initial public offering along with $2,500.0 million of cash raised by Churchill in connection with the PIPE Investment and $0.4 million of cash held in the Churchill operating cash account. The gross proceeds were net of $0.2 million paid to redeem 21,644 shares of Churchill Class A common stock held by public stockholders and $131.4 million in costs incurred by Churchill prior to the Closing. The Company additionally incurred $38.9 million of transaction costs, consisting of banking, legal, and other professional fees, of which $36.2 million was recorded as a reduction to additional paid-in capital of proceeds and the remaining $2.7 million was expensed in July 2021. The total net cash proceeds to the Company were $4,400.3 million.</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4 – BALANCE SHEETS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Inventory as of September 30, 2022 and December 31, 2021 were as follows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6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464,854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87,646</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49,375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30,641</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171,092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8,963</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685,321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127,250</w:t>
            </w:r>
          </w:p>
        </w:tc>
      </w:tr>
      <w:tr>
        <w:trPr>
          <w:trHeight w:val="20"/>
        </w:trPr>
        <w:tc>
          <w:tcPr>
            <w:tcW w:w="8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Inventory as of September 30, 2022 and December 31, 2021 was comprised of raw materials, work in progress related to the production of vehicles for sale and finished goods inventory including vehicles in transit to fulfill customer orders and new vehicles available for sale. In the three and nine months ended September 30, 2022, we recorded write downs of $186.5 million and $364.6 million, respectively, to reduce our inventories to their net realizable values, for any excess or obsolete inventories, and losses from firm purchase commitments. No write-downs were recorded during the three and nine months ended September 30,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as of September 30, 2022 and December 31, 2021 were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12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December 31,</w:t>
            </w:r>
          </w:p>
        </w:tc>
      </w:tr>
      <w:tr>
        <w:trPr>
          <w:trHeight w:val="196"/>
        </w:trPr>
        <w:tc>
          <w:tcPr>
            <w:tcW w:w="86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197,254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195,952</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Tooling and Vehicles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703,350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601,791</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41,590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27,968</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135,533</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15,352</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94,991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13,601</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882,892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276,919</w:t>
            </w:r>
          </w:p>
        </w:tc>
      </w:tr>
      <w:tr>
        <w:trPr>
          <w:trHeight w:val="223"/>
        </w:trPr>
        <w:tc>
          <w:tcPr>
            <w:tcW w:w="8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property, plant and equipment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2,171,720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1,268,166</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(217,410)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(86,013)</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1,954,310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1,182,153</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Construction in progress represents the costs incurred in connection with the construction of buildings or new additions to the Company’s plant facilities including tooling, which is with outside vendors. Costs classified as construction in progress include all costs of obtaining the asset and bringing it to the location in the condition necessary for its intended use. No depreciation is provided for construction in progress until such time as the assets are completed and are ready for use. Construction in progress consisted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6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tooling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132,943</w:t>
            </w:r>
          </w:p>
        </w:tc>
      </w:tr>
      <w:tr>
        <w:trPr>
          <w:trHeight w:val="230"/>
        </w:trPr>
        <w:tc>
          <w:tcPr>
            <w:tcW w:w="8600" w:type="dxa"/>
            <w:vAlign w:val="bottom"/>
          </w:tcPr>
          <w:p>
            <w:pPr>
              <w:ind w:left="20"/>
              <w:spacing w:after="0" w:line="230" w:lineRule="exact"/>
              <w:rPr>
                <w:sz w:val="20"/>
                <w:szCs w:val="20"/>
                <w:color w:val="auto"/>
              </w:rPr>
            </w:pPr>
            <w:r>
              <w:rPr>
                <w:rFonts w:ascii="Arial" w:cs="Arial" w:eastAsia="Arial" w:hAnsi="Arial"/>
                <w:sz w:val="18"/>
                <w:szCs w:val="18"/>
                <w:color w:val="auto"/>
              </w:rPr>
              <w:t>Construction of AMP-1 and AMP-2</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435,103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112,970</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31,006</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Total construction in progress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882,892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276,919</w:t>
            </w:r>
          </w:p>
        </w:tc>
      </w:tr>
      <w:tr>
        <w:trPr>
          <w:trHeight w:val="21"/>
        </w:trPr>
        <w:tc>
          <w:tcPr>
            <w:tcW w:w="8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0" w:firstLine="8"/>
        <w:spacing w:after="0" w:line="351" w:lineRule="auto"/>
        <w:tabs>
          <w:tab w:leader="none" w:pos="132" w:val="left"/>
        </w:tabs>
        <w:numPr>
          <w:ilvl w:val="0"/>
          <w:numId w:val="10"/>
        </w:numPr>
        <w:rPr>
          <w:rFonts w:ascii="Arial" w:cs="Arial" w:eastAsia="Arial" w:hAnsi="Arial"/>
          <w:sz w:val="15"/>
          <w:szCs w:val="15"/>
          <w:color w:val="auto"/>
          <w:vertAlign w:val="superscript"/>
        </w:rPr>
      </w:pPr>
      <w:r>
        <w:rPr>
          <w:rFonts w:ascii="Arial" w:cs="Arial" w:eastAsia="Arial" w:hAnsi="Arial"/>
          <w:sz w:val="11"/>
          <w:szCs w:val="11"/>
          <w:color w:val="auto"/>
        </w:rPr>
        <w:t>As of September 30, 2022, $26.6 million of capital expenditure support received from Ministry of Investment of Saudi Arabia (“MISA”) was recorded as a deduction to AMP-2 construction in progress balance. See Note 2 “Summary of Significant Accounting Policies” and Note 19 “Related Party Transactions” for additional information.</w:t>
      </w:r>
    </w:p>
    <w:p>
      <w:pPr>
        <w:spacing w:after="0" w:line="13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Depreciation and amortization expense was $50.6 million and $131.3 million, respectively, for the three and nine months ended September 30, 2022, and $14.9 million and $26.6 million, respectively, for the same periods in the prior year. The amount of interest capitalized on construction in progress related to significant capital asset construction was $1.1 million and $1.8 million, respectively, for the three and nine months ended September 30, 2022.</w:t>
      </w:r>
    </w:p>
    <w:p>
      <w:pPr>
        <w:sectPr>
          <w:pgSz w:w="11900" w:h="16838" w:orient="portrait"/>
          <w:cols w:equalWidth="0" w:num="1">
            <w:col w:w="11240"/>
          </w:cols>
          <w:pgMar w:left="320" w:top="985"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Other current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as of September 30, 2022 and December 31, 2021 were as follows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120" w:type="dxa"/>
            <w:vAlign w:val="bottom"/>
          </w:tcPr>
          <w:p>
            <w:pPr>
              <w:jc w:val="center"/>
              <w:ind w:right="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Engineering, design, and testing accrual</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33,950</w:t>
            </w:r>
          </w:p>
        </w:tc>
        <w:tc>
          <w:tcPr>
            <w:tcW w:w="0" w:type="dxa"/>
            <w:vAlign w:val="bottom"/>
          </w:tcPr>
          <w:p>
            <w:pPr>
              <w:spacing w:after="0"/>
              <w:rPr>
                <w:sz w:val="1"/>
                <w:szCs w:val="1"/>
                <w:color w:val="auto"/>
              </w:rPr>
            </w:pPr>
          </w:p>
        </w:tc>
      </w:tr>
      <w:tr>
        <w:trPr>
          <w:trHeight w:val="229"/>
        </w:trPr>
        <w:tc>
          <w:tcPr>
            <w:tcW w:w="858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213,551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92,590</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Accrued purchases </w:t>
            </w:r>
            <w:r>
              <w:rPr>
                <w:rFonts w:ascii="Arial" w:cs="Arial" w:eastAsia="Arial" w:hAnsi="Arial"/>
                <w:sz w:val="23"/>
                <w:szCs w:val="23"/>
                <w:color w:val="auto"/>
                <w:vertAlign w:val="superscript"/>
              </w:rPr>
              <w:t>(1)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12,225</w:t>
            </w:r>
          </w:p>
        </w:tc>
        <w:tc>
          <w:tcPr>
            <w:tcW w:w="0" w:type="dxa"/>
            <w:vAlign w:val="bottom"/>
          </w:tcPr>
          <w:p>
            <w:pPr>
              <w:spacing w:after="0"/>
              <w:rPr>
                <w:sz w:val="1"/>
                <w:szCs w:val="1"/>
                <w:color w:val="auto"/>
              </w:rPr>
            </w:pPr>
          </w:p>
        </w:tc>
      </w:tr>
      <w:tr>
        <w:trPr>
          <w:trHeight w:val="229"/>
        </w:trPr>
        <w:tc>
          <w:tcPr>
            <w:tcW w:w="8580" w:type="dxa"/>
            <w:vAlign w:val="bottom"/>
          </w:tcPr>
          <w:p>
            <w:pPr>
              <w:ind w:left="20"/>
              <w:spacing w:after="0"/>
              <w:rPr>
                <w:sz w:val="20"/>
                <w:szCs w:val="20"/>
                <w:color w:val="auto"/>
              </w:rPr>
            </w:pPr>
            <w:r>
              <w:rPr>
                <w:rFonts w:ascii="Arial" w:cs="Arial" w:eastAsia="Arial" w:hAnsi="Arial"/>
                <w:sz w:val="18"/>
                <w:szCs w:val="18"/>
                <w:color w:val="auto"/>
              </w:rPr>
              <w:t>Retail leasehold improvements accrual</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15,796</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professional services accrual</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13,944</w:t>
            </w:r>
          </w:p>
        </w:tc>
        <w:tc>
          <w:tcPr>
            <w:tcW w:w="0" w:type="dxa"/>
            <w:vAlign w:val="bottom"/>
          </w:tcPr>
          <w:p>
            <w:pPr>
              <w:spacing w:after="0"/>
              <w:rPr>
                <w:sz w:val="1"/>
                <w:szCs w:val="1"/>
                <w:color w:val="auto"/>
              </w:rPr>
            </w:pPr>
          </w:p>
        </w:tc>
      </w:tr>
      <w:tr>
        <w:trPr>
          <w:trHeight w:val="229"/>
        </w:trPr>
        <w:tc>
          <w:tcPr>
            <w:tcW w:w="8580" w:type="dxa"/>
            <w:vAlign w:val="bottom"/>
          </w:tcPr>
          <w:p>
            <w:pPr>
              <w:ind w:left="20"/>
              <w:spacing w:after="0"/>
              <w:rPr>
                <w:sz w:val="20"/>
                <w:szCs w:val="20"/>
                <w:color w:val="auto"/>
              </w:rPr>
            </w:pPr>
            <w:r>
              <w:rPr>
                <w:rFonts w:ascii="Arial" w:cs="Arial" w:eastAsia="Arial" w:hAnsi="Arial"/>
                <w:sz w:val="18"/>
                <w:szCs w:val="18"/>
                <w:color w:val="auto"/>
              </w:rPr>
              <w:t>Tooling liability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23,966</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insurance financing note</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15,281</w:t>
            </w:r>
          </w:p>
        </w:tc>
        <w:tc>
          <w:tcPr>
            <w:tcW w:w="0" w:type="dxa"/>
            <w:vAlign w:val="bottom"/>
          </w:tcPr>
          <w:p>
            <w:pPr>
              <w:spacing w:after="0"/>
              <w:rPr>
                <w:sz w:val="1"/>
                <w:szCs w:val="1"/>
                <w:color w:val="auto"/>
              </w:rPr>
            </w:pPr>
          </w:p>
        </w:tc>
      </w:tr>
      <w:tr>
        <w:trPr>
          <w:trHeight w:val="230"/>
        </w:trPr>
        <w:tc>
          <w:tcPr>
            <w:tcW w:w="8580" w:type="dxa"/>
            <w:vAlign w:val="bottom"/>
          </w:tcPr>
          <w:p>
            <w:pPr>
              <w:ind w:left="20"/>
              <w:spacing w:after="0"/>
              <w:rPr>
                <w:sz w:val="20"/>
                <w:szCs w:val="20"/>
                <w:color w:val="auto"/>
              </w:rPr>
            </w:pPr>
            <w:r>
              <w:rPr>
                <w:rFonts w:ascii="Arial" w:cs="Arial" w:eastAsia="Arial" w:hAnsi="Arial"/>
                <w:sz w:val="18"/>
                <w:szCs w:val="18"/>
                <w:color w:val="auto"/>
              </w:rPr>
              <w:t>Short-term borrowings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current portion</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11,056</w:t>
            </w:r>
          </w:p>
        </w:tc>
        <w:tc>
          <w:tcPr>
            <w:tcW w:w="0" w:type="dxa"/>
            <w:vAlign w:val="bottom"/>
          </w:tcPr>
          <w:p>
            <w:pPr>
              <w:spacing w:after="0"/>
              <w:rPr>
                <w:sz w:val="1"/>
                <w:szCs w:val="1"/>
                <w:color w:val="auto"/>
              </w:rPr>
            </w:pPr>
          </w:p>
        </w:tc>
      </w:tr>
      <w:tr>
        <w:trPr>
          <w:trHeight w:val="229"/>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liabilities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189,730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99,404</w:t>
            </w:r>
          </w:p>
        </w:tc>
        <w:tc>
          <w:tcPr>
            <w:tcW w:w="0" w:type="dxa"/>
            <w:vAlign w:val="bottom"/>
          </w:tcPr>
          <w:p>
            <w:pPr>
              <w:spacing w:after="0"/>
              <w:rPr>
                <w:sz w:val="1"/>
                <w:szCs w:val="1"/>
                <w:color w:val="auto"/>
              </w:rPr>
            </w:pPr>
          </w:p>
        </w:tc>
      </w:tr>
      <w:tr>
        <w:trPr>
          <w:trHeight w:val="248"/>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current liabilities</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686,555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318,212</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Accrued purchases primarily reflect inventory purchases and related transportation charges that had not been invoiced.</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85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8580" w:type="dxa"/>
            <w:vAlign w:val="bottom"/>
          </w:tcPr>
          <w:p>
            <w:pPr>
              <w:spacing w:after="0"/>
              <w:rPr>
                <w:sz w:val="20"/>
                <w:szCs w:val="20"/>
                <w:color w:val="auto"/>
              </w:rPr>
            </w:pPr>
            <w:r>
              <w:rPr>
                <w:rFonts w:ascii="Arial" w:cs="Arial" w:eastAsia="Arial" w:hAnsi="Arial"/>
                <w:sz w:val="18"/>
                <w:szCs w:val="18"/>
                <w:b w:val="1"/>
                <w:bCs w:val="1"/>
                <w:i w:val="1"/>
                <w:iCs w:val="1"/>
                <w:color w:val="auto"/>
              </w:rPr>
              <w:t>Other long-term liabilities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80" w:type="dxa"/>
            <w:vAlign w:val="bottom"/>
          </w:tcPr>
          <w:p>
            <w:pPr>
              <w:spacing w:after="0"/>
              <w:rPr>
                <w:sz w:val="20"/>
                <w:szCs w:val="20"/>
                <w:color w:val="auto"/>
              </w:rPr>
            </w:pPr>
            <w:r>
              <w:rPr>
                <w:rFonts w:ascii="Arial" w:cs="Arial" w:eastAsia="Arial" w:hAnsi="Arial"/>
                <w:sz w:val="18"/>
                <w:szCs w:val="18"/>
                <w:color w:val="auto"/>
                <w:w w:val="99"/>
              </w:rPr>
              <w:t>Other long-term liabilities as of September 30, 2022 and December 31, 2021 were as follows (in thousands):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8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120" w:type="dxa"/>
            <w:vAlign w:val="bottom"/>
          </w:tcPr>
          <w:p>
            <w:pPr>
              <w:jc w:val="center"/>
              <w:ind w:right="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185,323</w:t>
            </w: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Other long-term liabilities</w:t>
            </w:r>
            <w:r>
              <w:rPr>
                <w:rFonts w:ascii="Arial" w:cs="Arial" w:eastAsia="Arial" w:hAnsi="Arial"/>
                <w:sz w:val="23"/>
                <w:szCs w:val="23"/>
                <w:color w:val="auto"/>
                <w:vertAlign w:val="superscript"/>
              </w:rPr>
              <w:t>(1)</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125,836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48"/>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long-term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365,009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188,575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380" w:firstLine="8"/>
        <w:spacing w:after="0" w:line="351" w:lineRule="auto"/>
        <w:tabs>
          <w:tab w:leader="none" w:pos="132" w:val="left"/>
        </w:tabs>
        <w:numPr>
          <w:ilvl w:val="0"/>
          <w:numId w:val="11"/>
        </w:numPr>
        <w:rPr>
          <w:rFonts w:ascii="Arial" w:cs="Arial" w:eastAsia="Arial" w:hAnsi="Arial"/>
          <w:sz w:val="15"/>
          <w:szCs w:val="15"/>
          <w:color w:val="auto"/>
          <w:vertAlign w:val="superscript"/>
        </w:rPr>
      </w:pPr>
      <w:r>
        <w:rPr>
          <w:rFonts w:ascii="Arial" w:cs="Arial" w:eastAsia="Arial" w:hAnsi="Arial"/>
          <w:sz w:val="11"/>
          <w:szCs w:val="11"/>
          <w:color w:val="auto"/>
        </w:rPr>
        <w:t>As of September 30, 2022, $70.7 million of capital expenditure support received from MISA was recorded as deferred liability within other long-term liabilities. See Note 2 “Summary of Significant Accounting Policies” and Note 19 “Related Party Transactions” for additional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Accrued warranty activities consisted of the following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48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Nine Months Ended</w:t>
            </w:r>
          </w:p>
        </w:tc>
      </w:tr>
      <w:tr>
        <w:trPr>
          <w:trHeight w:val="196"/>
        </w:trPr>
        <w:tc>
          <w:tcPr>
            <w:tcW w:w="7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September 30, 2022</w:t>
            </w:r>
          </w:p>
        </w:tc>
        <w:tc>
          <w:tcPr>
            <w:tcW w:w="160" w:type="dxa"/>
            <w:vAlign w:val="bottom"/>
          </w:tcPr>
          <w:p>
            <w:pPr>
              <w:spacing w:after="0"/>
              <w:rPr>
                <w:sz w:val="17"/>
                <w:szCs w:val="17"/>
                <w:color w:val="auto"/>
              </w:rPr>
            </w:pPr>
          </w:p>
        </w:tc>
        <w:tc>
          <w:tcPr>
            <w:tcW w:w="1480" w:type="dxa"/>
            <w:vAlign w:val="bottom"/>
          </w:tcPr>
          <w:p>
            <w:pPr>
              <w:jc w:val="right"/>
              <w:ind w:right="136"/>
              <w:spacing w:after="0"/>
              <w:rPr>
                <w:sz w:val="20"/>
                <w:szCs w:val="20"/>
                <w:color w:val="auto"/>
              </w:rPr>
            </w:pPr>
            <w:r>
              <w:rPr>
                <w:rFonts w:ascii="Arial" w:cs="Arial" w:eastAsia="Arial" w:hAnsi="Arial"/>
                <w:sz w:val="14"/>
                <w:szCs w:val="14"/>
                <w:b w:val="1"/>
                <w:bCs w:val="1"/>
                <w:color w:val="auto"/>
                <w:w w:val="94"/>
              </w:rPr>
              <w:t>September 30, 2022</w:t>
            </w:r>
          </w:p>
        </w:tc>
      </w:tr>
      <w:tr>
        <w:trPr>
          <w:trHeight w:val="229"/>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Accrued warranty - beginning of period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Warranty costs incurred</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(5,256)</w:t>
            </w:r>
          </w:p>
        </w:tc>
      </w:tr>
      <w:tr>
        <w:trPr>
          <w:trHeight w:val="230"/>
        </w:trPr>
        <w:tc>
          <w:tcPr>
            <w:tcW w:w="7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Provision for warranty</w:t>
            </w:r>
            <w:r>
              <w:rPr>
                <w:rFonts w:ascii="Arial" w:cs="Arial" w:eastAsia="Arial" w:hAnsi="Arial"/>
                <w:sz w:val="23"/>
                <w:szCs w:val="23"/>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17,599</w:t>
            </w:r>
          </w:p>
        </w:tc>
      </w:tr>
      <w:tr>
        <w:trPr>
          <w:trHeight w:val="223"/>
        </w:trPr>
        <w:tc>
          <w:tcPr>
            <w:tcW w:w="790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Accrued warranty - end of period</w:t>
            </w:r>
            <w:r>
              <w:rPr>
                <w:rFonts w:ascii="Arial" w:cs="Arial" w:eastAsia="Arial" w:hAnsi="Arial"/>
                <w:sz w:val="23"/>
                <w:szCs w:val="23"/>
                <w:b w:val="1"/>
                <w:bCs w:val="1"/>
                <w:color w:val="auto"/>
                <w:vertAlign w:val="superscript"/>
              </w:rPr>
              <w:t>(2)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13,625</w:t>
            </w:r>
          </w:p>
        </w:tc>
      </w:tr>
      <w:tr>
        <w:trPr>
          <w:trHeight w:val="20"/>
        </w:trPr>
        <w:tc>
          <w:tcPr>
            <w:tcW w:w="7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9"/>
          <w:szCs w:val="9"/>
          <w:color w:val="auto"/>
        </w:rPr>
      </w:pPr>
      <w:r>
        <w:rPr>
          <w:rFonts w:ascii="Arial" w:cs="Arial" w:eastAsia="Arial" w:hAnsi="Arial"/>
          <w:sz w:val="14"/>
          <w:szCs w:val="14"/>
          <w:color w:val="auto"/>
        </w:rPr>
        <w:t>Accrued warranty balance as of September 30, 2022 included estimated costs related to the recalls identified.</w:t>
      </w:r>
    </w:p>
    <w:p>
      <w:pPr>
        <w:spacing w:after="0" w:line="21" w:lineRule="exact"/>
        <w:rPr>
          <w:rFonts w:ascii="Arial" w:cs="Arial" w:eastAsia="Arial" w:hAnsi="Arial"/>
          <w:sz w:val="9"/>
          <w:szCs w:val="9"/>
          <w:color w:val="auto"/>
        </w:rPr>
      </w:pPr>
    </w:p>
    <w:p>
      <w:pPr>
        <w:ind w:left="140" w:hanging="132"/>
        <w:spacing w:after="0" w:line="228" w:lineRule="auto"/>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Accrued warranty balances were recorded within other current liabilities and other long-term liabilities on our condensed consolidated balance sheets.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 AND FINANCIAL INSTRUMENTS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This hierarchy prioritizes the inputs into three broad levels as follows:</w:t>
      </w:r>
    </w:p>
    <w:p>
      <w:pPr>
        <w:spacing w:after="0" w:line="19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Level 1</w:t>
      </w:r>
      <w:r>
        <w:rPr>
          <w:rFonts w:ascii="Arial" w:cs="Arial" w:eastAsia="Arial" w:hAnsi="Arial"/>
          <w:sz w:val="18"/>
          <w:szCs w:val="18"/>
          <w:color w:val="auto"/>
        </w:rPr>
        <w:t>—Quoted prices (unadjusted) in active markets for identical assets or liabilities.</w:t>
      </w:r>
    </w:p>
    <w:p>
      <w:pPr>
        <w:sectPr>
          <w:pgSz w:w="11900" w:h="16838" w:orient="portrait"/>
          <w:cols w:equalWidth="0" w:num="1">
            <w:col w:w="11240"/>
          </w:cols>
          <w:pgMar w:left="320" w:top="989"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20" w:name="page21"/>
    <w:bookmarkEnd w:id="20"/>
    <w:p>
      <w:pPr>
        <w:ind w:left="660" w:right="22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or liabilities in inactive markets, or other inputs that are observable or can be corroborated by observable market data for substantially the full term of the assets or liabilities.</w:t>
      </w:r>
    </w:p>
    <w:p>
      <w:pPr>
        <w:spacing w:after="0" w:line="183"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Level 3</w:t>
      </w:r>
      <w:r>
        <w:rPr>
          <w:rFonts w:ascii="Arial" w:cs="Arial" w:eastAsia="Arial" w:hAnsi="Arial"/>
          <w:sz w:val="16"/>
          <w:szCs w:val="16"/>
          <w:color w:val="auto"/>
        </w:rPr>
        <w:t>—Inputs that are generally unobservable and typically reflect management’s estimates of assumptions that market participants would use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pricing the asset or liability. Factors used to develop the estimated fair value are unobservable inputs that are not supported by market activity. The sensitivity of the fair value measurement to changes in unobservable inputs may result in a significantly higher or lower measurement.</w:t>
      </w:r>
    </w:p>
    <w:p>
      <w:pPr>
        <w:spacing w:after="0" w:line="14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Cash, cash equivalents and investments are reported at their respective fair values on the Company's condensed consolidated balance sheets. The Company's short-term and long-term investments are classified as available-for-sale.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the Company’s financial assets subject to fair value measurements on a recurring basis by level within the fair value hierarchy as of September 30, 2022 and December 31, 2021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gridSpan w:val="6"/>
          </w:tcPr>
          <w:p>
            <w:pPr>
              <w:jc w:val="center"/>
              <w:ind w:right="16"/>
              <w:spacing w:after="0"/>
              <w:rPr>
                <w:sz w:val="20"/>
                <w:szCs w:val="20"/>
                <w:color w:val="auto"/>
              </w:rPr>
            </w:pPr>
            <w:r>
              <w:rPr>
                <w:rFonts w:ascii="Arial" w:cs="Arial" w:eastAsia="Arial" w:hAnsi="Arial"/>
                <w:sz w:val="14"/>
                <w:szCs w:val="14"/>
                <w:b w:val="1"/>
                <w:bCs w:val="1"/>
                <w:color w:val="auto"/>
                <w:w w:val="91"/>
              </w:rPr>
              <w:t>September 30, 2022</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3"/>
              </w:rPr>
              <w:t>Reported As:</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3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0"/>
                <w:szCs w:val="10"/>
                <w:color w:val="auto"/>
              </w:rPr>
            </w:pPr>
          </w:p>
        </w:tc>
        <w:tc>
          <w:tcPr>
            <w:tcW w:w="820" w:type="dxa"/>
            <w:vAlign w:val="bottom"/>
          </w:tcPr>
          <w:p>
            <w:pPr>
              <w:jc w:val="center"/>
              <w:ind w:right="15"/>
              <w:spacing w:after="0" w:line="126" w:lineRule="exact"/>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Estimated Fair</w:t>
            </w:r>
          </w:p>
        </w:tc>
        <w:tc>
          <w:tcPr>
            <w:tcW w:w="10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Cash and cash</w:t>
            </w:r>
          </w:p>
        </w:tc>
        <w:tc>
          <w:tcPr>
            <w:tcW w:w="120" w:type="dxa"/>
            <w:vAlign w:val="bottom"/>
          </w:tcPr>
          <w:p>
            <w:pPr>
              <w:spacing w:after="0"/>
              <w:rPr>
                <w:sz w:val="10"/>
                <w:szCs w:val="10"/>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Short-Term</w:t>
            </w:r>
          </w:p>
        </w:tc>
        <w:tc>
          <w:tcPr>
            <w:tcW w:w="100" w:type="dxa"/>
            <w:vAlign w:val="bottom"/>
          </w:tcPr>
          <w:p>
            <w:pPr>
              <w:spacing w:after="0"/>
              <w:rPr>
                <w:sz w:val="10"/>
                <w:szCs w:val="10"/>
                <w:color w:val="auto"/>
              </w:rPr>
            </w:pPr>
          </w:p>
        </w:tc>
        <w:tc>
          <w:tcPr>
            <w:tcW w:w="8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8"/>
              </w:rPr>
              <w:t>Long-Term</w:t>
            </w:r>
          </w:p>
        </w:tc>
        <w:tc>
          <w:tcPr>
            <w:tcW w:w="0" w:type="dxa"/>
            <w:vAlign w:val="bottom"/>
          </w:tcPr>
          <w:p>
            <w:pPr>
              <w:spacing w:after="0"/>
              <w:rPr>
                <w:sz w:val="1"/>
                <w:szCs w:val="1"/>
                <w:color w:val="auto"/>
              </w:rPr>
            </w:pPr>
          </w:p>
        </w:tc>
      </w:tr>
      <w:tr>
        <w:trPr>
          <w:trHeight w:val="144"/>
        </w:trPr>
        <w:tc>
          <w:tcPr>
            <w:tcW w:w="386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2"/>
                <w:szCs w:val="12"/>
                <w:color w:val="auto"/>
              </w:rPr>
            </w:pPr>
          </w:p>
        </w:tc>
        <w:tc>
          <w:tcPr>
            <w:tcW w:w="9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820" w:type="dxa"/>
            <w:vAlign w:val="bottom"/>
          </w:tcPr>
          <w:p>
            <w:pPr>
              <w:jc w:val="center"/>
              <w:ind w:right="15"/>
              <w:spacing w:after="0" w:line="145" w:lineRule="exact"/>
              <w:rPr>
                <w:sz w:val="20"/>
                <w:szCs w:val="20"/>
                <w:color w:val="auto"/>
              </w:rPr>
            </w:pPr>
            <w:r>
              <w:rPr>
                <w:rFonts w:ascii="Arial" w:cs="Arial" w:eastAsia="Arial" w:hAnsi="Arial"/>
                <w:sz w:val="14"/>
                <w:szCs w:val="14"/>
                <w:b w:val="1"/>
                <w:bCs w:val="1"/>
                <w:color w:val="auto"/>
                <w:w w:val="95"/>
              </w:rPr>
              <w:t>Unrealized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860" w:type="dxa"/>
            <w:vAlign w:val="bottom"/>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7"/>
                <w:szCs w:val="17"/>
                <w:color w:val="auto"/>
              </w:rPr>
            </w:pPr>
          </w:p>
        </w:tc>
        <w:tc>
          <w:tcPr>
            <w:tcW w:w="820" w:type="dxa"/>
            <w:vAlign w:val="bottom"/>
          </w:tcPr>
          <w:p>
            <w:pPr>
              <w:jc w:val="center"/>
              <w:ind w:right="15"/>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equivalents</w:t>
            </w: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Investments</w:t>
            </w:r>
          </w:p>
        </w:tc>
        <w:tc>
          <w:tcPr>
            <w:tcW w:w="100" w:type="dxa"/>
            <w:vAlign w:val="bottom"/>
          </w:tcPr>
          <w:p>
            <w:pPr>
              <w:spacing w:after="0"/>
              <w:rPr>
                <w:sz w:val="17"/>
                <w:szCs w:val="17"/>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229"/>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238,623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238,623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238,623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Level 1:</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933,177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933,177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933,177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1,863,413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(10,195)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1,853,234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1,490,735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362,499</w:t>
            </w: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2,796,590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(10,195)</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2,786,411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933,177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1,490,735</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362,499</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Level 2:</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226,427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315,209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314,977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79,025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235,952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debt securities</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284,146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281,479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124,931</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151,236</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Subtotal</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833,969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830,882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92,336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587,310</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151,236</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measured at fair value</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3,869,182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(13,379)</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3,855,916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1,264,136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2,078,045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513,735</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Level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Money market funds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Total assets measured at fair value</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center"/>
        <w:ind w:right="33"/>
        <w:spacing w:after="0"/>
        <w:rPr>
          <w:sz w:val="20"/>
          <w:szCs w:val="20"/>
          <w:color w:val="auto"/>
        </w:rPr>
      </w:pPr>
      <w:r>
        <w:rPr>
          <w:rFonts w:ascii="Arial" w:cs="Arial" w:eastAsia="Arial" w:hAnsi="Arial"/>
          <w:sz w:val="14"/>
          <w:szCs w:val="14"/>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32385</wp:posOffset>
            </wp:positionV>
            <wp:extent cx="12858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35" w:lineRule="exact"/>
        <w:rPr>
          <w:sz w:val="20"/>
          <w:szCs w:val="20"/>
          <w:color w:val="auto"/>
        </w:rPr>
      </w:pPr>
    </w:p>
    <w:p>
      <w:pPr>
        <w:jc w:val="center"/>
        <w:ind w:right="33"/>
        <w:spacing w:after="0"/>
        <w:rPr>
          <w:sz w:val="20"/>
          <w:szCs w:val="20"/>
          <w:color w:val="auto"/>
        </w:rPr>
      </w:pPr>
      <w:r>
        <w:rPr>
          <w:rFonts w:ascii="Arial" w:cs="Arial" w:eastAsia="Arial" w:hAnsi="Arial"/>
          <w:sz w:val="14"/>
          <w:szCs w:val="14"/>
          <w:b w:val="1"/>
          <w:bCs w:val="1"/>
          <w:color w:val="auto"/>
        </w:rPr>
        <w:t>Reported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32385</wp:posOffset>
            </wp:positionV>
            <wp:extent cx="12858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35" w:lineRule="exact"/>
        <w:rPr>
          <w:sz w:val="20"/>
          <w:szCs w:val="20"/>
          <w:color w:val="auto"/>
        </w:rPr>
      </w:pPr>
    </w:p>
    <w:p>
      <w:pPr>
        <w:ind w:left="187"/>
        <w:spacing w:after="0"/>
        <w:rPr>
          <w:sz w:val="20"/>
          <w:szCs w:val="20"/>
          <w:color w:val="auto"/>
        </w:rPr>
      </w:pPr>
      <w:r>
        <w:rPr>
          <w:rFonts w:ascii="Arial" w:cs="Arial" w:eastAsia="Arial" w:hAnsi="Arial"/>
          <w:sz w:val="13"/>
          <w:szCs w:val="13"/>
          <w:b w:val="1"/>
          <w:bCs w:val="1"/>
          <w:color w:val="auto"/>
        </w:rPr>
        <w:t>Cash and cash equivalents</w:t>
      </w:r>
    </w:p>
    <w:p>
      <w:pPr>
        <w:spacing w:after="0" w:line="75" w:lineRule="exact"/>
        <w:rPr>
          <w:sz w:val="20"/>
          <w:szCs w:val="20"/>
          <w:color w:val="auto"/>
        </w:rPr>
      </w:pPr>
    </w:p>
    <w:p>
      <w:pPr>
        <w:ind w:left="7"/>
        <w:spacing w:after="0"/>
        <w:tabs>
          <w:tab w:leader="none" w:pos="1327"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160,888</w:t>
      </w:r>
    </w:p>
    <w:p>
      <w:pPr>
        <w:spacing w:after="0" w:line="275" w:lineRule="exact"/>
        <w:rPr>
          <w:sz w:val="20"/>
          <w:szCs w:val="20"/>
          <w:color w:val="auto"/>
        </w:rPr>
      </w:pPr>
    </w:p>
    <w:p>
      <w:pPr>
        <w:ind w:left="1207"/>
        <w:spacing w:after="0"/>
        <w:rPr>
          <w:sz w:val="20"/>
          <w:szCs w:val="20"/>
          <w:color w:val="auto"/>
        </w:rPr>
      </w:pPr>
      <w:r>
        <w:rPr>
          <w:rFonts w:ascii="Arial" w:cs="Arial" w:eastAsia="Arial" w:hAnsi="Arial"/>
          <w:sz w:val="16"/>
          <w:szCs w:val="16"/>
          <w:color w:val="auto"/>
        </w:rPr>
        <w:t>6,102,017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12858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39" w:lineRule="exact"/>
        <w:rPr>
          <w:sz w:val="20"/>
          <w:szCs w:val="20"/>
          <w:color w:val="auto"/>
        </w:rPr>
      </w:pPr>
    </w:p>
    <w:p>
      <w:pPr>
        <w:ind w:left="1207" w:hanging="1207"/>
        <w:spacing w:after="0"/>
        <w:tabs>
          <w:tab w:leader="none" w:pos="1207" w:val="left"/>
        </w:tabs>
        <w:numPr>
          <w:ilvl w:val="0"/>
          <w:numId w:val="15"/>
        </w:numPr>
        <w:rPr>
          <w:rFonts w:ascii="Arial" w:cs="Arial" w:eastAsia="Arial" w:hAnsi="Arial"/>
          <w:sz w:val="16"/>
          <w:szCs w:val="16"/>
          <w:color w:val="auto"/>
        </w:rPr>
      </w:pPr>
      <w:r>
        <w:rPr>
          <w:rFonts w:ascii="Arial" w:cs="Arial" w:eastAsia="Arial" w:hAnsi="Arial"/>
          <w:sz w:val="16"/>
          <w:szCs w:val="16"/>
          <w:color w:val="auto"/>
        </w:rPr>
        <w:t>6,262,905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12858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587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55245</wp:posOffset>
            </wp:positionV>
            <wp:extent cx="12858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8513" w:space="720"/>
            <w:col w:w="2007"/>
          </w:cols>
          <w:pgMar w:left="320" w:top="989" w:right="339" w:bottom="1440" w:gutter="0" w:footer="0" w:header="0"/>
          <w:type w:val="continuous"/>
        </w:sectPr>
      </w:pP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nine months ended September 30, 2022, there were immaterial realized gains or losses on the sale of available-for-sale securities. Accrued interest receivable excluded from both the fair value and amortized cost basis of the available-for-sale securities was $5.7 million as of September 30, 2022, and is recorded in Other current assets on our condensed consolidated balance sheets. As of September 30, 2022, no allowance for credit losses was recorded related to an impairment of available-for-sale securities.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color w:val="auto"/>
        </w:rPr>
        <w:t>The following table summarizes our available-for-sale securities by contractual maturity: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rPr>
              <w:t>September 30, 2022</w:t>
            </w:r>
          </w:p>
        </w:tc>
        <w:tc>
          <w:tcPr>
            <w:tcW w:w="0" w:type="dxa"/>
            <w:vAlign w:val="bottom"/>
          </w:tcPr>
          <w:p>
            <w:pPr>
              <w:spacing w:after="0"/>
              <w:rPr>
                <w:sz w:val="1"/>
                <w:szCs w:val="1"/>
                <w:color w:val="auto"/>
              </w:rPr>
            </w:pPr>
          </w:p>
        </w:tc>
      </w:tr>
      <w:tr>
        <w:trPr>
          <w:trHeight w:val="26"/>
        </w:trPr>
        <w:tc>
          <w:tcPr>
            <w:tcW w:w="9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9180" w:type="dxa"/>
            <w:vAlign w:val="bottom"/>
          </w:tcPr>
          <w:p>
            <w:pPr>
              <w:spacing w:after="0"/>
              <w:rPr>
                <w:sz w:val="11"/>
                <w:szCs w:val="11"/>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98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92"/>
        </w:trPr>
        <w:tc>
          <w:tcPr>
            <w:tcW w:w="918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3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9"/>
        </w:trPr>
        <w:tc>
          <w:tcPr>
            <w:tcW w:w="9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Within one year</w:t>
            </w: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2,082,767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2,078,045</w:t>
            </w:r>
          </w:p>
        </w:tc>
        <w:tc>
          <w:tcPr>
            <w:tcW w:w="0" w:type="dxa"/>
            <w:vAlign w:val="bottom"/>
          </w:tcPr>
          <w:p>
            <w:pPr>
              <w:spacing w:after="0"/>
              <w:rPr>
                <w:sz w:val="1"/>
                <w:szCs w:val="1"/>
                <w:color w:val="auto"/>
              </w:rPr>
            </w:pPr>
          </w:p>
        </w:tc>
      </w:tr>
      <w:tr>
        <w:trPr>
          <w:trHeight w:val="230"/>
        </w:trPr>
        <w:tc>
          <w:tcPr>
            <w:tcW w:w="9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 one year through three years</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522,262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513,735</w:t>
            </w:r>
          </w:p>
        </w:tc>
        <w:tc>
          <w:tcPr>
            <w:tcW w:w="0" w:type="dxa"/>
            <w:vAlign w:val="bottom"/>
          </w:tcPr>
          <w:p>
            <w:pPr>
              <w:spacing w:after="0"/>
              <w:rPr>
                <w:sz w:val="1"/>
                <w:szCs w:val="1"/>
                <w:color w:val="auto"/>
              </w:rPr>
            </w:pPr>
          </w:p>
        </w:tc>
      </w:tr>
      <w:tr>
        <w:trPr>
          <w:trHeight w:val="248"/>
        </w:trPr>
        <w:tc>
          <w:tcPr>
            <w:tcW w:w="9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2,605,029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2,591,780</w:t>
            </w:r>
          </w:p>
        </w:tc>
        <w:tc>
          <w:tcPr>
            <w:tcW w:w="0" w:type="dxa"/>
            <w:vAlign w:val="bottom"/>
          </w:tcPr>
          <w:p>
            <w:pPr>
              <w:spacing w:after="0"/>
              <w:rPr>
                <w:sz w:val="1"/>
                <w:szCs w:val="1"/>
                <w:color w:val="auto"/>
              </w:rPr>
            </w:pP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Level 3 liabilities consist of convertible preferred stock warrant liability, contingent forward contract liability and common stock warrant liability, of which the fair value was measured upon issuance and is remeasured at each reporting date. Level 3 liabilities also consist of residual value guarantee liabilities, of which the fair value measurement is nonrecurring and measured upon delivery of vehicles. The valuation methodology and underlying assumptions are discussed further in Note 2 “Summary of Significant Accounting Policies”, Note 7 “Contingent Forward Contracts,” Note 8 “Convertible Preferred Stock Warrant Liability” and Note 9 “Common Stock Warrant Liability”. Significant increases (decreases) in the unobservable inputs used in determining the fair value would result in a significantly higher (lower) fair value measurement. The following table presents a reconciliation of the contingent forward contract liability, convertible preferred stock warrant liability and common stock warrant liability measured and recorded at fair value on a recurring basis (in thousands):</w:t>
      </w:r>
    </w:p>
    <w:p>
      <w:pPr>
        <w:spacing w:after="0" w:line="224"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32385</wp:posOffset>
            </wp:positionV>
            <wp:extent cx="19373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35" w:lineRule="exact"/>
        <w:rPr>
          <w:sz w:val="20"/>
          <w:szCs w:val="20"/>
          <w:color w:val="auto"/>
        </w:rPr>
      </w:pPr>
    </w:p>
    <w:p>
      <w:pPr>
        <w:ind w:left="8780"/>
        <w:spacing w:after="0"/>
        <w:tabs>
          <w:tab w:leader="none" w:pos="1034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32385</wp:posOffset>
            </wp:positionV>
            <wp:extent cx="19373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p>
      <w:pPr>
        <w:spacing w:after="0" w:line="45"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Common Stock</w:t>
      </w:r>
    </w:p>
    <w:p>
      <w:pPr>
        <w:jc w:val="center"/>
        <w:ind w:left="8380"/>
        <w:spacing w:after="0"/>
        <w:rPr>
          <w:sz w:val="20"/>
          <w:szCs w:val="20"/>
          <w:color w:val="auto"/>
        </w:rPr>
      </w:pPr>
      <w:r>
        <w:rPr>
          <w:rFonts w:ascii="Arial" w:cs="Arial" w:eastAsia="Arial" w:hAnsi="Arial"/>
          <w:sz w:val="14"/>
          <w:szCs w:val="14"/>
          <w:b w:val="1"/>
          <w:bCs w:val="1"/>
          <w:color w:val="auto"/>
        </w:rPr>
        <w:t>Warrant Liability</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Common Stock</w:t>
      </w:r>
    </w:p>
    <w:p>
      <w:pPr>
        <w:jc w:val="center"/>
        <w:ind w:right="200"/>
        <w:spacing w:after="0"/>
        <w:rPr>
          <w:sz w:val="20"/>
          <w:szCs w:val="20"/>
          <w:color w:val="auto"/>
        </w:rPr>
      </w:pPr>
      <w:r>
        <w:rPr>
          <w:rFonts w:ascii="Arial" w:cs="Arial" w:eastAsia="Arial" w:hAnsi="Arial"/>
          <w:sz w:val="14"/>
          <w:szCs w:val="14"/>
          <w:b w:val="1"/>
          <w:bCs w:val="1"/>
          <w:color w:val="auto"/>
        </w:rPr>
        <w:t>Warrant Liability</w:t>
      </w:r>
    </w:p>
    <w:p>
      <w:pPr>
        <w:spacing w:after="0" w:line="15" w:lineRule="exact"/>
        <w:rPr>
          <w:sz w:val="20"/>
          <w:szCs w:val="20"/>
          <w:color w:val="auto"/>
        </w:rPr>
      </w:pPr>
    </w:p>
    <w:p>
      <w:pPr>
        <w:sectPr>
          <w:pgSz w:w="11900" w:h="16838" w:orient="portrait"/>
          <w:cols w:equalWidth="0" w:num="2">
            <w:col w:w="9480" w:space="460"/>
            <w:col w:w="1300"/>
          </w:cols>
          <w:pgMar w:left="320" w:top="773"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value-beginning of period</w:t>
            </w:r>
          </w:p>
        </w:tc>
        <w:tc>
          <w:tcPr>
            <w:tcW w:w="14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536,635</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Issuance</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812,048</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(140,146)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24,787</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Fair value-end of period</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396,489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836,835</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5"/>
        </w:trPr>
        <w:tc>
          <w:tcPr>
            <w:tcW w:w="5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gridSpan w:val="5"/>
          </w:tcPr>
          <w:p>
            <w:pPr>
              <w:ind w:left="340"/>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Common Stock</w:t>
            </w:r>
          </w:p>
        </w:tc>
        <w:tc>
          <w:tcPr>
            <w:tcW w:w="120" w:type="dxa"/>
            <w:vAlign w:val="bottom"/>
          </w:tcPr>
          <w:p>
            <w:pPr>
              <w:spacing w:after="0"/>
              <w:rPr>
                <w:sz w:val="12"/>
                <w:szCs w:val="12"/>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Contingent Forward</w:t>
            </w:r>
          </w:p>
        </w:tc>
        <w:tc>
          <w:tcPr>
            <w:tcW w:w="120" w:type="dxa"/>
            <w:vAlign w:val="bottom"/>
          </w:tcPr>
          <w:p>
            <w:pPr>
              <w:spacing w:after="0"/>
              <w:rPr>
                <w:sz w:val="12"/>
                <w:szCs w:val="12"/>
                <w:color w:val="auto"/>
              </w:rPr>
            </w:pPr>
          </w:p>
        </w:tc>
        <w:tc>
          <w:tcPr>
            <w:tcW w:w="146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6"/>
              </w:rPr>
              <w:t>Convertible</w:t>
            </w:r>
          </w:p>
        </w:tc>
        <w:tc>
          <w:tcPr>
            <w:tcW w:w="140" w:type="dxa"/>
            <w:vAlign w:val="bottom"/>
          </w:tcPr>
          <w:p>
            <w:pPr>
              <w:spacing w:after="0"/>
              <w:rPr>
                <w:sz w:val="12"/>
                <w:szCs w:val="12"/>
                <w:color w:val="auto"/>
              </w:rPr>
            </w:pPr>
          </w:p>
        </w:tc>
        <w:tc>
          <w:tcPr>
            <w:tcW w:w="13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45"/>
        </w:trPr>
        <w:tc>
          <w:tcPr>
            <w:tcW w:w="5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3"/>
              </w:rPr>
              <w:t>Preferred Stock</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5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Warrant Liability</w:t>
            </w:r>
          </w:p>
        </w:tc>
        <w:tc>
          <w:tcPr>
            <w:tcW w:w="120" w:type="dxa"/>
            <w:vAlign w:val="bottom"/>
          </w:tcPr>
          <w:p>
            <w:pPr>
              <w:spacing w:after="0"/>
              <w:rPr>
                <w:sz w:val="17"/>
                <w:szCs w:val="17"/>
                <w:color w:val="auto"/>
              </w:rPr>
            </w:pPr>
          </w:p>
        </w:tc>
        <w:tc>
          <w:tcPr>
            <w:tcW w:w="1440" w:type="dxa"/>
            <w:vAlign w:val="bottom"/>
            <w:gridSpan w:val="2"/>
          </w:tcPr>
          <w:p>
            <w:pPr>
              <w:spacing w:after="0" w:line="201" w:lineRule="exact"/>
              <w:rPr>
                <w:sz w:val="20"/>
                <w:szCs w:val="20"/>
                <w:color w:val="auto"/>
              </w:rPr>
            </w:pPr>
            <w:r>
              <w:rPr>
                <w:rFonts w:ascii="Arial" w:cs="Arial" w:eastAsia="Arial" w:hAnsi="Arial"/>
                <w:sz w:val="14"/>
                <w:szCs w:val="14"/>
                <w:b w:val="1"/>
                <w:bCs w:val="1"/>
                <w:color w:val="auto"/>
              </w:rPr>
              <w:t xml:space="preserve">Contract Liability </w:t>
            </w:r>
            <w:r>
              <w:rPr>
                <w:rFonts w:ascii="Arial" w:cs="Arial" w:eastAsia="Arial" w:hAnsi="Arial"/>
                <w:sz w:val="18"/>
                <w:szCs w:val="18"/>
                <w:b w:val="1"/>
                <w:bCs w:val="1"/>
                <w:color w:val="auto"/>
                <w:vertAlign w:val="superscript"/>
              </w:rPr>
              <w:t>(1)</w:t>
            </w:r>
          </w:p>
        </w:tc>
        <w:tc>
          <w:tcPr>
            <w:tcW w:w="120" w:type="dxa"/>
            <w:vAlign w:val="bottom"/>
          </w:tcPr>
          <w:p>
            <w:pPr>
              <w:spacing w:after="0"/>
              <w:rPr>
                <w:sz w:val="17"/>
                <w:szCs w:val="17"/>
                <w:color w:val="auto"/>
              </w:rPr>
            </w:pPr>
          </w:p>
        </w:tc>
        <w:tc>
          <w:tcPr>
            <w:tcW w:w="1460" w:type="dxa"/>
            <w:vAlign w:val="bottom"/>
            <w:gridSpan w:val="2"/>
          </w:tcPr>
          <w:p>
            <w:pPr>
              <w:jc w:val="center"/>
              <w:ind w:right="200"/>
              <w:spacing w:after="0" w:line="201" w:lineRule="exact"/>
              <w:rPr>
                <w:sz w:val="20"/>
                <w:szCs w:val="20"/>
                <w:color w:val="auto"/>
              </w:rPr>
            </w:pPr>
            <w:r>
              <w:rPr>
                <w:rFonts w:ascii="Arial" w:cs="Arial" w:eastAsia="Arial" w:hAnsi="Arial"/>
                <w:sz w:val="14"/>
                <w:szCs w:val="14"/>
                <w:b w:val="1"/>
                <w:bCs w:val="1"/>
                <w:color w:val="auto"/>
                <w:w w:val="98"/>
              </w:rPr>
              <w:t xml:space="preserve">Warrant Liability </w:t>
            </w:r>
            <w:r>
              <w:rPr>
                <w:rFonts w:ascii="Arial" w:cs="Arial" w:eastAsia="Arial" w:hAnsi="Arial"/>
                <w:sz w:val="18"/>
                <w:szCs w:val="18"/>
                <w:b w:val="1"/>
                <w:bCs w:val="1"/>
                <w:color w:val="auto"/>
                <w:w w:val="98"/>
                <w:vertAlign w:val="superscript"/>
              </w:rPr>
              <w:t>(1)</w:t>
            </w:r>
          </w:p>
        </w:tc>
        <w:tc>
          <w:tcPr>
            <w:tcW w:w="140" w:type="dxa"/>
            <w:vAlign w:val="bottom"/>
          </w:tcPr>
          <w:p>
            <w:pPr>
              <w:spacing w:after="0"/>
              <w:rPr>
                <w:sz w:val="17"/>
                <w:szCs w:val="17"/>
                <w:color w:val="auto"/>
              </w:rPr>
            </w:pPr>
          </w:p>
        </w:tc>
        <w:tc>
          <w:tcPr>
            <w:tcW w:w="1340" w:type="dxa"/>
            <w:vAlign w:val="bottom"/>
          </w:tcPr>
          <w:p>
            <w:pPr>
              <w:jc w:val="right"/>
              <w:ind w:right="113"/>
              <w:spacing w:after="0"/>
              <w:rPr>
                <w:sz w:val="20"/>
                <w:szCs w:val="20"/>
                <w:color w:val="auto"/>
              </w:rPr>
            </w:pPr>
            <w:r>
              <w:rPr>
                <w:rFonts w:ascii="Arial" w:cs="Arial" w:eastAsia="Arial" w:hAnsi="Arial"/>
                <w:sz w:val="14"/>
                <w:szCs w:val="14"/>
                <w:b w:val="1"/>
                <w:bCs w:val="1"/>
                <w:color w:val="auto"/>
              </w:rPr>
              <w:t>Warrant Liability</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1,394,808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Issuance</w:t>
            </w:r>
          </w:p>
        </w:tc>
        <w:tc>
          <w:tcPr>
            <w:tcW w:w="14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2,167,332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812,048</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24,787</w:t>
            </w:r>
          </w:p>
        </w:tc>
        <w:tc>
          <w:tcPr>
            <w:tcW w:w="0" w:type="dxa"/>
            <w:vAlign w:val="bottom"/>
          </w:tcPr>
          <w:p>
            <w:pPr>
              <w:spacing w:after="0"/>
              <w:rPr>
                <w:sz w:val="1"/>
                <w:szCs w:val="1"/>
                <w:color w:val="auto"/>
              </w:rPr>
            </w:pP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Settlement</w:t>
            </w:r>
          </w:p>
        </w:tc>
        <w:tc>
          <w:tcPr>
            <w:tcW w:w="14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(2,621,878)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836,835</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left="160" w:hanging="152"/>
        <w:spacing w:after="0"/>
        <w:tabs>
          <w:tab w:leader="none" w:pos="16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Convertible preferred stock warrant liability and contingent forward contract liability were fully settled during the six months ended June 30,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Notes</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December 2021, the Company issued an aggregate of $2,012.5 million principal amount of 1.25% convertible senior notes due in December 2026 (the “2026 Notes”) in a private offering to qualified institutional buyers pursuant to Rule 144A under the Securities Act of 1933, as amended, at an issuance price equal to 99.5% of the principal amount of 2026 Notes. The 2026 Notes have been designated as green bonds, whose proceeds will be allocated in accordance with the Company’s green bond framework. The 2026 Notes were issued pursuant to and are governed by an indenture dated December 14, 2021, between the Company and U.S. Bank National Association as the trustee. The proceeds from the issuance of the 2026 Notes were $1,986.6 million, net of the issuance discount and debt issuance costs.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22" w:name="page23"/>
    <w:bookmarkEnd w:id="22"/>
    <w:p>
      <w:pPr>
        <w:ind w:right="60"/>
        <w:spacing w:after="0" w:line="269" w:lineRule="auto"/>
        <w:rPr>
          <w:sz w:val="20"/>
          <w:szCs w:val="20"/>
          <w:color w:val="auto"/>
        </w:rPr>
      </w:pPr>
      <w:r>
        <w:rPr>
          <w:rFonts w:ascii="Arial" w:cs="Arial" w:eastAsia="Arial" w:hAnsi="Arial"/>
          <w:sz w:val="17"/>
          <w:szCs w:val="17"/>
          <w:color w:val="auto"/>
        </w:rPr>
        <w:t>The 2026 Notes are unsecured obligations which bear regular interest at 1.25% per annum and will be payable semiannually in arrears on June 15 and December 15 of each year, beginning on June 15, 2022. The 2026 Notes will mature on December 15, 2026, unless repurchased, redeemed, or converted in accordance with their terms prior to such date. The 2026 Notes are convertible into cash, shares of our Class A common stock, or a combination of cash and shares of our Class A common stock, at the Company’s election, at an initial conversion rate of 18.2548 shares of Class A common stock per $1,000 principal amount of 2026 Notes, which is equivalent to an initial conversion price of approximately $54.78 per share of our Class A common stock. The conversion rate is subject to customary adjustments for certain dilutive events. The Company may redeem for cash all or any portion of the 2026 Notes, at the Company’s option, on or after December 20, 2024 if the last reported sale price of our Class A common stock has been at least 130% of the conversion price then in effect for at least 20 trading days at a redemption price equal to 100% of the principal amount of the 2026 Notes to be redeemed, plus accrued and unpaid interest up to the day before the redemption date. The holders may require the Company to repurchase the 2026 Notes upon the occurrence of certain fundamental change transactions at a redemption price equal to 100% of the principal amount of the 2026 Notes redeemed, plus accrued and unpaid interest up to the day before the redemption date.</w:t>
      </w:r>
    </w:p>
    <w:p>
      <w:pPr>
        <w:spacing w:after="0" w:line="18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Holders of the 2026 Notes may convert all or a portion of their 2026 Notes at their option prior to September 15, 2026, in multiples of $1,000 principal amounts, only under the following circumstances:</w:t>
      </w:r>
    </w:p>
    <w:p>
      <w:pPr>
        <w:spacing w:after="0" w:line="116" w:lineRule="exact"/>
        <w:rPr>
          <w:sz w:val="20"/>
          <w:szCs w:val="20"/>
          <w:color w:val="auto"/>
        </w:rPr>
      </w:pPr>
    </w:p>
    <w:p>
      <w:pPr>
        <w:ind w:left="660" w:right="28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any calendar quarter commencing after the quarter ending on March 31, 2022 (and only during such calendar quarter), if the Company’s common stock price exceeds 130% of the conversion price for at least 20 trading days during the 30 consecutive trading days at the end of the prior calendar quarter;</w:t>
      </w:r>
    </w:p>
    <w:p>
      <w:pPr>
        <w:spacing w:after="0" w:line="129"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our common stock on such trading day and the conversion rate on such trading day;</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or</w:t>
      </w:r>
    </w:p>
    <w:p>
      <w:pPr>
        <w:spacing w:after="0" w:line="171"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Company calls any or all 2026 Notes for redemption, at any time prior to the close of business on the scheduled trading day immediately preceding the redemption date, but only with respect to the notes called for redemption.</w:t>
      </w:r>
    </w:p>
    <w:p>
      <w:pPr>
        <w:spacing w:after="0" w:line="170"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On or after September 15, 2026, the 2026 Notes are convertible at any time until the close of business on the second scheduled trading day immediately preceding the maturity date. Holders of the 2026 Notes who convert the 2026 Notes in connection with a make-whole fundamental change, as defined in the indenture governing the 2026 Notes, or in connection with a redemption may be entitled to an increase in the conversion rate.</w:t>
      </w:r>
    </w:p>
    <w:p>
      <w:pPr>
        <w:spacing w:after="0" w:line="14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Company accounted for the issuance of the 2026 Notes as a single liability measured at its amortized cost, as no other embedded features require bifurcation and recognition as derivatives. The following is a summary of the 2026 Notes as of September 30, 2022 and December 31, 2021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16"/>
                <w:szCs w:val="16"/>
                <w:color w:val="auto"/>
              </w:rPr>
            </w:pPr>
          </w:p>
        </w:tc>
        <w:tc>
          <w:tcPr>
            <w:tcW w:w="1340" w:type="dxa"/>
            <w:vAlign w:val="bottom"/>
          </w:tcPr>
          <w:p>
            <w:pPr>
              <w:jc w:val="right"/>
              <w:ind w:right="74"/>
              <w:spacing w:after="0"/>
              <w:rPr>
                <w:sz w:val="20"/>
                <w:szCs w:val="20"/>
                <w:color w:val="auto"/>
              </w:rPr>
            </w:pPr>
            <w:r>
              <w:rPr>
                <w:rFonts w:ascii="Arial" w:cs="Arial" w:eastAsia="Arial" w:hAnsi="Arial"/>
                <w:sz w:val="14"/>
                <w:szCs w:val="14"/>
                <w:b w:val="1"/>
                <w:bCs w:val="1"/>
                <w:color w:val="auto"/>
                <w:w w:val="91"/>
              </w:rPr>
              <w:t>December 31, 2021</w:t>
            </w:r>
          </w:p>
        </w:tc>
      </w:tr>
      <w:tr>
        <w:trPr>
          <w:trHeight w:val="25"/>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Amount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2,012.5</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Discounts and Issuance Costs</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(Level 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1,984.6</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The effective interest rate for the convertible note is 1.5%. The components of interest expense related to the 2026 Notes were as follows (in millions):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360" w:type="dxa"/>
            <w:vAlign w:val="bottom"/>
          </w:tcPr>
          <w:p>
            <w:pPr>
              <w:jc w:val="right"/>
              <w:ind w:right="37"/>
              <w:spacing w:after="0"/>
              <w:rPr>
                <w:sz w:val="20"/>
                <w:szCs w:val="20"/>
                <w:color w:val="auto"/>
              </w:rPr>
            </w:pPr>
            <w:r>
              <w:rPr>
                <w:rFonts w:ascii="Arial" w:cs="Arial" w:eastAsia="Arial" w:hAnsi="Arial"/>
                <w:sz w:val="14"/>
                <w:szCs w:val="14"/>
                <w:b w:val="1"/>
                <w:bCs w:val="1"/>
                <w:color w:val="auto"/>
                <w:w w:val="93"/>
              </w:rPr>
              <w:t>Nine Months Ended</w:t>
            </w:r>
          </w:p>
        </w:tc>
      </w:tr>
      <w:tr>
        <w:trPr>
          <w:trHeight w:val="196"/>
        </w:trPr>
        <w:tc>
          <w:tcPr>
            <w:tcW w:w="8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 2022</w:t>
            </w:r>
          </w:p>
        </w:tc>
        <w:tc>
          <w:tcPr>
            <w:tcW w:w="120" w:type="dxa"/>
            <w:vAlign w:val="bottom"/>
          </w:tcPr>
          <w:p>
            <w:pPr>
              <w:spacing w:after="0"/>
              <w:rPr>
                <w:sz w:val="17"/>
                <w:szCs w:val="17"/>
                <w:color w:val="auto"/>
              </w:rPr>
            </w:pPr>
          </w:p>
        </w:tc>
        <w:tc>
          <w:tcPr>
            <w:tcW w:w="1360" w:type="dxa"/>
            <w:vAlign w:val="bottom"/>
          </w:tcPr>
          <w:p>
            <w:pPr>
              <w:jc w:val="right"/>
              <w:ind w:right="57"/>
              <w:spacing w:after="0"/>
              <w:rPr>
                <w:sz w:val="20"/>
                <w:szCs w:val="20"/>
                <w:color w:val="auto"/>
              </w:rPr>
            </w:pPr>
            <w:r>
              <w:rPr>
                <w:rFonts w:ascii="Arial" w:cs="Arial" w:eastAsia="Arial" w:hAnsi="Arial"/>
                <w:sz w:val="14"/>
                <w:szCs w:val="14"/>
                <w:b w:val="1"/>
                <w:bCs w:val="1"/>
                <w:color w:val="auto"/>
                <w:w w:val="91"/>
              </w:rPr>
              <w:t>September 30, 2022</w:t>
            </w:r>
          </w:p>
        </w:tc>
      </w:tr>
      <w:tr>
        <w:trPr>
          <w:trHeight w:val="230"/>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interest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debt discounts and debt issuance costs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2026 Notes were not eligible for conversion as of September 30, 2022 and December 31, 2021. No sinking fund is provided for the 2026 Notes, which means that the Company is not required to redeem or retire them periodically. As of September 30, 2022, the Company was in compliance with applicable covenants under the indenture governing the 2026 Notes.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SIDF Loan Agreement</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On February 27, 2022, Lucid, LLC, a limited liability company established in the Kingdom of Saudi Arabia and a subsidiary of the Company (“Lucid LLC”) entered into a loan agreement (as subsequently amended, the “SIDF Loan Agreement”) with SIDF, a related party of Public Investment Fund (“PIF”), which is an affiliate of Ayar Third Investment Company, the controlling stockholder of the Company (“Ayar”).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 350 million (approximately $93.2 million), commencing on April 3, 2026 and ending on November 12, 2038. SIDF Loans are financing and will be used to finance certain costs in connection with the development and construction of AMP-2. Lucid LLC may repay SIDF Loans earlier than the maturity date without penalty. Obligations under the SIDF Loan Agreement do not extend to the Company or any of its other subsidiaries.</w:t>
      </w:r>
    </w:p>
    <w:p>
      <w:pPr>
        <w:spacing w:after="0" w:line="181"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 xml:space="preserve">SIDF Loans will not bear interest. Instead, Lucid LLC will be required to pay SIDF service fees, consisting of follow-up and technical evaluation fees, ranging, in aggregate, from SAR 415 million (approximately $110.5 million) to SAR 1.77 billion (approximately $471.1 million), over the term of the SIDF Loans. SIDF Loans will be secured by security interests in the </w:t>
      </w:r>
      <w:r>
        <w:rPr>
          <w:rFonts w:ascii="Arial" w:cs="Arial" w:eastAsia="Arial" w:hAnsi="Arial"/>
          <w:sz w:val="17"/>
          <w:szCs w:val="17"/>
          <w:color w:val="242424"/>
        </w:rPr>
        <w:t>equipment, machines and assets funded thereby.</w:t>
      </w:r>
    </w:p>
    <w:p>
      <w:pPr>
        <w:spacing w:after="0" w:line="165"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 xml:space="preserve">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the King Abdullah Economic City (“KAEC”), and drawdowns under the SIDF Loan Agreement are subject to certain conditions precedent. </w:t>
      </w:r>
      <w:r>
        <w:rPr>
          <w:rFonts w:ascii="Arial" w:cs="Arial" w:eastAsia="Arial" w:hAnsi="Arial"/>
          <w:sz w:val="17"/>
          <w:szCs w:val="17"/>
          <w:color w:val="242424"/>
        </w:rPr>
        <w:t>As of</w:t>
      </w:r>
      <w:r>
        <w:rPr>
          <w:rFonts w:ascii="Arial" w:cs="Arial" w:eastAsia="Arial" w:hAnsi="Arial"/>
          <w:sz w:val="17"/>
          <w:szCs w:val="17"/>
          <w:color w:val="auto"/>
        </w:rPr>
        <w:t xml:space="preserve"> September 30, 2022, no amount</w:t>
      </w:r>
      <w:r>
        <w:rPr>
          <w:rFonts w:ascii="Arial" w:cs="Arial" w:eastAsia="Arial" w:hAnsi="Arial"/>
          <w:sz w:val="17"/>
          <w:szCs w:val="17"/>
          <w:color w:val="242424"/>
        </w:rPr>
        <w:t>s were outstanding under the SIDF Loan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2424"/>
        </w:rPr>
        <w:t>GIB Facility Agreement</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April 29, 2022, Lucid LLC entered into a revolving credit facility agreement (the “GIB Facility Agreement”) with GIB, maturing on February 28, 2025. GIB is a related party of PIF, which is an affiliate of Ayar. The GIB Facility Agreement provides for two committed revolving credit facilities in an aggregate principal amount of SAR 1 billion (approximately $266.2 million). SAR $650 million (approximately $173.0 million) under the GIB Facility Agreement is available as bridge financing (the “Bridge Facility”) of Lucid LLC’s capital expenditures in connection with AMP-2. The remaining SAR</w:t>
      </w:r>
    </w:p>
    <w:p>
      <w:pPr>
        <w:spacing w:after="0" w:line="2"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350 million (approximately $93.2 million) may be used for general corporate purposes (the “Working Capital Facility”). Loans under the Bridge Facility and the Working Capital Facility will have a maturity of no more than 12 months. The Bridge Facility will bear interest at a rate of 1.25% per annum over 3-month SAIBOR and the Working Capital Facility will bear interest at a rate of 1.70% per annum over 3-month SAIBOR and associated fees. The Company is required to pay a quarterly commitment fee of 0.15% per annum based on the unutilized portion of the GIB Credit Facility. Commitments under the GIB Facility Agreement will terminate, and all amounts then outstanding thereunder will become payable, on the maturity date of the GIB Facility Agreement. The GIB Facility Agreement contains certain conditions precedent to drawdowns, representations and warranties and covenants of Lucid LLC and events of default. As of September 30, 2022</w:t>
      </w:r>
      <w:r>
        <w:rPr>
          <w:rFonts w:ascii="Arial" w:cs="Arial" w:eastAsia="Arial" w:hAnsi="Arial"/>
          <w:sz w:val="17"/>
          <w:szCs w:val="17"/>
          <w:color w:val="242424"/>
        </w:rPr>
        <w:t>, the Company had outstanding borrowings of</w:t>
      </w:r>
      <w:r>
        <w:rPr>
          <w:rFonts w:ascii="Arial" w:cs="Arial" w:eastAsia="Arial" w:hAnsi="Arial"/>
          <w:sz w:val="17"/>
          <w:szCs w:val="17"/>
          <w:color w:val="auto"/>
        </w:rPr>
        <w:t xml:space="preserve"> SAR 51 million (approximately $13.6 million) from the Working Capital Facility, which was recorded within other current liabilities on the condensed consolidated balance sheets. As of September 30, 2022, available borrowings are SAR 650 million (approximately $173.0 million) and SAR 299 million (approximately $79.6 million) under the Bridge Facility and Working Capital Facility, respectively. As of September 30, 2022, the Company was in compliance with applicable covenants under the GIB Facility Agreement.</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ABL Credit Facility</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In June 2022, the Company entered into a new five-year senior secured asset-based revolving credit facility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Availability under the ABL Credit Facility is subject to the value of eligible assets in the borrowing base and is reduced by outstanding loan borrowings and issuances of letters of credit which bear customary letter of credit fees. Subject to certain terms and conditions, the Company may request one or more increases in the amount of credit commitments under the ABL Credit Facility in an aggregate amount up to the sum of $500.0 million plus certain other amounts. The Company is required to pay a quarterly commitment fee of 0.25% per annum based on the unutilized portion of the ABL Credit Facility.</w:t>
      </w:r>
    </w:p>
    <w:p>
      <w:pPr>
        <w:spacing w:after="0" w:line="19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ABL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the Company’s option following satisfaction of certain pre-conditions, may be replaced with a springing, minimum fixed charge coverage ratio (“FCCR”) financial covenant, in each case on terms set forth in the credit agreement governing the ABL Credit Facility. As of September 30, 2022, the Company was in compliance with applicable covenants under the ABL Credit Facility.</w:t>
      </w:r>
    </w:p>
    <w:p>
      <w:pPr>
        <w:spacing w:after="0" w:line="195" w:lineRule="exact"/>
        <w:rPr>
          <w:sz w:val="20"/>
          <w:szCs w:val="20"/>
          <w:color w:val="auto"/>
        </w:rPr>
      </w:pPr>
    </w:p>
    <w:p>
      <w:pPr>
        <w:jc w:val="both"/>
        <w:ind w:right="360"/>
        <w:spacing w:after="0" w:line="275" w:lineRule="auto"/>
        <w:rPr>
          <w:sz w:val="20"/>
          <w:szCs w:val="20"/>
          <w:color w:val="auto"/>
        </w:rPr>
      </w:pPr>
      <w:r>
        <w:rPr>
          <w:rFonts w:ascii="Arial" w:cs="Arial" w:eastAsia="Arial" w:hAnsi="Arial"/>
          <w:sz w:val="17"/>
          <w:szCs w:val="17"/>
          <w:color w:val="auto"/>
        </w:rPr>
        <w:t>As of September 30, 2022, the Company had no outstanding borrowings and $36.8 million outstanding letters of credit under the ABL Credit Facility. Availability under the ABL Credit Facility was $303.7 million as of September 30, 2022, after giving effect to the borrowing base and the outstanding letters of credit. The Company incurred issuance costs of $6.3 million to obtain the ABL Credit Facility, which was capitalized within other noncurrent assets on condensed consolidated balance sheets and amortized over the facility term using the straight-line method. During the three and nine months ended September 30, 2022, amortization of the deferred issuance costs and commitment fee were not material.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CONTINGENT FORWARD CONTRACTS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September 2018, the Company entered into a securities purchase agreement with PIF. Along with the execution of the securities purchase agreement, the Company granted PIF the right to purchase the Company’s Series D convertible preferred stock in future periods. The Company determined PIF’s right to participate in future Series D convertible preferred stock financing to be freestanding similar to a derivative in the form of contingent forward contracts and recorded the initial valuation of $18.6 million as a debt discount to the Convertible Notes issued in September 2018.</w:t>
      </w:r>
    </w:p>
    <w:p>
      <w:pPr>
        <w:spacing w:after="0" w:line="17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March 2020, the Company received $200.0 million in exchange for 82,496,092 shares of Series D convertible preferred shares as partial settlement of the Series D contingent forward contract liability and revalued the contingent forward contract liability to the then fair value of $36.4 million and reclassified $18.2 million of the contingent forward contract liability into Series D convertible preferred stock. In June 2020, upon satisfaction of the second set of milestones (refer to Note 10 “Convertible Preferred Stock”), the Company received the remaining $200.0 million in exchange for 82,496,121 shares of Series D convertible preferred stock as final settlement of the Series D contingent forward contract liability and revalued the contingent forward contracts liability to the then fair value of $39.6 million and reclassified the liability into Series D convertible preferred stock. The Series D contingent forward contract liability incurred a total fair value loss of $8.7 million during the year ended December 31, 2020. Since the Series D contingent forward contract liability was fully settled in June 2020, there was no related outstanding contingent forward contract liability as of December 31, 2020.</w:t>
      </w:r>
    </w:p>
    <w:p>
      <w:pPr>
        <w:spacing w:after="0" w:line="16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As discussed in Note 10 “Convertible Preferred Stock”, in September 2020, along with the execution of the Securities Purchase Agreement, the Company granted Ayar the right to purchase the Company’s additional Series E convertible preferred stock upon the Company’s satisfaction of certain milestones in November 2020. The Company determined Ayar’s right to participate in future Series E convertible preferred stock financing to be freestanding similar to a derivative in the form of contingent forward contracts and recorded the initial valuation of $0.8 million into contingent forward contract liabilities.</w:t>
      </w:r>
    </w:p>
    <w:p>
      <w:pPr>
        <w:spacing w:after="0" w:line="15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December 2020, Ayar waived the Company’s remaining outstanding obligations, and the Company received $400.0 million for the issuance of Series E convertible preferred stock. Upon settlement, the Company revalued the Series E contingent forward contracts to the then fair value of $110.5 million and reclassified the contingent forward contract liability into Series E convertible preferred stock. The Company recorded a loss of $109.7 million related to fair value remeasurements of the Series E contingent forward contracts during the year ended December 31, 2020.</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5" w:name="page26"/>
    <w:bookmarkEnd w:id="25"/>
    <w:p>
      <w:pPr>
        <w:ind w:right="80"/>
        <w:spacing w:after="0" w:line="259" w:lineRule="auto"/>
        <w:rPr>
          <w:sz w:val="20"/>
          <w:szCs w:val="20"/>
          <w:color w:val="auto"/>
        </w:rPr>
      </w:pPr>
      <w:r>
        <w:rPr>
          <w:rFonts w:ascii="Arial" w:cs="Arial" w:eastAsia="Arial" w:hAnsi="Arial"/>
          <w:sz w:val="18"/>
          <w:szCs w:val="18"/>
          <w:color w:val="auto"/>
        </w:rPr>
        <w:t>In February 2021, the Company and Ayar entered into Amendment No. 1 to the original Series E Preferred Stock Purchase Agreement (“Amendment No. 1”). Under the Amendment No. 1, Ayar and the Company agreed to enter into the third closing of additional 133,818,821 Series E convertible preferred stock at $2.99 per share, aggregating to $400.0 million. Upon the signing of the Amendment No. 1, the Company received the issuance proceeds of $400.0 million from Ayar in February 2021.</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Amendment No. 1 also allowed the Company to provide an opportunity to all current convertible preferred stockholders other than Ayar (“Eligible Holders”) to enter into the fourth closing to purchase up to 23,737,221 shares of Series E convertible preferred stock on a pro rata basis at $2.99 per share, aggregating to $71.0 million. In addition, the amendment allowed the Company to offer for purchase at the fourth closing at $2.99 per share, a number of Series E Preferred Stock to senior management employees, directors, consultants, advisors and/or contractors of the Company (“Additional Purchasers”) and Ayar. Refer to Note 10 “Convertible Preferred Stock”.</w:t>
      </w:r>
    </w:p>
    <w:p>
      <w:pPr>
        <w:spacing w:after="0" w:line="188"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In April 2021, the Company issued 66,909,408 Series E convertible preferred stock from the fourth closing at $2.99 per share for cash consideration of $200.0 million. The Company received $107.1 million of the total issuance proceeds in March 2021 and the remaining $92.9 million in April 2021. See Note 10 “Convertible Preferred Stock” for more information.</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determined the right to participate in future Series E convertible preferred share financing to be a freestanding financial instrument similar to a derivative in the form of contingent forward contracts and recorded the initial valuation of $1,444.9 million and $722.4 million for the third closing and fourth closing, respectively, as contingent forward contract liabilities. Since the contingent forward contract liability related to the third closing was fully settled in the same month following the execution of the amendment, the Company recorded no related fair value remeasurements in the condensed consolidated statements of operations and comprehensive loss.</w:t>
      </w:r>
    </w:p>
    <w:p>
      <w:pPr>
        <w:spacing w:after="0" w:line="201"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The Company issued Offer Notices to certain of the Company’s management and members of the Board of Directors in March 2021 and April 2021. The Series E convertible preferred stock issued from the fourth closing included 3,034,194 shares to the Company’s management and 1,658,705 shares to members of the Board of Directors. The total issuance to the Company’s management included 535,275 shares offered to the CEO in April 2021. The offer to employees in the fourth closing to participate in future Series E convertible preferred stock financing represent a fully vested, equity classified award. The Company recorded the award’s full fair value on each recipient’s grant date as stock-based compensation, and derecognized the related contingent forward contract liability. The Company revalued the contingent forward contract liability for the remaining participants and recorded $454.5 million fair value remeasurement loss related to the contingent forward contract liability for the nine months ended September 30, 2021, with the final fair value of the contingent forward contract liability of $1.2 billion reclassified into Series E convertible preferred stock upon the fourth closing in April 2021. There was no related outstanding contingent forward contract liability as of December 31, 2021.</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Series E convertible preferred stock contingent forward contract liability for the third closing was determined using a forward payoff.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inputs used in determining the fair value on the issuance date and settlement date,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4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13.79</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4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100.00 %</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4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4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0.03 %</w:t>
            </w:r>
          </w:p>
        </w:tc>
      </w:tr>
    </w:tbl>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Series E convertible preferred stock contingent forward contract liability for the fourth closing was determined using a forward and an option payoff. The Company’s inputs used in determining the fair value on the issuance date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Series E convertible preferred share</w:t>
            </w:r>
          </w:p>
        </w:tc>
        <w:tc>
          <w:tcPr>
            <w:tcW w:w="3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13.79</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3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100.00 %</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3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3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0.03 %</w:t>
            </w:r>
          </w:p>
        </w:tc>
      </w:tr>
    </w:tbl>
    <w:p>
      <w:pPr>
        <w:spacing w:after="0" w:line="29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fair value of the Series E convertible preferred stock contingent forward contract liability for the fourth closing was determined as the difference between the Series E convertible preferred stock fair value and the purchase price. The Company estimated the fair value of each of the Series E convertible preferred stock on the settlement date by taking the closing price of Churchill’s Class A common stock on April 1, 2021 of $23.78 multiplied by the expected exchange ratio at the time, and discounted for lack of marketability.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8 - CONVERTIBLE PREFERRED STOCK WARRANT LIABILITY</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March and September 2017, the Company issued two convertible preferred stock warrants to purchase a total of 1,546,799 shares of Series D convertible preferred stock, with an exercise price of $1.94 per share. The Company recorded the convertible preferred stock warrants at fair value using a Monte-Carlo simulation at issuance, which had been subsequently remeasured to fair value each reporting period with the changes recorded in the condensed consolidated statements of operations and comprehensive loss. In February 2021, all the outstanding warrants were settled in its entirety at an exercise price of $1.94 per share for an aggregate purchase price of $3.0 million. Upon final settlement, the Company converted the warrant into $12.9 million Series D convertible preferred stock, and recorded $7.0 million losses related to fair value remeasurements of the warrants in the condensed consolidated statements of operations and comprehensive loss for the nine months ended September 30, 2021.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COMMON STOCK WARRANT LIABILITY</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July 23, 2021, in connection with the reverse recapitalization treatment of the Merger, the Company effectively issued 44,350,000 Private Placement Warrants to purchase shares of Lucid’s common stock at an exercise price of $11.50. The Private Placement Warrants were initially recognized as a liability with a fair value of $812.0 million and was remeasured to fair value of $1,394.8 million as of December 31, 2021. The Private Placement Warrants remained unexercised and were remeasured to fair value of $396.5 million as of September 30, 2022, resulting in a gain of $140.1 million and $998.3 million, respectively, for the three and nine months ended September 30, 2022 recognized in the condensed consolidated statements of operations and comprehensive loss.</w:t>
      </w:r>
    </w:p>
    <w:p>
      <w:pPr>
        <w:spacing w:after="0" w:line="19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44,350,000 Private Placement Warrants included the 14,783,333 Sponsor Earnback Warrants subject to the contingent forfeiture provisions. The earnback triggering events were satisfied during the year ended December 31, 2021 such that the 14,783,333 Sponsor Earnback Warrants vested and are no longer subject to the transfer restrictions and contingent forfeiture provisions. See Note 12 “Earnback Shares and Warrants” for more information.</w:t>
      </w:r>
    </w:p>
    <w:p>
      <w:pPr>
        <w:spacing w:after="0" w:line="135"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The Company initially estimated the fair value of the Private Placement Warrants that were subject to the contingent forfeiture provisions using a Monte-Carlo simulation which estimates a distribution of potential outcomes over the earnback period related to the achievement of the volume-weighted average trading sale price (the “VWAP”) thresholds. The present value of the payoff in each simulation is calculated, and the fair value of the liability is determined by taking the average of all present values. The fair value of the Private Placement Warrants that were subject to the contingent forfeiture provisions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rPr>
              <w:t>July 23, 2021</w:t>
            </w:r>
          </w:p>
        </w:tc>
      </w:tr>
      <w:tr>
        <w:trPr>
          <w:trHeight w:val="25"/>
        </w:trPr>
        <w:tc>
          <w:tcPr>
            <w:tcW w:w="9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Tranche 1 with $20.00 VWAP threshold per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auto"/>
              </w:rPr>
              <w:t>Fair value of Tranche 2 with $25.00 VWAP threshold per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18.07</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Tranche 3 with $30.00 VWAP threshold per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Private Placement Warrants that are not subject to the contingent forfeiture provisions was estimated using a Black-Scholes option pricing model, and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16"/>
                <w:szCs w:val="16"/>
                <w:color w:val="auto"/>
              </w:rPr>
            </w:pPr>
          </w:p>
        </w:tc>
        <w:tc>
          <w:tcPr>
            <w:tcW w:w="1340" w:type="dxa"/>
            <w:vAlign w:val="bottom"/>
          </w:tcPr>
          <w:p>
            <w:pPr>
              <w:jc w:val="right"/>
              <w:ind w:right="79"/>
              <w:spacing w:after="0"/>
              <w:rPr>
                <w:sz w:val="20"/>
                <w:szCs w:val="20"/>
                <w:color w:val="auto"/>
              </w:rPr>
            </w:pPr>
            <w:r>
              <w:rPr>
                <w:rFonts w:ascii="Arial" w:cs="Arial" w:eastAsia="Arial" w:hAnsi="Arial"/>
                <w:sz w:val="14"/>
                <w:szCs w:val="14"/>
                <w:b w:val="1"/>
                <w:bCs w:val="1"/>
                <w:color w:val="auto"/>
                <w:w w:val="91"/>
              </w:rPr>
              <w:t>December 31, 2021</w:t>
            </w:r>
          </w:p>
        </w:tc>
      </w:tr>
      <w:tr>
        <w:trPr>
          <w:trHeight w:val="25"/>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Private Placement Warrants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w:t>
            </w:r>
          </w:p>
        </w:tc>
      </w:tr>
    </w:tbl>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Assumptions used in the Monte-Carlo simulation models and Black-Scholes option pricing model take into account the contract terms as well as the quoted price of the Company’s common stock in an active market. The volatility is based on the actual market activity of the Company’s peer group as well as the Company's historical volatility. The expected life is based on the remaining contractual term of the warrants, and the risk free interest rate is based on the implied yield available on U.S. Treasury securities with a maturity equivalent to the warrants’ expected life. The level 3 fair value inputs used in the Monte-Carlo simulation models and Black-Scholes option pricing models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66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30, 2022</w:t>
            </w:r>
          </w:p>
        </w:tc>
        <w:tc>
          <w:tcPr>
            <w:tcW w:w="1600" w:type="dxa"/>
            <w:vAlign w:val="bottom"/>
          </w:tcPr>
          <w:p>
            <w:pPr>
              <w:jc w:val="right"/>
              <w:ind w:right="134"/>
              <w:spacing w:after="0"/>
              <w:rPr>
                <w:sz w:val="20"/>
                <w:szCs w:val="20"/>
                <w:color w:val="auto"/>
              </w:rPr>
            </w:pPr>
            <w:r>
              <w:rPr>
                <w:rFonts w:ascii="Arial" w:cs="Arial" w:eastAsia="Arial" w:hAnsi="Arial"/>
                <w:sz w:val="14"/>
                <w:szCs w:val="14"/>
                <w:b w:val="1"/>
                <w:bCs w:val="1"/>
                <w:color w:val="auto"/>
              </w:rPr>
              <w:t>December 31, 2021</w:t>
            </w:r>
          </w:p>
        </w:tc>
      </w:tr>
      <w:tr>
        <w:trPr>
          <w:trHeight w:val="25"/>
        </w:trPr>
        <w:tc>
          <w:tcPr>
            <w:tcW w:w="366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4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85.00 %</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59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5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4320" w:type="dxa"/>
            <w:vAlign w:val="bottom"/>
          </w:tcPr>
          <w:p>
            <w:pPr>
              <w:spacing w:after="0"/>
              <w:rPr>
                <w:sz w:val="20"/>
                <w:szCs w:val="20"/>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553"/>
        </w:trPr>
        <w:tc>
          <w:tcPr>
            <w:tcW w:w="3660" w:type="dxa"/>
            <w:vAlign w:val="bottom"/>
          </w:tcPr>
          <w:p>
            <w:pPr>
              <w:spacing w:after="0"/>
              <w:rPr>
                <w:sz w:val="24"/>
                <w:szCs w:val="24"/>
                <w:color w:val="auto"/>
              </w:rPr>
            </w:pPr>
          </w:p>
        </w:tc>
        <w:tc>
          <w:tcPr>
            <w:tcW w:w="4320" w:type="dxa"/>
            <w:vAlign w:val="bottom"/>
          </w:tcPr>
          <w:p>
            <w:pPr>
              <w:jc w:val="right"/>
              <w:ind w:right="2170"/>
              <w:spacing w:after="0"/>
              <w:rPr>
                <w:sz w:val="20"/>
                <w:szCs w:val="20"/>
                <w:color w:val="auto"/>
              </w:rPr>
            </w:pPr>
            <w:r>
              <w:rPr>
                <w:rFonts w:ascii="Arial" w:cs="Arial" w:eastAsia="Arial" w:hAnsi="Arial"/>
                <w:sz w:val="18"/>
                <w:szCs w:val="18"/>
                <w:color w:val="auto"/>
              </w:rPr>
              <w:t>27</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29"/>
        </w:trPr>
        <w:tc>
          <w:tcPr>
            <w:tcW w:w="3660" w:type="dxa"/>
            <w:vAlign w:val="bottom"/>
            <w:tcBorders>
              <w:bottom w:val="single" w:sz="8" w:color="9A9A9A"/>
            </w:tcBorders>
          </w:tcPr>
          <w:p>
            <w:pPr>
              <w:spacing w:after="0"/>
              <w:rPr>
                <w:sz w:val="11"/>
                <w:szCs w:val="11"/>
                <w:color w:val="auto"/>
              </w:rPr>
            </w:pPr>
          </w:p>
        </w:tc>
        <w:tc>
          <w:tcPr>
            <w:tcW w:w="4320" w:type="dxa"/>
            <w:vAlign w:val="bottom"/>
            <w:tcBorders>
              <w:bottom w:val="single" w:sz="8" w:color="9A9A9A"/>
            </w:tcBorders>
          </w:tcPr>
          <w:p>
            <w:pPr>
              <w:spacing w:after="0"/>
              <w:rPr>
                <w:sz w:val="11"/>
                <w:szCs w:val="11"/>
                <w:color w:val="auto"/>
              </w:rPr>
            </w:pPr>
          </w:p>
        </w:tc>
        <w:tc>
          <w:tcPr>
            <w:tcW w:w="15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10 – CONVERTIBLE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Upon the Closing of the Merger, the Company cancelled and converted all 1,155,909,367 shares of issued and outstanding convertible preferred stock into 1,155,909,367 shares of Lucid common stock based upon the conversion rate as calculated pursuant to Legacy Lucid’s memorandum and articles of association at the date and time that the Merger became effective. As of September 30, 2022 and December 31, 2021, there were no issued and outstanding shares of convertible preferred stock.</w:t>
      </w:r>
    </w:p>
    <w:p>
      <w:pPr>
        <w:spacing w:after="0" w:line="173"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In 2014 through April 2021, the Company had issued Series A, Series B, Series C, and Series D and Series E convertible preferred stock (“Series A,” “Series B,” “Series C,” “Series D,” “Series E,” respectively) (collectively, the “Convertible Preferred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stock was carried at its issuance price, net of issuance costs.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September 2018, concurrent with the execution of the Security Purchase Agreement with PIF, the Company entered into a Stock Repurchase Agreement (the “Repurchase Agreement”) with Blitz Technology Hong Kong Co. Limited and LeSoar Holdings, Limited (the “Sellers”) to repurchase Series C convertible preferred stock. From September 2018 to December 31, 2019, the Company repurchased in aggregate 11,331,430 shares of Series C convertible preferred stock with $60.0 million at a per share price of $5.30 from the first and second Company repurchase.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Company Repurchase (Series C - August 2020)</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August 2020, the Company entered into a Stock Repurchase Agreement with the Sellers. Pursuant to the Stock Repurchase Agreement, the Company agreed to repurchase 9,656,589 shares of Series C convertible preferred stock owned by the Sellers in August 2020 at a price of $1.02 per share for total of $9.9 million. The carrying value of the repurchased Series C convertible preferred stock is $20.4 million. As such, the Company recognized $10.5 million in additional paid-in capital under stockholder’s equity in the condensed consolidated balance sheet as of December 31, 2020 related to the difference in fair value and carrying value of the Series C stock repurchased.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Company Repurchase (Series C - December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2020, the Company entered into a Stock Repurchase Agreement with Blitz Technology Hong Kong Co. Limited (“Blitz”).</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agreed to repurchase 1,850,800 Series C convertible preferred stock from Blitz at a price of $1.21 per share, aggregating to $2.2 million. As the carrying amount of each share of Series C was $2.42 aggregating to $4.5 million in September 2020, the Company recognized $2.2 million as additional paid-in capital under stockholders’ deficit in the condensed consolidated balance sheet as of December 31, 2020, related to the difference in fair value and carrying value of the Series C shares repurchased.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Fifth Company Repurchase (Series B - December 2020)</w:t>
      </w:r>
    </w:p>
    <w:p>
      <w:pPr>
        <w:spacing w:after="0" w:line="225"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On December 22, 2020, the Company entered into an agreement with JAFCO Asia Technology Fund V (“JAFCO”) whereby the Company agreed to repurchase 3,525,332 Series B convertible preferred stock having a carrying value of $4.0 million, from JAFCO for a total consideration of $3.0 million. The agreement resulted in an extinguishment of the Series B convertible preferred stock and the Company recognized $1.0 million in additional paid-in capital being the difference in fair value of the consideration payable and the carrying value of the Series B convertible preferred stock. As of the date of extinguishment and as of December 31, 2020 the Series B convertible preferred stock subject to repurchase had been mandatorily redeemable within 45 days of the agreement and accordingly had been reclassified to other accrued liabilities on the condensed consolidated balance sheets.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 Preferred Stock Issuance</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2018, the Security Purchase Agreement with PIF granted PIF rights to purchase the Company’s Series D convertible stock at various tranches. The first tranche of $200.0 million had been issuable upon the approval of the PIF’s equity investment into the Company by CFIUS (refer to Note 7 “Contingent Forward Contracts”). The second and third tranches of $400.0 million each had been issuable upon the Company’s satisfaction of certain milestones related to further development and enhancement in marketing, product, and administrative activities.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April 2019, upon CFIUS’s approval of PIF’s equity investment into the Company, the Company received the first $200.0 million proceeds from PIF. In October 2019, the Company received additional $400.0 million upon achieving the first set of milestones. Together with the conversion of $272.0 million Convertible Notes and accrued interest, the Company issued 374,777,280 shares of Series D convertible preferred stock at a price of $2.33 per share, for net proceeds of approximately $872.0 million during the year ended December 31, 2019.</w:t>
      </w:r>
    </w:p>
    <w:p>
      <w:pPr>
        <w:sectPr>
          <w:pgSz w:w="11900" w:h="16838" w:orient="portrait"/>
          <w:cols w:equalWidth="0" w:num="1">
            <w:col w:w="11220"/>
          </w:cols>
          <w:pgMar w:left="320" w:top="985" w:right="359"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type w:val="continuous"/>
        </w:sectPr>
      </w:pPr>
    </w:p>
    <w:bookmarkStart w:id="28" w:name="page29"/>
    <w:bookmarkEnd w:id="28"/>
    <w:p>
      <w:pPr>
        <w:ind w:right="40"/>
        <w:spacing w:after="0" w:line="279" w:lineRule="auto"/>
        <w:rPr>
          <w:sz w:val="20"/>
          <w:szCs w:val="20"/>
          <w:color w:val="auto"/>
        </w:rPr>
      </w:pPr>
      <w:r>
        <w:rPr>
          <w:rFonts w:ascii="Arial" w:cs="Arial" w:eastAsia="Arial" w:hAnsi="Arial"/>
          <w:sz w:val="17"/>
          <w:szCs w:val="17"/>
          <w:color w:val="auto"/>
        </w:rPr>
        <w:t>In March 2020, the Company received $200.0 million of the remaining $400.0 million in proceeds from PIF and issued 82,496,092 shares of Series D in exchange. In June 2020 the Company successfully satisfied certain of the second set of milestones related to further development and enhancement in marketing, product, and administrative activities, and received a waiver from PIF for the remaining milestones. The Company received the remaining $200 million proceeds in exchange for 82,496,121 shares of Series D convertible preferred stock.</w:t>
      </w:r>
    </w:p>
    <w:p>
      <w:pPr>
        <w:sectPr>
          <w:pgSz w:w="11900" w:h="16838" w:orient="portrait"/>
          <w:cols w:equalWidth="0" w:num="1">
            <w:col w:w="11220"/>
          </w:cols>
          <w:pgMar w:left="320" w:top="989" w:right="35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See activities related to the PIF Convertible Notes and Series D convertible preferred stock funding as below (in thousands):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Conversion of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Series D received in April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Series D received in October 2019</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Series D received in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Contingent forward contract liability reclassified to Series D in March 2020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Series D received in June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Contingent forward contract liability reclassified to Series D in June 2020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Conversion of preferred stock warrant to Series D in February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Reclassification of preferred stock warrant liability to Series D in February 2021</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proceeds of Series D</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Convertible Preferred Stock Issuance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97" w:hanging="497"/>
        <w:spacing w:after="0"/>
        <w:tabs>
          <w:tab w:leader="none" w:pos="497" w:val="left"/>
        </w:tabs>
        <w:numPr>
          <w:ilvl w:val="0"/>
          <w:numId w:val="18"/>
        </w:numPr>
        <w:rPr>
          <w:rFonts w:ascii="Arial" w:cs="Arial" w:eastAsia="Arial" w:hAnsi="Arial"/>
          <w:sz w:val="16"/>
          <w:szCs w:val="16"/>
          <w:color w:val="auto"/>
        </w:rPr>
      </w:pPr>
      <w:r>
        <w:rPr>
          <w:rFonts w:ascii="Arial" w:cs="Arial" w:eastAsia="Arial" w:hAnsi="Arial"/>
          <w:sz w:val="16"/>
          <w:szCs w:val="16"/>
          <w:color w:val="auto"/>
        </w:rPr>
        <w:t>271,985</w:t>
      </w:r>
    </w:p>
    <w:p>
      <w:pPr>
        <w:spacing w:after="0" w:line="46" w:lineRule="exact"/>
        <w:rPr>
          <w:rFonts w:ascii="Arial" w:cs="Arial" w:eastAsia="Arial" w:hAnsi="Arial"/>
          <w:sz w:val="16"/>
          <w:szCs w:val="16"/>
          <w:color w:val="auto"/>
        </w:rPr>
      </w:pPr>
    </w:p>
    <w:p>
      <w:pPr>
        <w:ind w:left="497"/>
        <w:spacing w:after="0"/>
        <w:rPr>
          <w:rFonts w:ascii="Arial" w:cs="Arial" w:eastAsia="Arial" w:hAnsi="Arial"/>
          <w:sz w:val="16"/>
          <w:szCs w:val="16"/>
          <w:color w:val="auto"/>
        </w:rPr>
      </w:pPr>
      <w:r>
        <w:rPr>
          <w:rFonts w:ascii="Arial" w:cs="Arial" w:eastAsia="Arial" w:hAnsi="Arial"/>
          <w:sz w:val="16"/>
          <w:szCs w:val="16"/>
          <w:color w:val="auto"/>
        </w:rPr>
        <w:t>200,000</w:t>
      </w:r>
    </w:p>
    <w:p>
      <w:pPr>
        <w:spacing w:after="0" w:line="45" w:lineRule="exact"/>
        <w:rPr>
          <w:rFonts w:ascii="Arial" w:cs="Arial" w:eastAsia="Arial" w:hAnsi="Arial"/>
          <w:sz w:val="16"/>
          <w:szCs w:val="16"/>
          <w:color w:val="auto"/>
        </w:rPr>
      </w:pPr>
    </w:p>
    <w:p>
      <w:pPr>
        <w:ind w:left="497"/>
        <w:spacing w:after="0"/>
        <w:rPr>
          <w:rFonts w:ascii="Arial" w:cs="Arial" w:eastAsia="Arial" w:hAnsi="Arial"/>
          <w:sz w:val="16"/>
          <w:szCs w:val="16"/>
          <w:color w:val="auto"/>
        </w:rPr>
      </w:pPr>
      <w:r>
        <w:rPr>
          <w:rFonts w:ascii="Arial" w:cs="Arial" w:eastAsia="Arial" w:hAnsi="Arial"/>
          <w:sz w:val="16"/>
          <w:szCs w:val="16"/>
          <w:color w:val="auto"/>
        </w:rPr>
        <w:t>400,000</w:t>
      </w:r>
    </w:p>
    <w:p>
      <w:pPr>
        <w:spacing w:after="0" w:line="45" w:lineRule="exact"/>
        <w:rPr>
          <w:rFonts w:ascii="Arial" w:cs="Arial" w:eastAsia="Arial" w:hAnsi="Arial"/>
          <w:sz w:val="16"/>
          <w:szCs w:val="16"/>
          <w:color w:val="auto"/>
        </w:rPr>
      </w:pPr>
    </w:p>
    <w:p>
      <w:pPr>
        <w:ind w:left="497"/>
        <w:spacing w:after="0"/>
        <w:rPr>
          <w:rFonts w:ascii="Arial" w:cs="Arial" w:eastAsia="Arial" w:hAnsi="Arial"/>
          <w:sz w:val="16"/>
          <w:szCs w:val="16"/>
          <w:color w:val="auto"/>
        </w:rPr>
      </w:pPr>
      <w:r>
        <w:rPr>
          <w:rFonts w:ascii="Arial" w:cs="Arial" w:eastAsia="Arial" w:hAnsi="Arial"/>
          <w:sz w:val="16"/>
          <w:szCs w:val="16"/>
          <w:color w:val="auto"/>
        </w:rPr>
        <w:t>200,000</w:t>
      </w:r>
    </w:p>
    <w:p>
      <w:pPr>
        <w:spacing w:after="0" w:line="45" w:lineRule="exact"/>
        <w:rPr>
          <w:rFonts w:ascii="Arial" w:cs="Arial" w:eastAsia="Arial" w:hAnsi="Arial"/>
          <w:sz w:val="16"/>
          <w:szCs w:val="16"/>
          <w:color w:val="auto"/>
        </w:rPr>
      </w:pPr>
    </w:p>
    <w:p>
      <w:pPr>
        <w:ind w:left="597"/>
        <w:spacing w:after="0"/>
        <w:rPr>
          <w:rFonts w:ascii="Arial" w:cs="Arial" w:eastAsia="Arial" w:hAnsi="Arial"/>
          <w:sz w:val="16"/>
          <w:szCs w:val="16"/>
          <w:color w:val="auto"/>
        </w:rPr>
      </w:pPr>
      <w:r>
        <w:rPr>
          <w:rFonts w:ascii="Arial" w:cs="Arial" w:eastAsia="Arial" w:hAnsi="Arial"/>
          <w:sz w:val="15"/>
          <w:szCs w:val="15"/>
          <w:color w:val="auto"/>
        </w:rPr>
        <w:t>18,180</w:t>
      </w:r>
    </w:p>
    <w:p>
      <w:pPr>
        <w:spacing w:after="0" w:line="57" w:lineRule="exact"/>
        <w:rPr>
          <w:rFonts w:ascii="Arial" w:cs="Arial" w:eastAsia="Arial" w:hAnsi="Arial"/>
          <w:sz w:val="16"/>
          <w:szCs w:val="16"/>
          <w:color w:val="auto"/>
        </w:rPr>
      </w:pPr>
    </w:p>
    <w:p>
      <w:pPr>
        <w:ind w:left="497"/>
        <w:spacing w:after="0"/>
        <w:rPr>
          <w:rFonts w:ascii="Arial" w:cs="Arial" w:eastAsia="Arial" w:hAnsi="Arial"/>
          <w:sz w:val="16"/>
          <w:szCs w:val="16"/>
          <w:color w:val="auto"/>
        </w:rPr>
      </w:pPr>
      <w:r>
        <w:rPr>
          <w:rFonts w:ascii="Arial" w:cs="Arial" w:eastAsia="Arial" w:hAnsi="Arial"/>
          <w:sz w:val="16"/>
          <w:szCs w:val="16"/>
          <w:color w:val="auto"/>
        </w:rPr>
        <w:t>200,000</w:t>
      </w:r>
    </w:p>
    <w:p>
      <w:pPr>
        <w:spacing w:after="0" w:line="45" w:lineRule="exact"/>
        <w:rPr>
          <w:rFonts w:ascii="Arial" w:cs="Arial" w:eastAsia="Arial" w:hAnsi="Arial"/>
          <w:sz w:val="16"/>
          <w:szCs w:val="16"/>
          <w:color w:val="auto"/>
        </w:rPr>
      </w:pPr>
    </w:p>
    <w:p>
      <w:pPr>
        <w:ind w:left="597"/>
        <w:spacing w:after="0"/>
        <w:rPr>
          <w:rFonts w:ascii="Arial" w:cs="Arial" w:eastAsia="Arial" w:hAnsi="Arial"/>
          <w:sz w:val="16"/>
          <w:szCs w:val="16"/>
          <w:color w:val="auto"/>
        </w:rPr>
      </w:pPr>
      <w:r>
        <w:rPr>
          <w:rFonts w:ascii="Arial" w:cs="Arial" w:eastAsia="Arial" w:hAnsi="Arial"/>
          <w:sz w:val="15"/>
          <w:szCs w:val="15"/>
          <w:color w:val="auto"/>
        </w:rPr>
        <w:t>21,384</w:t>
      </w:r>
    </w:p>
    <w:p>
      <w:pPr>
        <w:spacing w:after="0" w:line="57" w:lineRule="exact"/>
        <w:rPr>
          <w:rFonts w:ascii="Arial" w:cs="Arial" w:eastAsia="Arial" w:hAnsi="Arial"/>
          <w:sz w:val="16"/>
          <w:szCs w:val="16"/>
          <w:color w:val="auto"/>
        </w:rPr>
      </w:pPr>
    </w:p>
    <w:p>
      <w:pPr>
        <w:ind w:left="677"/>
        <w:spacing w:after="0"/>
        <w:rPr>
          <w:rFonts w:ascii="Arial" w:cs="Arial" w:eastAsia="Arial" w:hAnsi="Arial"/>
          <w:sz w:val="16"/>
          <w:szCs w:val="16"/>
          <w:color w:val="auto"/>
        </w:rPr>
      </w:pPr>
      <w:r>
        <w:rPr>
          <w:rFonts w:ascii="Arial" w:cs="Arial" w:eastAsia="Arial" w:hAnsi="Arial"/>
          <w:sz w:val="15"/>
          <w:szCs w:val="15"/>
          <w:color w:val="auto"/>
        </w:rPr>
        <w:t>3,000</w:t>
      </w:r>
    </w:p>
    <w:p>
      <w:pPr>
        <w:spacing w:after="0" w:line="57" w:lineRule="exact"/>
        <w:rPr>
          <w:rFonts w:ascii="Arial" w:cs="Arial" w:eastAsia="Arial" w:hAnsi="Arial"/>
          <w:sz w:val="16"/>
          <w:szCs w:val="16"/>
          <w:color w:val="auto"/>
        </w:rPr>
      </w:pPr>
    </w:p>
    <w:p>
      <w:pPr>
        <w:ind w:left="677"/>
        <w:spacing w:after="0"/>
        <w:rPr>
          <w:rFonts w:ascii="Arial" w:cs="Arial" w:eastAsia="Arial" w:hAnsi="Arial"/>
          <w:sz w:val="16"/>
          <w:szCs w:val="16"/>
          <w:color w:val="auto"/>
        </w:rPr>
      </w:pPr>
      <w:r>
        <w:rPr>
          <w:rFonts w:ascii="Arial" w:cs="Arial" w:eastAsia="Arial" w:hAnsi="Arial"/>
          <w:sz w:val="15"/>
          <w:szCs w:val="15"/>
          <w:color w:val="auto"/>
        </w:rPr>
        <w:t>9,936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36195</wp:posOffset>
            </wp:positionV>
            <wp:extent cx="7454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46" w:lineRule="exact"/>
        <w:rPr>
          <w:sz w:val="20"/>
          <w:szCs w:val="20"/>
          <w:color w:val="auto"/>
        </w:rPr>
      </w:pPr>
    </w:p>
    <w:p>
      <w:pPr>
        <w:ind w:left="357" w:hanging="357"/>
        <w:spacing w:after="0"/>
        <w:tabs>
          <w:tab w:leader="none" w:pos="357"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1,324,485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7454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4549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57785</wp:posOffset>
            </wp:positionV>
            <wp:extent cx="7454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807" w:lineRule="exact"/>
        <w:rPr>
          <w:sz w:val="20"/>
          <w:szCs w:val="20"/>
          <w:color w:val="auto"/>
        </w:rPr>
      </w:pPr>
    </w:p>
    <w:p>
      <w:pPr>
        <w:sectPr>
          <w:pgSz w:w="11900" w:h="16838" w:orient="portrait"/>
          <w:cols w:equalWidth="0" w:num="2">
            <w:col w:w="9363" w:space="720"/>
            <w:col w:w="1137"/>
          </w:cols>
          <w:pgMar w:left="320" w:top="989" w:right="359" w:bottom="1440" w:gutter="0" w:footer="0" w:header="0"/>
          <w:type w:val="continuous"/>
        </w:sectPr>
      </w:pPr>
    </w:p>
    <w:p>
      <w:pPr>
        <w:spacing w:after="0" w:line="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September 2020, the Company entered into an arrangement with Ayar to issue and sell Series E convertible preferred stock pursuant to a securities purchase agreement (the “SPAE”). Along with the execution of the SPAE, the Company granted Ayar the right to purchase additional Series E convertible preferred stock upon the Company’s satisfaction of certain milestones in November 2020. The Company determined Ayar’s right to participate in future Series E convertible preferred stock financing to be freestanding, similar to a derivative in the form of contingent forward contracts, and recorded the initial valuation of $0.8 million as a contingent forward contract liability. The contingent forward contract terms were included within the SPAE, which dictated a price of $2.99 per share of Series E convertible preferred stock. The Company needed to satisfy two sets of milestone conditions relating to further development and enhancement in marketing, product, and administrative activities for Ayar to provide funding under the SPAE.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Immediately upon closing of the SPAE, the Company received the full first tranche of $500.0 million in funding in exchange for 167,273,525 Series 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convertible preferred stock as the requirement for the first milestones were met prior to execution of the purchase agreement. Subsequently,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successfully satisfied certain of the second set of milestones and received a waiver from PIF for the remaining milestones; and on December 24, 2020,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investor provided $400.0 million of funding in exchange for 133,818,821 shares as the final issuance of Series E convertible preferred stock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second milestones. Upon final settlement, the Company re-valued the liability associated with the contingent forward contract to the then fair value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$110.5 million from a contingent liability of $0.8 million and derecognized the liability as the contract was settled in its entirety. The Company recognized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fair value of $109.7 million in the consolidated statements of operations and reclassified the liability into convertible preferred stock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balance sheets as of December 31, 2020.</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February 2021, the Company and Ayar entered into Amendment No. 1 to the original Series E Preferred Stock Purchase Agreement (“Amendment No. 1”). Under the Amendment No. 1, Ayar and the Company agreed to enter into the third closing of additional 133,818,821 shares of Series E convertible preferred stock at $2.99 per share, aggregating to $400.0 million. Upon the signing of the Amendment No. 1, the Company received the issuance proceeds of $400.0 million from Ayar in February 2021.</w:t>
      </w:r>
    </w:p>
    <w:p>
      <w:pPr>
        <w:spacing w:after="0" w:line="18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Amendment No. 1 also allowed the Company to provide an opportunity to all current convertible preferred stockholders other than Ayar (“Eligible Holders”) to enter into the fourth closing to purchase up to 23,737,221 shares of Series E convertible preferred stock on a pro rata basis at $2.99 per share, aggregating to $71.0 million. In addition, the amendment allowed the Company to offer for purchase at the fourth closing at $2.99 per share, a number of Series E Preferred Stock to senior management employees, directors, consultants, advisors and/or contractors of the Company (“Additional Purchasers”). The aggregate number of Series E Preferred Stock sold at the third closing and fourth closing would not exceed 200.7 million shares (“Extension Amount”). Ayar committed to purchase the entire Extension Amount to the extent not subscribed by Eligible Holders or Additional Purchasers.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color w:val="auto"/>
        </w:rPr>
        <w:t>In April 2021, the Company issued 66,909,408 Series E convertible preferred stock from the fourth closing at $2.99 per share for cash consideration of</w:t>
      </w:r>
    </w:p>
    <w:p>
      <w:pPr>
        <w:spacing w:after="0" w:line="4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$200.0 million. The Company received $107.1 million of the entire cash consideration in March 2021, and the remaining $92.9 million in April 2021. The Company issued Offer Notices to certain of the Company’s management and members of the Board of Directors in March 2021 and April 2021. The Series E convertible preferred stock issued from the fourth closing included 3,034,194 shares to the Company’s management and 1,658,705 shares to members of the Board of Directors. The total issuance to the Company’s management includes 535,275 shares offered to the CEO in April 2021. The offer to employees to participate in a future Series E convertible preferred stock financing represented a fully vested, equity classified award. The excess of the award’s fair value over the purchase price of $123.6 million on each recipient’s grant date during the year ended December 31, 2021 was recorded as stock-based compensation.</w:t>
      </w:r>
    </w:p>
    <w:p>
      <w:pPr>
        <w:spacing w:after="0" w:line="1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Along with the execution of Amendment No. 1, the Company also increased the authorized number of common shares and convertible preferred stock to 1,316,758,889 and 1,155,909,398 stock,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has authorized the issuance of 10,000,000 shares of undesignated preferred stock with a par value of $0.0001 per share with rights and preferences, including voting rights, designated from time to time by the Board of Directors. As of September 30, 2022 and December 31, 2021, there were no issued and outstanding shares of preferred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color w:val="auto"/>
        </w:rPr>
        <w:t>On July 23, 2021, in connection with the reverse recapitalization treatment of the Merger, the Company effectively issued 425,395,023 new shares of common stock upon the Closing. The Company also converted all 1,155,909,367 shares of its issued and outstanding convertible preferred stock into 1,155,909,367 new shares of common stock as of the Closing of the Merger based upon the conversion rate as calculated pursuant to Legacy Lucid’s memorandum and articles of association. Immediately following the Merger, there were 1,618,621,534 shares of common stock outstanding with a par value of $0.0001. The holder of each share of common stock is entitled to one vote.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July 23, 2021, in connection with the reverse recapitalization treatment of the Merger, the Company effectively issued 41,400,000 publicly-traded warrants to purchase shares of its common stock. Each whole warrant entitled the holder to purchase one share of the Company’s common stock at a price of $11.50 per share. The public warrants were exercisable as of August 22, 2021 and expire on July 23, 2026, if not yet exercised by the holder or redeemed by the Company.</w:t>
      </w:r>
    </w:p>
    <w:p>
      <w:pPr>
        <w:spacing w:after="0" w:line="18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During the year ended December 31, 2021, an aggregate of 41,034,197 public warrants were exercised, of which 25,966,976 were exercised on a cashless basis. The aggregate cash proceeds received from the exercise of these public warrants were $173.3 million. The Company redeemed the remaining 365,803 public warrants that were not exercised by the holders at a redemption price of $0.01 per warrant.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of the Company’s issued and outstanding public warrants was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680" w:type="dxa"/>
            <w:vAlign w:val="bottom"/>
          </w:tcPr>
          <w:p>
            <w:pPr>
              <w:jc w:val="right"/>
              <w:ind w:right="33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5180" w:type="dxa"/>
            <w:vAlign w:val="bottom"/>
          </w:tcPr>
          <w:p>
            <w:pPr>
              <w:spacing w:after="0"/>
              <w:rPr>
                <w:sz w:val="16"/>
                <w:szCs w:val="16"/>
                <w:color w:val="auto"/>
              </w:rPr>
            </w:pPr>
          </w:p>
        </w:tc>
        <w:tc>
          <w:tcPr>
            <w:tcW w:w="6060" w:type="dxa"/>
            <w:vAlign w:val="bottom"/>
            <w:gridSpan w:val="2"/>
          </w:tcPr>
          <w:p>
            <w:pPr>
              <w:jc w:val="right"/>
              <w:ind w:right="61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Public warrants issued in connection with Merger on July 23, 2021</w:t>
            </w:r>
          </w:p>
        </w:tc>
        <w:tc>
          <w:tcPr>
            <w:tcW w:w="43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41,400,000</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Number of public warrants exercised</w:t>
            </w:r>
          </w:p>
        </w:tc>
        <w:tc>
          <w:tcPr>
            <w:tcW w:w="6060" w:type="dxa"/>
            <w:vAlign w:val="bottom"/>
            <w:gridSpan w:val="2"/>
          </w:tcPr>
          <w:p>
            <w:pPr>
              <w:jc w:val="right"/>
              <w:spacing w:after="0"/>
              <w:rPr>
                <w:sz w:val="20"/>
                <w:szCs w:val="20"/>
                <w:color w:val="auto"/>
              </w:rPr>
            </w:pPr>
            <w:r>
              <w:rPr>
                <w:rFonts w:ascii="Arial" w:cs="Arial" w:eastAsia="Arial" w:hAnsi="Arial"/>
                <w:sz w:val="18"/>
                <w:szCs w:val="18"/>
                <w:color w:val="auto"/>
              </w:rPr>
              <w:t>(41,034,197)</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warrants redeemed</w:t>
            </w:r>
          </w:p>
        </w:tc>
        <w:tc>
          <w:tcPr>
            <w:tcW w:w="6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(365,803)</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w w:val="98"/>
              </w:rPr>
              <w:t>Issued and outstanding public warrants as of December 31, 2021</w:t>
            </w:r>
          </w:p>
        </w:tc>
        <w:tc>
          <w:tcPr>
            <w:tcW w:w="438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380" w:type="dxa"/>
            <w:vAlign w:val="bottom"/>
            <w:vMerge w:val="restart"/>
          </w:tcPr>
          <w:p>
            <w:pPr>
              <w:jc w:val="right"/>
              <w:ind w:right="3755"/>
              <w:spacing w:after="0"/>
              <w:rPr>
                <w:sz w:val="20"/>
                <w:szCs w:val="20"/>
                <w:color w:val="auto"/>
              </w:rPr>
            </w:pPr>
            <w:r>
              <w:rPr>
                <w:rFonts w:ascii="Arial" w:cs="Arial" w:eastAsia="Arial" w:hAnsi="Arial"/>
                <w:sz w:val="18"/>
                <w:szCs w:val="18"/>
                <w:color w:val="auto"/>
              </w:rPr>
              <w:t>30</w:t>
            </w: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18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80" w:type="dxa"/>
            <w:vAlign w:val="bottom"/>
            <w:tcBorders>
              <w:bottom w:val="single" w:sz="8" w:color="9A9A9A"/>
            </w:tcBorders>
          </w:tcPr>
          <w:p>
            <w:pPr>
              <w:spacing w:after="0"/>
              <w:rPr>
                <w:sz w:val="12"/>
                <w:szCs w:val="12"/>
                <w:color w:val="auto"/>
              </w:rPr>
            </w:pPr>
          </w:p>
        </w:tc>
        <w:tc>
          <w:tcPr>
            <w:tcW w:w="438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252"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In fiscal year 2021, the Company repurchased an aggregate of 857,825 shares of its common stock, including 712,742 shares from certain employees and 145,083 shares from Board of Directors of the Company’s predecessor, Atieva, Inc. at $24.15 per share. No common stock was repurchased for the three and nine months ended September 30, 2022 and 2021.</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Issuance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reserved for future issuances as of September 30, 2022 and December 31, 2021, were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September 30,</w:t>
            </w:r>
          </w:p>
        </w:tc>
        <w:tc>
          <w:tcPr>
            <w:tcW w:w="1280" w:type="dxa"/>
            <w:vAlign w:val="bottom"/>
          </w:tcPr>
          <w:p>
            <w:pPr>
              <w:jc w:val="right"/>
              <w:ind w:right="135"/>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6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warrants to purchase common stock</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44,350,000</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44,350,000</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Stock options outstanding</w:t>
            </w:r>
          </w:p>
        </w:tc>
        <w:tc>
          <w:tcPr>
            <w:tcW w:w="1280" w:type="dxa"/>
            <w:vAlign w:val="bottom"/>
          </w:tcPr>
          <w:p>
            <w:pPr>
              <w:jc w:val="right"/>
              <w:spacing w:after="0"/>
              <w:rPr>
                <w:sz w:val="20"/>
                <w:szCs w:val="20"/>
                <w:color w:val="auto"/>
              </w:rPr>
            </w:pPr>
            <w:r>
              <w:rPr>
                <w:rFonts w:ascii="Arial" w:cs="Arial" w:eastAsia="Arial" w:hAnsi="Arial"/>
                <w:sz w:val="18"/>
                <w:szCs w:val="18"/>
                <w:color w:val="auto"/>
              </w:rPr>
              <w:t>43,132,157</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64,119,902</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 outstanding</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39,391,043</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48,234,611</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Shares available for future grants under equity plans</w:t>
            </w:r>
          </w:p>
        </w:tc>
        <w:tc>
          <w:tcPr>
            <w:tcW w:w="1280" w:type="dxa"/>
            <w:vAlign w:val="bottom"/>
          </w:tcPr>
          <w:p>
            <w:pPr>
              <w:jc w:val="right"/>
              <w:spacing w:after="0"/>
              <w:rPr>
                <w:sz w:val="20"/>
                <w:szCs w:val="20"/>
                <w:color w:val="auto"/>
              </w:rPr>
            </w:pPr>
            <w:r>
              <w:rPr>
                <w:rFonts w:ascii="Arial" w:cs="Arial" w:eastAsia="Arial" w:hAnsi="Arial"/>
                <w:sz w:val="18"/>
                <w:szCs w:val="18"/>
                <w:color w:val="auto"/>
              </w:rPr>
              <w:t>31,283,219</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16,761,960</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If-converted common shares from convertible note</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36,737,785</w:t>
            </w: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36,737,785</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Total shares of common stock reserved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194,894,204</w:t>
            </w:r>
          </w:p>
        </w:tc>
        <w:tc>
          <w:tcPr>
            <w:tcW w:w="8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210,204,258</w:t>
            </w:r>
          </w:p>
        </w:tc>
      </w:tr>
      <w:tr>
        <w:trPr>
          <w:trHeight w:val="20"/>
        </w:trPr>
        <w:tc>
          <w:tcPr>
            <w:tcW w:w="86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EARNBACK SHARES AND WARRANTS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the period between the Closing and the five-year anniversary of the Closing, the Churchill Sponsor has subjected the 17,250,000 Sponsor Earnback Shares of issued and outstanding common stock and 14,783,333 Sponsor Earnback Warrants of issued and outstanding Private Placement Warrants to potential forfeiture to Lucid for no consideration until the occurrence of each tranche’s respective earnback triggering event. The earnback triggering events related to achieving a volume-weighted average trading sale price greater than or equal to $20.00, $25.00, and $30.00, respectively, for any 40 trading days within any 60 consecutive trading day period were satisfied during the year ended December 31, 2021. As a result, the 17,250,000 Sponsor Earnback Shares of issued and outstanding common stock and 14,783,333 Sponsor Earnback Warrants of issued and outstanding Private Placement Warrants were vested and no longer subject to the transfer restrictions and contingent forfeiture provisions.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13 – STOCK-BASED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the nine months ended September 30, 2022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gridSpan w:val="4"/>
          </w:tcPr>
          <w:p>
            <w:pPr>
              <w:ind w:left="960"/>
              <w:spacing w:after="0"/>
              <w:rPr>
                <w:sz w:val="20"/>
                <w:szCs w:val="20"/>
                <w:color w:val="auto"/>
              </w:rPr>
            </w:pPr>
            <w:r>
              <w:rPr>
                <w:rFonts w:ascii="Arial" w:cs="Arial" w:eastAsia="Arial" w:hAnsi="Arial"/>
                <w:sz w:val="14"/>
                <w:szCs w:val="14"/>
                <w:b w:val="1"/>
                <w:bCs w:val="1"/>
                <w:color w:val="auto"/>
              </w:rPr>
              <w:t>Outstanding Options</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6"/>
        </w:trPr>
        <w:tc>
          <w:tcPr>
            <w:tcW w:w="52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60"/>
        </w:trPr>
        <w:tc>
          <w:tcPr>
            <w:tcW w:w="5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2"/>
          </w:tcPr>
          <w:p>
            <w:pPr>
              <w:jc w:val="center"/>
              <w:ind w:right="80"/>
              <w:spacing w:after="0" w:line="160" w:lineRule="exact"/>
              <w:rPr>
                <w:sz w:val="20"/>
                <w:szCs w:val="20"/>
                <w:color w:val="auto"/>
              </w:rPr>
            </w:pPr>
            <w:r>
              <w:rPr>
                <w:rFonts w:ascii="Arial" w:cs="Arial" w:eastAsia="Arial" w:hAnsi="Arial"/>
                <w:sz w:val="14"/>
                <w:szCs w:val="14"/>
                <w:b w:val="1"/>
                <w:bCs w:val="1"/>
                <w:color w:val="auto"/>
                <w:w w:val="91"/>
              </w:rPr>
              <w:t>Weighted-Average</w:t>
            </w: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62"/>
        </w:trPr>
        <w:tc>
          <w:tcPr>
            <w:tcW w:w="5240" w:type="dxa"/>
            <w:vAlign w:val="bottom"/>
          </w:tcPr>
          <w:p>
            <w:pPr>
              <w:spacing w:after="0"/>
              <w:rPr>
                <w:sz w:val="14"/>
                <w:szCs w:val="14"/>
                <w:color w:val="auto"/>
              </w:rPr>
            </w:pPr>
          </w:p>
        </w:tc>
        <w:tc>
          <w:tcPr>
            <w:tcW w:w="1180" w:type="dxa"/>
            <w:vAlign w:val="bottom"/>
          </w:tcPr>
          <w:p>
            <w:pPr>
              <w:jc w:val="right"/>
              <w:ind w:right="175"/>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Weighted Average</w:t>
            </w:r>
          </w:p>
        </w:tc>
        <w:tc>
          <w:tcPr>
            <w:tcW w:w="1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Remaining Contractual</w:t>
            </w:r>
          </w:p>
        </w:tc>
        <w:tc>
          <w:tcPr>
            <w:tcW w:w="180" w:type="dxa"/>
            <w:vAlign w:val="bottom"/>
          </w:tcPr>
          <w:p>
            <w:pPr>
              <w:spacing w:after="0"/>
              <w:rPr>
                <w:sz w:val="14"/>
                <w:szCs w:val="14"/>
                <w:color w:val="auto"/>
              </w:rPr>
            </w:pPr>
          </w:p>
        </w:tc>
        <w:tc>
          <w:tcPr>
            <w:tcW w:w="1380" w:type="dxa"/>
            <w:vAlign w:val="bottom"/>
          </w:tcPr>
          <w:p>
            <w:pPr>
              <w:jc w:val="right"/>
              <w:ind w:right="137"/>
              <w:spacing w:after="0"/>
              <w:rPr>
                <w:sz w:val="20"/>
                <w:szCs w:val="20"/>
                <w:color w:val="auto"/>
              </w:rPr>
            </w:pPr>
            <w:r>
              <w:rPr>
                <w:rFonts w:ascii="Arial" w:cs="Arial" w:eastAsia="Arial" w:hAnsi="Arial"/>
                <w:sz w:val="14"/>
                <w:szCs w:val="14"/>
                <w:b w:val="1"/>
                <w:bCs w:val="1"/>
                <w:color w:val="auto"/>
                <w:w w:val="97"/>
              </w:rPr>
              <w:t>Intrinsic Value (in</w:t>
            </w:r>
          </w:p>
        </w:tc>
      </w:tr>
      <w:tr>
        <w:trPr>
          <w:trHeight w:val="186"/>
        </w:trPr>
        <w:tc>
          <w:tcPr>
            <w:tcW w:w="5240" w:type="dxa"/>
            <w:vAlign w:val="bottom"/>
          </w:tcPr>
          <w:p>
            <w:pPr>
              <w:spacing w:after="0"/>
              <w:rPr>
                <w:sz w:val="16"/>
                <w:szCs w:val="16"/>
                <w:color w:val="auto"/>
              </w:rPr>
            </w:pPr>
          </w:p>
        </w:tc>
        <w:tc>
          <w:tcPr>
            <w:tcW w:w="1180" w:type="dxa"/>
            <w:vAlign w:val="bottom"/>
          </w:tcPr>
          <w:p>
            <w:pPr>
              <w:jc w:val="right"/>
              <w:ind w:right="255"/>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Term</w:t>
            </w:r>
          </w:p>
        </w:tc>
        <w:tc>
          <w:tcPr>
            <w:tcW w:w="180" w:type="dxa"/>
            <w:vAlign w:val="bottom"/>
          </w:tcPr>
          <w:p>
            <w:pPr>
              <w:spacing w:after="0"/>
              <w:rPr>
                <w:sz w:val="16"/>
                <w:szCs w:val="16"/>
                <w:color w:val="auto"/>
              </w:rPr>
            </w:pPr>
          </w:p>
        </w:tc>
        <w:tc>
          <w:tcPr>
            <w:tcW w:w="1380" w:type="dxa"/>
            <w:vAlign w:val="bottom"/>
          </w:tcPr>
          <w:p>
            <w:pPr>
              <w:jc w:val="right"/>
              <w:ind w:right="357"/>
              <w:spacing w:after="0"/>
              <w:rPr>
                <w:sz w:val="20"/>
                <w:szCs w:val="20"/>
                <w:color w:val="auto"/>
              </w:rPr>
            </w:pPr>
            <w:r>
              <w:rPr>
                <w:rFonts w:ascii="Arial" w:cs="Arial" w:eastAsia="Arial" w:hAnsi="Arial"/>
                <w:sz w:val="14"/>
                <w:szCs w:val="14"/>
                <w:b w:val="1"/>
                <w:bCs w:val="1"/>
                <w:color w:val="auto"/>
              </w:rPr>
              <w:t>thousands)</w:t>
            </w:r>
          </w:p>
        </w:tc>
      </w:tr>
      <w:tr>
        <w:trPr>
          <w:trHeight w:val="26"/>
        </w:trPr>
        <w:tc>
          <w:tcPr>
            <w:tcW w:w="52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64,119,902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2,370,666</w:t>
            </w: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Options exercised</w:t>
            </w:r>
          </w:p>
        </w:tc>
        <w:tc>
          <w:tcPr>
            <w:tcW w:w="1180" w:type="dxa"/>
            <w:vAlign w:val="bottom"/>
          </w:tcPr>
          <w:p>
            <w:pPr>
              <w:jc w:val="right"/>
              <w:spacing w:after="0"/>
              <w:rPr>
                <w:sz w:val="20"/>
                <w:szCs w:val="20"/>
                <w:color w:val="auto"/>
              </w:rPr>
            </w:pPr>
            <w:r>
              <w:rPr>
                <w:rFonts w:ascii="Arial" w:cs="Arial" w:eastAsia="Arial" w:hAnsi="Arial"/>
                <w:sz w:val="18"/>
                <w:szCs w:val="18"/>
                <w:color w:val="auto"/>
              </w:rPr>
              <w:t>(18,698,664)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0.79</w:t>
            </w: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6"/>
        </w:trPr>
        <w:tc>
          <w:tcPr>
            <w:tcW w:w="5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7"/>
        </w:trPr>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Options canceled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(2,289,081)</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r>
      <w:tr>
        <w:trPr>
          <w:trHeight w:val="250"/>
        </w:trPr>
        <w:tc>
          <w:tcPr>
            <w:tcW w:w="5240" w:type="dxa"/>
            <w:vAlign w:val="bottom"/>
          </w:tcPr>
          <w:p>
            <w:pPr>
              <w:ind w:left="20"/>
              <w:spacing w:after="0"/>
              <w:rPr>
                <w:sz w:val="20"/>
                <w:szCs w:val="20"/>
                <w:color w:val="auto"/>
              </w:rPr>
            </w:pPr>
            <w:r>
              <w:rPr>
                <w:rFonts w:ascii="Arial" w:cs="Arial" w:eastAsia="Arial" w:hAnsi="Arial"/>
                <w:sz w:val="18"/>
                <w:szCs w:val="18"/>
                <w:color w:val="auto"/>
              </w:rPr>
              <w:t>Balance as of September 30, 2022</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43,132,157</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6.69</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554,954</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275"/>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vested and exercisable as of September 30, 2022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31,474,979</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410,294</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September 30, 2022, unrecognized stock-based compensation cost related to outstanding unvested stock options that are expected to vest was $9.3 million, which is expected to be recognized over a weighted-average period of 1.9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units (“RSUs”) activity for the nine months ended September 30, 2022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4"/>
          </w:tcPr>
          <w:p>
            <w:pPr>
              <w:ind w:left="620"/>
              <w:spacing w:after="0"/>
              <w:rPr>
                <w:sz w:val="20"/>
                <w:szCs w:val="20"/>
                <w:color w:val="auto"/>
              </w:rPr>
            </w:pPr>
            <w:r>
              <w:rPr>
                <w:rFonts w:ascii="Arial" w:cs="Arial" w:eastAsia="Arial" w:hAnsi="Arial"/>
                <w:sz w:val="14"/>
                <w:szCs w:val="14"/>
                <w:b w:val="1"/>
                <w:bCs w:val="1"/>
                <w:color w:val="auto"/>
              </w:rPr>
              <w:t>Restricted Stock Units</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8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Performance-Based</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Weighted-Average</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Time-Based Shares</w:t>
            </w:r>
          </w:p>
        </w:tc>
        <w:tc>
          <w:tcPr>
            <w:tcW w:w="1360" w:type="dxa"/>
            <w:vAlign w:val="bottom"/>
            <w:gridSpan w:val="2"/>
            <w:vMerge w:val="continue"/>
          </w:tcPr>
          <w:p>
            <w:pPr>
              <w:spacing w:after="0"/>
              <w:rPr>
                <w:sz w:val="12"/>
                <w:szCs w:val="12"/>
                <w:color w:val="auto"/>
              </w:rPr>
            </w:pPr>
          </w:p>
        </w:tc>
        <w:tc>
          <w:tcPr>
            <w:tcW w:w="13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 Shares</w:t>
            </w:r>
          </w:p>
        </w:tc>
        <w:tc>
          <w:tcPr>
            <w:tcW w:w="120" w:type="dxa"/>
            <w:vAlign w:val="bottom"/>
          </w:tcPr>
          <w:p>
            <w:pPr>
              <w:spacing w:after="0"/>
              <w:rPr>
                <w:sz w:val="12"/>
                <w:szCs w:val="12"/>
                <w:color w:val="auto"/>
              </w:rPr>
            </w:pPr>
          </w:p>
        </w:tc>
        <w:tc>
          <w:tcPr>
            <w:tcW w:w="1160" w:type="dxa"/>
            <w:vAlign w:val="bottom"/>
          </w:tcPr>
          <w:p>
            <w:pPr>
              <w:jc w:val="right"/>
              <w:ind w:right="55"/>
              <w:spacing w:after="0" w:line="149" w:lineRule="exact"/>
              <w:rPr>
                <w:sz w:val="20"/>
                <w:szCs w:val="20"/>
                <w:color w:val="auto"/>
              </w:rPr>
            </w:pPr>
            <w:r>
              <w:rPr>
                <w:rFonts w:ascii="Arial" w:cs="Arial" w:eastAsia="Arial" w:hAnsi="Arial"/>
                <w:sz w:val="14"/>
                <w:szCs w:val="14"/>
                <w:b w:val="1"/>
                <w:bCs w:val="1"/>
                <w:color w:val="auto"/>
                <w:w w:val="98"/>
              </w:rPr>
              <w:t>Grant-Date Fair</w:t>
            </w:r>
          </w:p>
        </w:tc>
        <w:tc>
          <w:tcPr>
            <w:tcW w:w="0" w:type="dxa"/>
            <w:vAlign w:val="bottom"/>
          </w:tcPr>
          <w:p>
            <w:pPr>
              <w:spacing w:after="0"/>
              <w:rPr>
                <w:sz w:val="1"/>
                <w:szCs w:val="1"/>
                <w:color w:val="auto"/>
              </w:rPr>
            </w:pPr>
          </w:p>
        </w:tc>
      </w:tr>
      <w:tr>
        <w:trPr>
          <w:trHeight w:val="196"/>
        </w:trPr>
        <w:tc>
          <w:tcPr>
            <w:tcW w:w="586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37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30"/>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2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5"/>
              </w:rPr>
              <w:t>32,210,200</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16,024,411</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48,234,611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Granted</w:t>
            </w:r>
          </w:p>
        </w:tc>
        <w:tc>
          <w:tcPr>
            <w:tcW w:w="1280" w:type="dxa"/>
            <w:vAlign w:val="bottom"/>
          </w:tcPr>
          <w:p>
            <w:pPr>
              <w:ind w:left="400"/>
              <w:spacing w:after="0"/>
              <w:rPr>
                <w:sz w:val="20"/>
                <w:szCs w:val="20"/>
                <w:color w:val="auto"/>
              </w:rPr>
            </w:pPr>
            <w:r>
              <w:rPr>
                <w:rFonts w:ascii="Arial" w:cs="Arial" w:eastAsia="Arial" w:hAnsi="Arial"/>
                <w:sz w:val="18"/>
                <w:szCs w:val="18"/>
                <w:color w:val="auto"/>
                <w:w w:val="95"/>
              </w:rPr>
              <w:t>16,225,356</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16,225,356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2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(9,001,521)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(13,934,271)</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(22,935,792)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Cancelled/Forfeited</w:t>
            </w:r>
          </w:p>
        </w:tc>
        <w:tc>
          <w:tcPr>
            <w:tcW w:w="1280" w:type="dxa"/>
            <w:vAlign w:val="bottom"/>
          </w:tcPr>
          <w:p>
            <w:pPr>
              <w:ind w:left="420"/>
              <w:spacing w:after="0"/>
              <w:rPr>
                <w:sz w:val="20"/>
                <w:szCs w:val="20"/>
                <w:color w:val="auto"/>
              </w:rPr>
            </w:pPr>
            <w:r>
              <w:rPr>
                <w:rFonts w:ascii="Arial" w:cs="Arial" w:eastAsia="Arial" w:hAnsi="Arial"/>
                <w:sz w:val="18"/>
                <w:szCs w:val="18"/>
                <w:color w:val="auto"/>
                <w:w w:val="91"/>
              </w:rPr>
              <w:t>(2,133,132)</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(2,133,132)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48"/>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2022</w:t>
            </w:r>
          </w:p>
        </w:tc>
        <w:tc>
          <w:tcPr>
            <w:tcW w:w="12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5"/>
              </w:rPr>
              <w:t>37,300,903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2,090,140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39,391,043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As of September 30, 2022, unrecognized stock-based compensation cost related to outstanding unvested time-based RSUs that are expected to vest was $554.0 million, which is expected to be recognized over a weighted-average period of 3.0 years.</w:t>
      </w:r>
    </w:p>
    <w:p>
      <w:pPr>
        <w:spacing w:after="0" w:line="1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All performance-based RSUs granted to the CEO are subject to performance and market conditions. The performance condition was satisfied upon the closing of the Merger. The fair value of these performance-based RSUs was measured on the grant date, March 27, 2021, using a Monte Carlo simulation model, with the following assumptions: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volatility</w:t>
            </w:r>
          </w:p>
        </w:tc>
        <w:tc>
          <w:tcPr>
            <w:tcW w:w="4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48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4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4880" w:type="dxa"/>
            <w:vAlign w:val="bottom"/>
          </w:tcPr>
          <w:p>
            <w:pPr>
              <w:jc w:val="right"/>
              <w:ind w:right="130"/>
              <w:spacing w:after="0"/>
              <w:rPr>
                <w:sz w:val="20"/>
                <w:szCs w:val="20"/>
                <w:color w:val="auto"/>
              </w:rPr>
            </w:pPr>
            <w:r>
              <w:rPr>
                <w:rFonts w:ascii="Arial" w:cs="Arial" w:eastAsia="Arial" w:hAnsi="Arial"/>
                <w:sz w:val="18"/>
                <w:szCs w:val="18"/>
                <w:color w:val="auto"/>
              </w:rPr>
              <w:t>—</w:t>
            </w:r>
          </w:p>
        </w:tc>
      </w:tr>
    </w:tbl>
    <w:p>
      <w:pPr>
        <w:spacing w:after="0" w:line="295"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The Company recognizes compensation expense on a graded vesting schedule over the derived service period for the CEO performance-based awards. Stock-based compensation expense is recognized when the relevant performance condition is considered probable of achievement for the performance-based award. During the nine months ended September 30, 2022, the market condition was met for the CEO performance-based awards for four of the five tranches and certified by the Board of Directors, representing an aggregate of 13,934,271 performance RSUs. We recorded stock-based compensation expense of $85.4 million for the four tranches during the nine months ended September 30, 2022, and no such expense was recognized in the same period in the prior year. As of September 30, 2022, the unamortized expense for the fifth tranche, representing 2,090,140 RSUs, was $11.0 million which will be recognized over a period of 1.0 years. For the three and nine months ended September 30, 2022, the Company withheld approximately 0.4 million and</w:t>
      </w:r>
    </w:p>
    <w:p>
      <w:pPr>
        <w:spacing w:after="0" w:line="2"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8.9 million shares of common stock, respectively, by net settlement to meet the related tax withholding requirements related to the CEO time-based and performance-based RSUs.</w:t>
      </w:r>
    </w:p>
    <w:p>
      <w:pPr>
        <w:sectPr>
          <w:pgSz w:w="11900" w:h="16838" w:orient="portrait"/>
          <w:cols w:equalWidth="0" w:num="1">
            <w:col w:w="11240"/>
          </w:cols>
          <w:pgMar w:left="320" w:top="985" w:right="339" w:bottom="1440"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25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ESPP authorizes the issuance of shares of common stock pursuant to purchase rights granted to employees. The purchase price for each share purchased during an offering period will be the lesser of 85% of the fair market value of the share on the purchase date or 85% of the fair market value of the share on the offering date. As of September 30, 2022, unrecognized stock-based compensation cost related to the ESPP was $29.0 million, which is expected to be recognized over a weighted-average period of 1.7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employee and nonemployee stock-based compensation expense for the three and nine months ended September 30, 2022 and 2021, was classified in the condensed consolidated statements of operations and comprehensive loss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46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6"/>
        </w:trPr>
        <w:tc>
          <w:tcPr>
            <w:tcW w:w="5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9"/>
        </w:trPr>
        <w:tc>
          <w:tcPr>
            <w:tcW w:w="58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59,196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123,059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85,899</w:t>
            </w: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177,760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199,370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280,301</w:t>
            </w: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83,302</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236,956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352,245</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366,200</w:t>
            </w:r>
          </w:p>
        </w:tc>
      </w:tr>
      <w:tr>
        <w:trPr>
          <w:trHeight w:val="20"/>
        </w:trPr>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Total stock-based compensation expense for the three and nine months ended September 30, 2021 included $235.6 million stock-based compensation expense related to the RSUs. The nine months ended September 30, 2021 also included $123.6 million stock-based compensation expense, respectively, related to the Series E convertible preferred stock issuance in March 2021 and April 2021. Refer to Note 7 “Contingent Forward Contracts” and Note 10 “Convertible Preferred Stock” for further detail.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LEASES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has entered into various non-cancellable operating and finance lease agreements for certain of the Company’s offices, manufacturing and warehouse facilities, retail and service locations, equipment and vehicles, worldwide.</w:t>
      </w:r>
    </w:p>
    <w:p>
      <w:pPr>
        <w:spacing w:after="0" w:line="19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August 2022, the Company entered into a four-year agreement (“Lease Agreement”) to lease land in Casa Grande, Arizona adjacent to our manufacturing facility. The Company classified this lease as a finance lease because the Lease Agreement contains a purchase option which the Company is reasonably certain to exercise. As of September 30, 2022, assets and liabilities associated with the finance lease were $79.3 million and $80.0 million, respectively.</w:t>
      </w:r>
    </w:p>
    <w:p>
      <w:pPr>
        <w:spacing w:after="0" w:line="21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Contemporaneously with the execution of the Lease Agreement, the Company entered into a sale agreement, pursuant to which the Company sold certain parcels of land for $31.7 million to the lessor and leased back these parcels of land under the Lease Agreement. The sale of the land and subsequent lease did not result in change in the transfer of control of the land; therefore, the sale-leaseback transaction is accounted for as a failed sale and leaseback financing obligation. The Company recorded the sales proceeds received as a financial liability within other long-term liabilities on our condensed consolidated balance sheets as of September 30, 2022.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3" w:name="page34"/>
    <w:bookmarkEnd w:id="33"/>
    <w:p>
      <w:pPr>
        <w:ind w:right="20"/>
        <w:spacing w:after="0" w:line="277" w:lineRule="auto"/>
        <w:rPr>
          <w:sz w:val="20"/>
          <w:szCs w:val="20"/>
          <w:color w:val="auto"/>
        </w:rPr>
      </w:pPr>
      <w:r>
        <w:rPr>
          <w:rFonts w:ascii="Arial" w:cs="Arial" w:eastAsia="Arial" w:hAnsi="Arial"/>
          <w:sz w:val="18"/>
          <w:szCs w:val="18"/>
          <w:color w:val="auto"/>
        </w:rPr>
        <w:t>The balances for the operating and finance leases where the Company is the lessee are presented as follows within the Company’s condensed consolidated balance sheets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12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6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r>
      <w:tr>
        <w:trPr>
          <w:trHeight w:val="216"/>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600" w:type="dxa"/>
            <w:vAlign w:val="bottom"/>
          </w:tcPr>
          <w:p>
            <w:pPr>
              <w:ind w:left="24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211,844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161,974</w:t>
            </w:r>
          </w:p>
        </w:tc>
      </w:tr>
      <w:tr>
        <w:trPr>
          <w:trHeight w:val="270"/>
        </w:trPr>
        <w:tc>
          <w:tcPr>
            <w:tcW w:w="8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29"/>
        </w:trPr>
        <w:tc>
          <w:tcPr>
            <w:tcW w:w="8600" w:type="dxa"/>
            <w:vAlign w:val="bottom"/>
          </w:tcPr>
          <w:p>
            <w:pPr>
              <w:ind w:left="24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7,815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11,056</w:t>
            </w:r>
          </w:p>
        </w:tc>
      </w:tr>
      <w:tr>
        <w:trPr>
          <w:trHeight w:val="230"/>
        </w:trPr>
        <w:tc>
          <w:tcPr>
            <w:tcW w:w="8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239,173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185,323</w:t>
            </w:r>
          </w:p>
        </w:tc>
      </w:tr>
      <w:tr>
        <w:trPr>
          <w:trHeight w:val="223"/>
        </w:trPr>
        <w:tc>
          <w:tcPr>
            <w:tcW w:w="8600" w:type="dxa"/>
            <w:vAlign w:val="bottom"/>
          </w:tcPr>
          <w:p>
            <w:pPr>
              <w:ind w:left="520"/>
              <w:spacing w:after="0"/>
              <w:rPr>
                <w:sz w:val="20"/>
                <w:szCs w:val="20"/>
                <w:color w:val="auto"/>
              </w:rPr>
            </w:pPr>
            <w:r>
              <w:rPr>
                <w:rFonts w:ascii="Arial" w:cs="Arial" w:eastAsia="Arial" w:hAnsi="Arial"/>
                <w:sz w:val="18"/>
                <w:szCs w:val="18"/>
                <w:color w:val="auto"/>
              </w:rPr>
              <w:t>Total operating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246,988</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196,379</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88,751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10,567</w:t>
            </w:r>
          </w:p>
        </w:tc>
      </w:tr>
      <w:tr>
        <w:trPr>
          <w:trHeight w:val="223"/>
        </w:trPr>
        <w:tc>
          <w:tcPr>
            <w:tcW w:w="8600" w:type="dxa"/>
            <w:vAlign w:val="bottom"/>
          </w:tcPr>
          <w:p>
            <w:pPr>
              <w:ind w:left="520"/>
              <w:spacing w:after="0"/>
              <w:rPr>
                <w:sz w:val="20"/>
                <w:szCs w:val="20"/>
                <w:color w:val="auto"/>
              </w:rPr>
            </w:pPr>
            <w:r>
              <w:rPr>
                <w:rFonts w:ascii="Arial" w:cs="Arial" w:eastAsia="Arial" w:hAnsi="Arial"/>
                <w:sz w:val="18"/>
                <w:szCs w:val="18"/>
                <w:color w:val="auto"/>
              </w:rPr>
              <w:t>Total finance lease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88,751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10,567</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8600" w:type="dxa"/>
            <w:vAlign w:val="bottom"/>
          </w:tcPr>
          <w:p>
            <w:pPr>
              <w:ind w:left="240"/>
              <w:spacing w:after="0"/>
              <w:rPr>
                <w:sz w:val="20"/>
                <w:szCs w:val="20"/>
                <w:color w:val="auto"/>
              </w:rPr>
            </w:pPr>
            <w:r>
              <w:rPr>
                <w:rFonts w:ascii="Arial" w:cs="Arial" w:eastAsia="Arial" w:hAnsi="Arial"/>
                <w:sz w:val="18"/>
                <w:szCs w:val="18"/>
                <w:color w:val="auto"/>
              </w:rPr>
              <w:t>Finance lease liabilities, current portion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9,780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4,183</w:t>
            </w:r>
          </w:p>
        </w:tc>
      </w:tr>
      <w:tr>
        <w:trPr>
          <w:trHeight w:val="229"/>
        </w:trPr>
        <w:tc>
          <w:tcPr>
            <w:tcW w:w="8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 liabilities, net of current portion</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79,371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6,083</w:t>
            </w:r>
          </w:p>
        </w:tc>
      </w:tr>
      <w:tr>
        <w:trPr>
          <w:trHeight w:val="223"/>
        </w:trPr>
        <w:tc>
          <w:tcPr>
            <w:tcW w:w="8600" w:type="dxa"/>
            <w:vAlign w:val="bottom"/>
          </w:tcPr>
          <w:p>
            <w:pPr>
              <w:ind w:left="520"/>
              <w:spacing w:after="0"/>
              <w:rPr>
                <w:sz w:val="20"/>
                <w:szCs w:val="20"/>
                <w:color w:val="auto"/>
              </w:rPr>
            </w:pPr>
            <w:r>
              <w:rPr>
                <w:rFonts w:ascii="Arial" w:cs="Arial" w:eastAsia="Arial" w:hAnsi="Arial"/>
                <w:sz w:val="18"/>
                <w:szCs w:val="18"/>
                <w:color w:val="auto"/>
              </w:rPr>
              <w:t>Total finance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89,151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10,266</w:t>
            </w:r>
          </w:p>
        </w:tc>
      </w:tr>
      <w:tr>
        <w:trPr>
          <w:trHeight w:val="20"/>
        </w:trPr>
        <w:tc>
          <w:tcPr>
            <w:tcW w:w="8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lease expense are as follows within the Company’s condensed consolidated statements of operations and comprehensive loss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46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5"/>
        </w:trPr>
        <w:tc>
          <w:tcPr>
            <w:tcW w:w="5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58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expense: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586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Operating lease expense </w:t>
            </w:r>
            <w:r>
              <w:rPr>
                <w:rFonts w:ascii="Arial" w:cs="Arial" w:eastAsia="Arial" w:hAnsi="Arial"/>
                <w:sz w:val="23"/>
                <w:szCs w:val="23"/>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11,888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8,261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32,215</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21,811</w:t>
            </w:r>
          </w:p>
        </w:tc>
      </w:tr>
      <w:tr>
        <w:trPr>
          <w:trHeight w:val="230"/>
        </w:trPr>
        <w:tc>
          <w:tcPr>
            <w:tcW w:w="5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Variable lease expense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r>
      <w:tr>
        <w:trPr>
          <w:trHeight w:val="256"/>
        </w:trPr>
        <w:tc>
          <w:tcPr>
            <w:tcW w:w="5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Finance lease expense: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860" w:type="dxa"/>
            <w:vAlign w:val="bottom"/>
          </w:tcPr>
          <w:p>
            <w:pPr>
              <w:ind w:left="240"/>
              <w:spacing w:after="0"/>
              <w:rPr>
                <w:sz w:val="20"/>
                <w:szCs w:val="20"/>
                <w:color w:val="auto"/>
              </w:rPr>
            </w:pPr>
            <w:r>
              <w:rPr>
                <w:rFonts w:ascii="Arial" w:cs="Arial" w:eastAsia="Arial" w:hAnsi="Arial"/>
                <w:sz w:val="18"/>
                <w:szCs w:val="18"/>
                <w:color w:val="auto"/>
              </w:rPr>
              <w:t>Amortization of leased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3,446</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2,032</w:t>
            </w:r>
          </w:p>
        </w:tc>
      </w:tr>
      <w:tr>
        <w:trPr>
          <w:trHeight w:val="229"/>
        </w:trPr>
        <w:tc>
          <w:tcPr>
            <w:tcW w:w="5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on lease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23"/>
        </w:trPr>
        <w:tc>
          <w:tcPr>
            <w:tcW w:w="5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finance lease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w:t>
            </w:r>
          </w:p>
        </w:tc>
      </w:tr>
      <w:tr>
        <w:trPr>
          <w:trHeight w:val="248"/>
        </w:trPr>
        <w:tc>
          <w:tcPr>
            <w:tcW w:w="58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lease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14,908</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39,428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25,925</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160" w:hanging="152"/>
        <w:spacing w:after="0"/>
        <w:tabs>
          <w:tab w:leader="none" w:pos="160" w:val="left"/>
        </w:tabs>
        <w:numPr>
          <w:ilvl w:val="0"/>
          <w:numId w:val="20"/>
        </w:numPr>
        <w:rPr>
          <w:rFonts w:ascii="Arial" w:cs="Arial" w:eastAsia="Arial" w:hAnsi="Arial"/>
          <w:sz w:val="9"/>
          <w:szCs w:val="9"/>
          <w:color w:val="auto"/>
        </w:rPr>
      </w:pPr>
      <w:r>
        <w:rPr>
          <w:rFonts w:ascii="Arial" w:cs="Arial" w:eastAsia="Arial" w:hAnsi="Arial"/>
          <w:sz w:val="14"/>
          <w:szCs w:val="14"/>
          <w:color w:val="auto"/>
        </w:rPr>
        <w:t>Includes short-term leases, which are immaterial.</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leases where the Company is the lessee was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500" w:type="dxa"/>
            <w:vAlign w:val="bottom"/>
            <w:gridSpan w:val="2"/>
          </w:tcPr>
          <w:p>
            <w:pPr>
              <w:ind w:left="280"/>
              <w:spacing w:after="0"/>
              <w:rPr>
                <w:sz w:val="20"/>
                <w:szCs w:val="20"/>
                <w:color w:val="auto"/>
              </w:rPr>
            </w:pPr>
            <w:r>
              <w:rPr>
                <w:rFonts w:ascii="Arial" w:cs="Arial" w:eastAsia="Arial" w:hAnsi="Arial"/>
                <w:sz w:val="14"/>
                <w:szCs w:val="14"/>
                <w:b w:val="1"/>
                <w:bCs w:val="1"/>
                <w:color w:val="auto"/>
              </w:rPr>
              <w:t>September 30,</w:t>
            </w:r>
          </w:p>
        </w:tc>
        <w:tc>
          <w:tcPr>
            <w:tcW w:w="1420" w:type="dxa"/>
            <w:vAlign w:val="bottom"/>
          </w:tcPr>
          <w:p>
            <w:pPr>
              <w:jc w:val="right"/>
              <w:ind w:right="19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4720" w:type="dxa"/>
            <w:vAlign w:val="bottom"/>
          </w:tcPr>
          <w:p>
            <w:pPr>
              <w:spacing w:after="0"/>
              <w:rPr>
                <w:sz w:val="16"/>
                <w:szCs w:val="16"/>
                <w:color w:val="auto"/>
              </w:rPr>
            </w:pPr>
          </w:p>
        </w:tc>
        <w:tc>
          <w:tcPr>
            <w:tcW w:w="5020" w:type="dxa"/>
            <w:vAlign w:val="bottom"/>
            <w:gridSpan w:val="2"/>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420" w:type="dxa"/>
            <w:vAlign w:val="bottom"/>
          </w:tcPr>
          <w:p>
            <w:pPr>
              <w:jc w:val="right"/>
              <w:ind w:right="476"/>
              <w:spacing w:after="0"/>
              <w:rPr>
                <w:sz w:val="20"/>
                <w:szCs w:val="20"/>
                <w:color w:val="auto"/>
              </w:rPr>
            </w:pPr>
            <w:r>
              <w:rPr>
                <w:rFonts w:ascii="Arial" w:cs="Arial" w:eastAsia="Arial" w:hAnsi="Arial"/>
                <w:sz w:val="14"/>
                <w:szCs w:val="14"/>
                <w:b w:val="1"/>
                <w:bCs w:val="1"/>
                <w:color w:val="auto"/>
              </w:rPr>
              <w:t>2021</w:t>
            </w:r>
          </w:p>
        </w:tc>
      </w:tr>
      <w:tr>
        <w:trPr>
          <w:trHeight w:val="215"/>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remaining lease term (in years):</w:t>
            </w:r>
          </w:p>
        </w:tc>
        <w:tc>
          <w:tcPr>
            <w:tcW w:w="36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29"/>
        </w:trPr>
        <w:tc>
          <w:tcPr>
            <w:tcW w:w="472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502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4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7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discount rate:</w:t>
            </w:r>
          </w:p>
        </w:tc>
        <w:tc>
          <w:tcPr>
            <w:tcW w:w="36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72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5020" w:type="dxa"/>
            <w:vAlign w:val="bottom"/>
            <w:gridSpan w:val="2"/>
          </w:tcPr>
          <w:p>
            <w:pPr>
              <w:jc w:val="right"/>
              <w:spacing w:after="0"/>
              <w:rPr>
                <w:sz w:val="20"/>
                <w:szCs w:val="20"/>
                <w:color w:val="auto"/>
              </w:rPr>
            </w:pPr>
            <w:r>
              <w:rPr>
                <w:rFonts w:ascii="Arial" w:cs="Arial" w:eastAsia="Arial" w:hAnsi="Arial"/>
                <w:sz w:val="18"/>
                <w:szCs w:val="18"/>
                <w:color w:val="auto"/>
              </w:rPr>
              <w:t>10.45 %</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10.98 %</w:t>
            </w:r>
          </w:p>
        </w:tc>
      </w:tr>
      <w:tr>
        <w:trPr>
          <w:trHeight w:val="230"/>
        </w:trPr>
        <w:tc>
          <w:tcPr>
            <w:tcW w:w="4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5.67 %</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5.58 %</w:t>
            </w:r>
          </w:p>
        </w:tc>
      </w:tr>
      <w:tr>
        <w:trPr>
          <w:trHeight w:val="553"/>
        </w:trPr>
        <w:tc>
          <w:tcPr>
            <w:tcW w:w="4720" w:type="dxa"/>
            <w:vAlign w:val="bottom"/>
          </w:tcPr>
          <w:p>
            <w:pPr>
              <w:spacing w:after="0"/>
              <w:rPr>
                <w:sz w:val="24"/>
                <w:szCs w:val="24"/>
                <w:color w:val="auto"/>
              </w:rPr>
            </w:pPr>
          </w:p>
        </w:tc>
        <w:tc>
          <w:tcPr>
            <w:tcW w:w="3600" w:type="dxa"/>
            <w:vAlign w:val="bottom"/>
          </w:tcPr>
          <w:p>
            <w:pPr>
              <w:jc w:val="right"/>
              <w:ind w:right="2513"/>
              <w:spacing w:after="0"/>
              <w:rPr>
                <w:sz w:val="20"/>
                <w:szCs w:val="20"/>
                <w:color w:val="auto"/>
              </w:rPr>
            </w:pPr>
            <w:r>
              <w:rPr>
                <w:rFonts w:ascii="Arial" w:cs="Arial" w:eastAsia="Arial" w:hAnsi="Arial"/>
                <w:sz w:val="18"/>
                <w:szCs w:val="18"/>
                <w:color w:val="auto"/>
              </w:rPr>
              <w:t>34</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42"/>
        </w:trPr>
        <w:tc>
          <w:tcPr>
            <w:tcW w:w="4720" w:type="dxa"/>
            <w:vAlign w:val="bottom"/>
            <w:tcBorders>
              <w:bottom w:val="single" w:sz="8" w:color="9A9A9A"/>
            </w:tcBorders>
          </w:tcPr>
          <w:p>
            <w:pPr>
              <w:spacing w:after="0"/>
              <w:rPr>
                <w:sz w:val="12"/>
                <w:szCs w:val="12"/>
                <w:color w:val="auto"/>
              </w:rPr>
            </w:pPr>
          </w:p>
        </w:tc>
        <w:tc>
          <w:tcPr>
            <w:tcW w:w="360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4" w:name="page35"/>
    <w:bookmarkEnd w:id="34"/>
    <w:p>
      <w:pPr>
        <w:spacing w:after="0" w:line="277" w:lineRule="auto"/>
        <w:rPr>
          <w:sz w:val="20"/>
          <w:szCs w:val="20"/>
          <w:color w:val="auto"/>
        </w:rPr>
      </w:pPr>
      <w:r>
        <w:rPr>
          <w:rFonts w:ascii="Arial" w:cs="Arial" w:eastAsia="Arial" w:hAnsi="Arial"/>
          <w:sz w:val="18"/>
          <w:szCs w:val="18"/>
          <w:color w:val="auto"/>
        </w:rPr>
        <w:t>As of September 30, 2022, the maturities of the Company’s operating and finance lease liabilities (excluding short-term leases) were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0" w:type="dxa"/>
            <w:vAlign w:val="bottom"/>
          </w:tcPr>
          <w:p>
            <w:pPr>
              <w:spacing w:after="0"/>
              <w:rPr>
                <w:sz w:val="16"/>
                <w:szCs w:val="16"/>
                <w:color w:val="auto"/>
              </w:rPr>
            </w:pPr>
          </w:p>
        </w:tc>
        <w:tc>
          <w:tcPr>
            <w:tcW w:w="1360" w:type="dxa"/>
            <w:vAlign w:val="bottom"/>
            <w:gridSpan w:val="3"/>
          </w:tcPr>
          <w:p>
            <w:pPr>
              <w:ind w:left="100"/>
              <w:spacing w:after="0"/>
              <w:rPr>
                <w:sz w:val="20"/>
                <w:szCs w:val="20"/>
                <w:color w:val="auto"/>
              </w:rPr>
            </w:pPr>
            <w:r>
              <w:rPr>
                <w:rFonts w:ascii="Arial" w:cs="Arial" w:eastAsia="Arial" w:hAnsi="Arial"/>
                <w:sz w:val="14"/>
                <w:szCs w:val="14"/>
                <w:b w:val="1"/>
                <w:bCs w:val="1"/>
                <w:color w:val="auto"/>
              </w:rPr>
              <w:t>Operating Leases</w:t>
            </w:r>
          </w:p>
        </w:tc>
        <w:tc>
          <w:tcPr>
            <w:tcW w:w="140" w:type="dxa"/>
            <w:vAlign w:val="bottom"/>
          </w:tcPr>
          <w:p>
            <w:pPr>
              <w:spacing w:after="0"/>
              <w:rPr>
                <w:sz w:val="16"/>
                <w:szCs w:val="16"/>
                <w:color w:val="auto"/>
              </w:rPr>
            </w:pPr>
          </w:p>
        </w:tc>
        <w:tc>
          <w:tcPr>
            <w:tcW w:w="1140" w:type="dxa"/>
            <w:vAlign w:val="bottom"/>
          </w:tcPr>
          <w:p>
            <w:pPr>
              <w:jc w:val="right"/>
              <w:ind w:right="92"/>
              <w:spacing w:after="0"/>
              <w:rPr>
                <w:sz w:val="20"/>
                <w:szCs w:val="20"/>
                <w:color w:val="auto"/>
              </w:rPr>
            </w:pPr>
            <w:r>
              <w:rPr>
                <w:rFonts w:ascii="Arial" w:cs="Arial" w:eastAsia="Arial" w:hAnsi="Arial"/>
                <w:sz w:val="14"/>
                <w:szCs w:val="14"/>
                <w:b w:val="1"/>
                <w:bCs w:val="1"/>
                <w:color w:val="auto"/>
                <w:w w:val="90"/>
              </w:rPr>
              <w:t>Finance Leases</w:t>
            </w:r>
          </w:p>
        </w:tc>
      </w:tr>
      <w:tr>
        <w:trPr>
          <w:trHeight w:val="26"/>
        </w:trPr>
        <w:tc>
          <w:tcPr>
            <w:tcW w:w="8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(remainder of the year)</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40,795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9,941</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7,344</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51,301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5,825</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82,440</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181,496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379,365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106,956</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(132,377)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(17,805)</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obligations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89,151</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(9,780)</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portion of lease obligations</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239,173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79,371</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As of September 30, 2022 and December 31, 2021, the Company had $697.4 million and $286.0 million, respectively, in commitments related to AMP-1 and AMP-2 plant and equipment. These commitments represent future expected payments on open purchase orders entered into as of September 30, 2022 and December 31, 2021.</w:t>
      </w:r>
    </w:p>
    <w:p>
      <w:pPr>
        <w:spacing w:after="0" w:line="181" w:lineRule="exact"/>
        <w:rPr>
          <w:sz w:val="20"/>
          <w:szCs w:val="20"/>
          <w:color w:val="auto"/>
        </w:rPr>
      </w:pPr>
    </w:p>
    <w:p>
      <w:pPr>
        <w:ind w:right="500"/>
        <w:spacing w:after="0" w:line="242" w:lineRule="auto"/>
        <w:rPr>
          <w:sz w:val="20"/>
          <w:szCs w:val="20"/>
          <w:color w:val="auto"/>
        </w:rPr>
      </w:pPr>
      <w:r>
        <w:rPr>
          <w:rFonts w:ascii="Arial" w:cs="Arial" w:eastAsia="Arial" w:hAnsi="Arial"/>
          <w:sz w:val="20"/>
          <w:szCs w:val="20"/>
          <w:color w:val="auto"/>
        </w:rPr>
        <w:t>T</w:t>
      </w:r>
      <w:r>
        <w:rPr>
          <w:rFonts w:ascii="Arial" w:cs="Arial" w:eastAsia="Arial" w:hAnsi="Arial"/>
          <w:sz w:val="17"/>
          <w:szCs w:val="17"/>
          <w:color w:val="auto"/>
        </w:rPr>
        <w:t>he Company’s non-cancellable long-term commitments primarily related to certain inventory component purchases. The estimated future payments</w:t>
      </w:r>
      <w:r>
        <w:rPr>
          <w:rFonts w:ascii="Arial" w:cs="Arial" w:eastAsia="Arial" w:hAnsi="Arial"/>
          <w:sz w:val="20"/>
          <w:szCs w:val="20"/>
          <w:color w:val="auto"/>
        </w:rPr>
        <w:t xml:space="preserve"> </w:t>
      </w:r>
      <w:r>
        <w:rPr>
          <w:rFonts w:ascii="Arial" w:cs="Arial" w:eastAsia="Arial" w:hAnsi="Arial"/>
          <w:sz w:val="17"/>
          <w:szCs w:val="17"/>
          <w:color w:val="auto"/>
        </w:rPr>
        <w:t>having a remaining term in excess of one year as of September 30, 2022 was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ind w:right="77"/>
              <w:spacing w:after="0"/>
              <w:rPr>
                <w:sz w:val="20"/>
                <w:szCs w:val="20"/>
                <w:color w:val="auto"/>
              </w:rPr>
            </w:pPr>
            <w:r>
              <w:rPr>
                <w:rFonts w:ascii="Arial" w:cs="Arial" w:eastAsia="Arial" w:hAnsi="Arial"/>
                <w:sz w:val="14"/>
                <w:szCs w:val="14"/>
                <w:b w:val="1"/>
                <w:bCs w:val="1"/>
                <w:color w:val="auto"/>
                <w:w w:val="97"/>
              </w:rPr>
              <w:t>Minimum</w:t>
            </w:r>
          </w:p>
        </w:tc>
        <w:tc>
          <w:tcPr>
            <w:tcW w:w="0" w:type="dxa"/>
            <w:vAlign w:val="bottom"/>
          </w:tcPr>
          <w:p>
            <w:pPr>
              <w:spacing w:after="0"/>
              <w:rPr>
                <w:sz w:val="1"/>
                <w:szCs w:val="1"/>
                <w:color w:val="auto"/>
              </w:rPr>
            </w:pPr>
          </w:p>
        </w:tc>
      </w:tr>
      <w:tr>
        <w:trPr>
          <w:trHeight w:val="148"/>
        </w:trPr>
        <w:tc>
          <w:tcPr>
            <w:tcW w:w="9960" w:type="dxa"/>
            <w:vAlign w:val="bottom"/>
            <w:vMerge w:val="restart"/>
          </w:tcPr>
          <w:p>
            <w:pPr>
              <w:ind w:left="20"/>
              <w:spacing w:after="0"/>
              <w:rPr>
                <w:sz w:val="20"/>
                <w:szCs w:val="20"/>
                <w:color w:val="auto"/>
              </w:rPr>
            </w:pPr>
            <w:r>
              <w:rPr>
                <w:rFonts w:ascii="Arial" w:cs="Arial" w:eastAsia="Arial" w:hAnsi="Arial"/>
                <w:sz w:val="18"/>
                <w:szCs w:val="18"/>
                <w:color w:val="auto"/>
              </w:rPr>
              <w:t>Years ended December 31,</w:t>
            </w:r>
          </w:p>
        </w:tc>
        <w:tc>
          <w:tcPr>
            <w:tcW w:w="160" w:type="dxa"/>
            <w:vAlign w:val="bottom"/>
          </w:tcPr>
          <w:p>
            <w:pPr>
              <w:spacing w:after="0"/>
              <w:rPr>
                <w:sz w:val="12"/>
                <w:szCs w:val="12"/>
                <w:color w:val="auto"/>
              </w:rPr>
            </w:pPr>
          </w:p>
        </w:tc>
        <w:tc>
          <w:tcPr>
            <w:tcW w:w="11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98"/>
        </w:trPr>
        <w:tc>
          <w:tcPr>
            <w:tcW w:w="996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Commitment</w:t>
            </w:r>
          </w:p>
        </w:tc>
        <w:tc>
          <w:tcPr>
            <w:tcW w:w="0" w:type="dxa"/>
            <w:vAlign w:val="bottom"/>
          </w:tcPr>
          <w:p>
            <w:pPr>
              <w:spacing w:after="0"/>
              <w:rPr>
                <w:sz w:val="1"/>
                <w:szCs w:val="1"/>
                <w:color w:val="auto"/>
              </w:rPr>
            </w:pPr>
          </w:p>
        </w:tc>
      </w:tr>
      <w:tr>
        <w:trPr>
          <w:trHeight w:val="223"/>
        </w:trPr>
        <w:tc>
          <w:tcPr>
            <w:tcW w:w="9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(remainder of the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37,551</w:t>
            </w:r>
          </w:p>
        </w:tc>
        <w:tc>
          <w:tcPr>
            <w:tcW w:w="0" w:type="dxa"/>
            <w:vAlign w:val="bottom"/>
          </w:tcPr>
          <w:p>
            <w:pPr>
              <w:spacing w:after="0"/>
              <w:rPr>
                <w:sz w:val="1"/>
                <w:szCs w:val="1"/>
                <w:color w:val="auto"/>
              </w:rPr>
            </w:pPr>
          </w:p>
        </w:tc>
      </w:tr>
      <w:tr>
        <w:trPr>
          <w:trHeight w:val="230"/>
        </w:trPr>
        <w:tc>
          <w:tcPr>
            <w:tcW w:w="996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193,238</w:t>
            </w:r>
          </w:p>
        </w:tc>
        <w:tc>
          <w:tcPr>
            <w:tcW w:w="0" w:type="dxa"/>
            <w:vAlign w:val="bottom"/>
          </w:tcPr>
          <w:p>
            <w:pPr>
              <w:spacing w:after="0"/>
              <w:rPr>
                <w:sz w:val="1"/>
                <w:szCs w:val="1"/>
                <w:color w:val="auto"/>
              </w:rPr>
            </w:pPr>
          </w:p>
        </w:tc>
      </w:tr>
      <w:tr>
        <w:trPr>
          <w:trHeight w:val="229"/>
        </w:trPr>
        <w:tc>
          <w:tcPr>
            <w:tcW w:w="9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58,939</w:t>
            </w:r>
          </w:p>
        </w:tc>
        <w:tc>
          <w:tcPr>
            <w:tcW w:w="0" w:type="dxa"/>
            <w:vAlign w:val="bottom"/>
          </w:tcPr>
          <w:p>
            <w:pPr>
              <w:spacing w:after="0"/>
              <w:rPr>
                <w:sz w:val="1"/>
                <w:szCs w:val="1"/>
                <w:color w:val="auto"/>
              </w:rPr>
            </w:pPr>
          </w:p>
        </w:tc>
      </w:tr>
      <w:tr>
        <w:trPr>
          <w:trHeight w:val="230"/>
        </w:trPr>
        <w:tc>
          <w:tcPr>
            <w:tcW w:w="9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48"/>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291,179</w:t>
            </w:r>
          </w:p>
        </w:tc>
        <w:tc>
          <w:tcPr>
            <w:tcW w:w="0" w:type="dxa"/>
            <w:vAlign w:val="bottom"/>
          </w:tcPr>
          <w:p>
            <w:pPr>
              <w:spacing w:after="0"/>
              <w:rPr>
                <w:sz w:val="1"/>
                <w:szCs w:val="1"/>
                <w:color w:val="auto"/>
              </w:rPr>
            </w:pP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From time to time, the Company may become subject to legal proceedings, claims and litigation arising in the ordinary course of business. Some of these claims, lawsuits and other proceedings may involve highly complex issues that are subject to substantial uncertainties, and could result in damages, fines, penalties, non-monetary sanctions or relief.</w:t>
      </w:r>
    </w:p>
    <w:p>
      <w:pPr>
        <w:spacing w:after="0" w:line="18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Beginning on April 18, 2021, two individual actions and two putative class actions were filed in federal courts in Alabama, California, New Jersey and Indiana, asserting claims under the federal securities laws against the Company (f/k/a Churchill Capital Corp IV), its wholly 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In re CCIV / Lucid Motors Securities Litigation, Case No. 4:21-cv-09323-YGR (the “Consolidated Class Action”). On December 30, 2021, lead plaintiffs in the Consolidated Class Action filed a revised amended consolidated complaint (the “Complaint”), which asserts claims under Sections 10(b) and 20(a) of the Securities Exchange Act of 1934 on behalf of a putative class of shareholders who purchased stock in CCIV between February 5, 2021 and February 22, 2021. The Complaint names as defendants Lucid Motors and the Company’s chief executive officer, and generally alleges that, prior to the public announcement of the Merger, defendants purportedly made false or misleading statements regarding the expected start of production for the Lucid Air and related matters. The Complaint seeks certification of the action as a class action as well as compensatory damages, interest thereon, and attorneys’ fees and expenses. The Company moved to dismiss the Complaint on February 14, 2022. The Company believes that the plaintiffs’ claims are without merit and intends to defend itself vigorously, but the Company cannot ensure that defendants’ efforts to dismiss the Complaint will be successful or that it will avoid liability in these matters.</w:t>
      </w:r>
    </w:p>
    <w:p>
      <w:pPr>
        <w:sectPr>
          <w:pgSz w:w="11900" w:h="16838" w:orient="portrait"/>
          <w:cols w:equalWidth="0" w:num="1">
            <w:col w:w="11240"/>
          </w:cols>
          <w:pgMar w:left="320" w:top="989"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35" w:name="page36"/>
    <w:bookmarkEnd w:id="35"/>
    <w:p>
      <w:pPr>
        <w:ind w:right="200"/>
        <w:spacing w:after="0" w:line="263" w:lineRule="auto"/>
        <w:rPr>
          <w:sz w:val="20"/>
          <w:szCs w:val="20"/>
          <w:color w:val="auto"/>
        </w:rPr>
      </w:pPr>
      <w:r>
        <w:rPr>
          <w:rFonts w:ascii="Arial" w:cs="Arial" w:eastAsia="Arial" w:hAnsi="Arial"/>
          <w:sz w:val="18"/>
          <w:szCs w:val="18"/>
          <w:color w:val="auto"/>
        </w:rPr>
        <w:t>On December 3, 2021, the Company received a subpoena from the SEC requesting the production of certain documents related to an investigation by the SEC. Although there is no assurance as to the scope or outcome of this matter, the investigation appears to concern the Merger. The Company is cooperating fully with the SEC in its review.</w:t>
      </w:r>
    </w:p>
    <w:p>
      <w:pPr>
        <w:spacing w:after="0" w:line="18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In addition, two separate purported shareholders of the Company filed shareholder derivative actions, purportedly on behalf of the Company, against certain of the Company’s officers and directors in California federal court, captioned Sahr Lebbie v. Peter Rawlinson, et al., Case No. 4:22-cv-00531-YGR (N.D. Cal.) (filed on January 26, 2022) and </w:t>
      </w:r>
      <w:r>
        <w:rPr>
          <w:rFonts w:ascii="Arial" w:cs="Arial" w:eastAsia="Arial" w:hAnsi="Arial"/>
          <w:sz w:val="16"/>
          <w:szCs w:val="16"/>
          <w:i w:val="1"/>
          <w:iCs w:val="1"/>
          <w:color w:val="auto"/>
        </w:rPr>
        <w:t>Zsata Williams-Spinks v. Peter Rawlinson, et al.</w:t>
      </w:r>
      <w:r>
        <w:rPr>
          <w:rFonts w:ascii="Arial" w:cs="Arial" w:eastAsia="Arial" w:hAnsi="Arial"/>
          <w:sz w:val="16"/>
          <w:szCs w:val="16"/>
          <w:color w:val="auto"/>
        </w:rPr>
        <w:t>, Case No. 4:22-cv-01115-YGR (N.D. Cal.) (filed on February 23, 2022). The complaint also names the Company as a nominal defendant. Based on allegations that are similar to those in the Consolidated Class Action, the Lebbie complaint asserts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and the Williams-Spinks complaint asserts claims for breach of fiduciary duty, gross mismanagement, abuse of control, unjust enrichment, contribution under Sections 10(b) and 21D of the Exchange Act, and aiding and abetting breach of fiduciary duty in connection with the Consolidated Class Action. The complaints seek compensatory damages, interest thereon, certain corporate governance reforms, and attorneys’ fees and expenses. The Company is advancing defendants’ fees and expenses incurred in their defense of the actions.</w:t>
      </w:r>
    </w:p>
    <w:p>
      <w:pPr>
        <w:spacing w:after="0" w:line="16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On April 1, 2022 and May 31, 2022, two alleged shareholders filed putative class actions under the federal securities laws against Lucid Group, Inc. and certain officers of the Company relating to alleged statements, updated projections and guidance provided in the late 2021 to early 2022 timeframe. The complaints, which were filed in the Northern District of California, are captioned </w:t>
      </w:r>
      <w:r>
        <w:rPr>
          <w:rFonts w:ascii="Arial" w:cs="Arial" w:eastAsia="Arial" w:hAnsi="Arial"/>
          <w:sz w:val="16"/>
          <w:szCs w:val="16"/>
          <w:i w:val="1"/>
          <w:iCs w:val="1"/>
          <w:color w:val="auto"/>
        </w:rPr>
        <w:t>Victor W. Mangino v. Lucid Group, Inc., et al.</w:t>
      </w:r>
      <w:r>
        <w:rPr>
          <w:rFonts w:ascii="Arial" w:cs="Arial" w:eastAsia="Arial" w:hAnsi="Arial"/>
          <w:sz w:val="16"/>
          <w:szCs w:val="16"/>
          <w:color w:val="auto"/>
        </w:rPr>
        <w:t xml:space="preserve">, Case No. 3:22-cv-02094-JD, and </w:t>
      </w:r>
      <w:r>
        <w:rPr>
          <w:rFonts w:ascii="Arial" w:cs="Arial" w:eastAsia="Arial" w:hAnsi="Arial"/>
          <w:sz w:val="16"/>
          <w:szCs w:val="16"/>
          <w:i w:val="1"/>
          <w:iCs w:val="1"/>
          <w:color w:val="auto"/>
        </w:rPr>
        <w:t>Anant Goel v. Lucid Group, Inc., et al.</w:t>
      </w:r>
      <w:r>
        <w:rPr>
          <w:rFonts w:ascii="Arial" w:cs="Arial" w:eastAsia="Arial" w:hAnsi="Arial"/>
          <w:sz w:val="16"/>
          <w:szCs w:val="16"/>
          <w:color w:val="auto"/>
        </w:rPr>
        <w:t xml:space="preserve">, Case No. 3:22-cv-03176-JD. The two matters were consolidated into one action, entitled </w:t>
      </w:r>
      <w:r>
        <w:rPr>
          <w:rFonts w:ascii="Arial" w:cs="Arial" w:eastAsia="Arial" w:hAnsi="Arial"/>
          <w:sz w:val="16"/>
          <w:szCs w:val="16"/>
          <w:i w:val="1"/>
          <w:iCs w:val="1"/>
          <w:color w:val="auto"/>
        </w:rPr>
        <w:t>In re Lucid Group,</w:t>
      </w:r>
      <w:r>
        <w:rPr>
          <w:rFonts w:ascii="Arial" w:cs="Arial" w:eastAsia="Arial" w:hAnsi="Arial"/>
          <w:sz w:val="16"/>
          <w:szCs w:val="16"/>
          <w:color w:val="auto"/>
        </w:rPr>
        <w:t xml:space="preserve"> </w:t>
      </w:r>
      <w:r>
        <w:rPr>
          <w:rFonts w:ascii="Arial" w:cs="Arial" w:eastAsia="Arial" w:hAnsi="Arial"/>
          <w:sz w:val="16"/>
          <w:szCs w:val="16"/>
          <w:i w:val="1"/>
          <w:iCs w:val="1"/>
          <w:color w:val="auto"/>
        </w:rPr>
        <w:t>Inc. Securities Litigation</w:t>
      </w:r>
      <w:r>
        <w:rPr>
          <w:rFonts w:ascii="Arial" w:cs="Arial" w:eastAsia="Arial" w:hAnsi="Arial"/>
          <w:sz w:val="16"/>
          <w:szCs w:val="16"/>
          <w:color w:val="auto"/>
        </w:rPr>
        <w:t>, Case No. 22-cv-02094-JD. The complaints name as defendants Lucid Group, Inc. and the Company’s chief executive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chief financial officer, and generally allege that defendants purportedly made false or misleading statements regarding delivery and revenue projections and related matters. The complaints in these actions seek certification of the actions as class actions, as well as compensatory damages, interest thereon, and attorneys’ fees and expenses. The Company believes that the plaintiffs’ claims are without merit and intends to defend itself vigorously, but the Company cannot ensure that defendants’ efforts to dismiss the complaint will be successful or that it will avoid liability in these matters.</w:t>
      </w:r>
    </w:p>
    <w:p>
      <w:pPr>
        <w:spacing w:after="0" w:line="16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addition, on July 11, 2022, a purported shareholder of the Company filed a shareholder derivative action, purportedly on behalf of the Company, against certain of the Company’s officers and directors in California state court, captioned </w:t>
      </w:r>
      <w:r>
        <w:rPr>
          <w:rFonts w:ascii="Arial" w:cs="Arial" w:eastAsia="Arial" w:hAnsi="Arial"/>
          <w:sz w:val="17"/>
          <w:szCs w:val="17"/>
          <w:i w:val="1"/>
          <w:iCs w:val="1"/>
          <w:color w:val="auto"/>
        </w:rPr>
        <w:t>Floyd Taylor v. Glenn August, et al.</w:t>
      </w:r>
      <w:r>
        <w:rPr>
          <w:rFonts w:ascii="Arial" w:cs="Arial" w:eastAsia="Arial" w:hAnsi="Arial"/>
          <w:sz w:val="17"/>
          <w:szCs w:val="17"/>
          <w:color w:val="auto"/>
        </w:rPr>
        <w:t xml:space="preserve">, Superior Court, Alameda County, Case No. 22CV014130. The complaint also names the Company as a nominal defendant. Based on allegations that are similar to those in the </w:t>
      </w:r>
      <w:r>
        <w:rPr>
          <w:rFonts w:ascii="Arial" w:cs="Arial" w:eastAsia="Arial" w:hAnsi="Arial"/>
          <w:sz w:val="17"/>
          <w:szCs w:val="17"/>
          <w:i w:val="1"/>
          <w:iCs w:val="1"/>
          <w:color w:val="auto"/>
        </w:rPr>
        <w:t>In re Lucid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Group, Inc. Securities Litigation </w:t>
      </w:r>
      <w:r>
        <w:rPr>
          <w:rFonts w:ascii="Arial" w:cs="Arial" w:eastAsia="Arial" w:hAnsi="Arial"/>
          <w:sz w:val="17"/>
          <w:szCs w:val="17"/>
          <w:color w:val="auto"/>
        </w:rPr>
        <w:t>action, the</w:t>
      </w:r>
      <w:r>
        <w:rPr>
          <w:rFonts w:ascii="Arial" w:cs="Arial" w:eastAsia="Arial" w:hAnsi="Arial"/>
          <w:sz w:val="17"/>
          <w:szCs w:val="17"/>
          <w:i w:val="1"/>
          <w:iCs w:val="1"/>
          <w:color w:val="auto"/>
        </w:rPr>
        <w:t xml:space="preserve"> Taylor </w:t>
      </w:r>
      <w:r>
        <w:rPr>
          <w:rFonts w:ascii="Arial" w:cs="Arial" w:eastAsia="Arial" w:hAnsi="Arial"/>
          <w:sz w:val="17"/>
          <w:szCs w:val="17"/>
          <w:color w:val="auto"/>
        </w:rPr>
        <w:t>complaint asserts claims for breach of fiduciary duty, unjust enrichment, waste of corporate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aiding and abetting breach of fiduciary duty. The complaint seeks compensatory damages, punitive damages, interest, and attorneys’ fees and expenses. The Company is advancing defendants’ fees and expenses incurred in their defense of the actions.</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At this time, the Company does not consider any such claims, lawsuits or proceedings that are currently pending, individually or in the aggregate, including the matters referenced above, to be material to the Company’s business or likely to result in a material adverse effect on its future operating results, financial condition or cash flows should such proceedings be resolved unfavorably.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customers, vendors, investors, directors, and officers with respect to certain matters, including, but not limited to, losses arising out of our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letters of credit and surety bond primarily used as security against facility leases and utilities infrastructure in the amount of $51.4 million and $30.4 million as of September 30, 2022 and December 31, 2021, respectively, for which no liabilities are recorded on the condensed consolidated balance sheets.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NOTE 16 - 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 xml:space="preserve">The Company's provision from income taxes for interim periods is determined using its effective tax rate that </w:t>
      </w:r>
      <w:r>
        <w:rPr>
          <w:rFonts w:ascii="Arial" w:cs="Arial" w:eastAsia="Arial" w:hAnsi="Arial"/>
          <w:sz w:val="18"/>
          <w:szCs w:val="18"/>
          <w:color w:val="000000"/>
        </w:rPr>
        <w:t>arise during the period. The Company's</w:t>
      </w:r>
      <w:r>
        <w:rPr>
          <w:rFonts w:ascii="Arial" w:cs="Arial" w:eastAsia="Arial" w:hAnsi="Arial"/>
          <w:sz w:val="18"/>
          <w:szCs w:val="18"/>
          <w:color w:val="231F20"/>
        </w:rPr>
        <w:t xml:space="preserve"> </w:t>
      </w:r>
      <w:r>
        <w:rPr>
          <w:rFonts w:ascii="Arial" w:cs="Arial" w:eastAsia="Arial" w:hAnsi="Arial"/>
          <w:sz w:val="18"/>
          <w:szCs w:val="18"/>
          <w:color w:val="000000"/>
        </w:rPr>
        <w:t>quarterly tax provision is subject to variation due to several factors, including variability in pre-tax income (or loss), the mix of jurisdictions to which such income relates, changes in how the Company does business, and tax law developments.</w:t>
      </w:r>
    </w:p>
    <w:p>
      <w:pPr>
        <w:spacing w:after="0" w:line="1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effective tax rate for the three and nine months ended September 30, 2022 and the same periods in the prior year differs from the U.S. statutory rate of 21% as a result of our U.S. losses for which no benefit will be realized, as well as state taxes and our foreign operations which are subject to tax rates that differ from those in the United States. Income tax provision was $0.1 million and $0.5 million, respectively, for the three and nine months ended September 30, 2022, and immaterial for the same periods in the prior year. The increase in the income tax provision was driven by the increased activities in foreign jurisdictions. This resulted in an effective tax rate of 0.0% and (0.1)%, respectively, for the three and nine months ended September 30, 2022, and 0.0% for the same periods in the prior year.</w:t>
      </w:r>
    </w:p>
    <w:p>
      <w:pPr>
        <w:spacing w:after="0" w:line="192"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There were no material changes to the Company’s unrecognized tax benefits during the three and nine months ended September 30, 2022, and the Company does not expect to have any significant changes to unrecognized tax benefits through the end of the fiscal year.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NET LOSS PER SHARE</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weighted-average number of shares of common stock outstanding prior to the Merger have been retroactively adjusted by the Exchange Ratio to give effect to the reverse recapitalization treatment of the Merger. Shares of common stock issued as a result of the conversion of Legacy Lucid convertible preferred stock in connection with the Closing have been included in the basic net loss per share calculation on a prospective basis.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net loss per share attributable to common stockholders are calculated as follows (in thousands, except share and per share amounts):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50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
        </w:trPr>
        <w:tc>
          <w:tcPr>
            <w:tcW w:w="5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(831,812)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(1,534,081)</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w w:val="91"/>
              </w:rPr>
              <w:t>Deemed dividend related to the issuance of Series E convertible preferred stock</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(2,167,332)</w:t>
            </w:r>
          </w:p>
        </w:tc>
        <w:tc>
          <w:tcPr>
            <w:tcW w:w="0" w:type="dxa"/>
            <w:vAlign w:val="bottom"/>
          </w:tcPr>
          <w:p>
            <w:pPr>
              <w:spacing w:after="0"/>
              <w:rPr>
                <w:sz w:val="1"/>
                <w:szCs w:val="1"/>
                <w:color w:val="auto"/>
              </w:rPr>
            </w:pPr>
          </w:p>
        </w:tc>
      </w:tr>
      <w:tr>
        <w:trPr>
          <w:trHeight w:val="248"/>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common stockholders, basic</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(530,101)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(831,812)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(3,701,413)</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Change in fair value of dilutive warrants</w:t>
            </w: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60" w:type="dxa"/>
            <w:vAlign w:val="bottom"/>
            <w:tcBorders>
              <w:top w:val="single" w:sz="8" w:color="CCEEFF"/>
              <w:bottom w:val="single" w:sz="8" w:color="CCEEFF"/>
            </w:tcBorders>
            <w:vMerge w:val="continue"/>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(140,146)</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(998,319)</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common stockholders,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(670,247)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(524,403)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(1,830,131)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(3,701,413)</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 basic</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1,676,048,504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1,217,032,285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1,666,693,217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432,654,607</w:t>
            </w:r>
          </w:p>
        </w:tc>
        <w:tc>
          <w:tcPr>
            <w:tcW w:w="0" w:type="dxa"/>
            <w:vAlign w:val="bottom"/>
          </w:tcPr>
          <w:p>
            <w:pPr>
              <w:spacing w:after="0"/>
              <w:rPr>
                <w:sz w:val="1"/>
                <w:szCs w:val="1"/>
                <w:color w:val="auto"/>
              </w:rPr>
            </w:pPr>
          </w:p>
        </w:tc>
      </w:tr>
      <w:tr>
        <w:trPr>
          <w:trHeight w:val="257"/>
        </w:trPr>
        <w:tc>
          <w:tcPr>
            <w:tcW w:w="5860" w:type="dxa"/>
            <w:vAlign w:val="bottom"/>
          </w:tcPr>
          <w:p>
            <w:pPr>
              <w:ind w:left="20"/>
              <w:spacing w:after="0"/>
              <w:rPr>
                <w:sz w:val="20"/>
                <w:szCs w:val="20"/>
                <w:color w:val="auto"/>
              </w:rPr>
            </w:pPr>
            <w:r>
              <w:rPr>
                <w:rFonts w:ascii="Arial" w:cs="Arial" w:eastAsia="Arial" w:hAnsi="Arial"/>
                <w:sz w:val="18"/>
                <w:szCs w:val="18"/>
                <w:color w:val="auto"/>
              </w:rPr>
              <w:t>Private Placement Warrants using the treasury stock method</w:t>
            </w: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14,915,044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19,883,372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 diluted</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1,690,963,548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1,217,032,285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1,686,576,589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432,654,607</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per share: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because including them would have had an anti-dilutive effect: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700" w:type="dxa"/>
            <w:vAlign w:val="bottom"/>
            <w:gridSpan w:val="3"/>
          </w:tcPr>
          <w:p>
            <w:pPr>
              <w:jc w:val="right"/>
              <w:ind w:right="83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5"/>
        </w:trPr>
        <w:tc>
          <w:tcPr>
            <w:tcW w:w="4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Excluded Securities</w:t>
            </w:r>
          </w:p>
        </w:tc>
        <w:tc>
          <w:tcPr>
            <w:tcW w:w="39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5140" w:type="dxa"/>
            <w:vAlign w:val="bottom"/>
            <w:gridSpan w:val="2"/>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8"/>
                <w:szCs w:val="18"/>
                <w:color w:val="auto"/>
              </w:rPr>
            </w:pPr>
          </w:p>
        </w:tc>
        <w:tc>
          <w:tcPr>
            <w:tcW w:w="140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Private warrants to purchase common stock</w:t>
            </w:r>
          </w:p>
        </w:tc>
        <w:tc>
          <w:tcPr>
            <w:tcW w:w="39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34,494,445</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Public warrants to purchase common stock</w:t>
            </w:r>
          </w:p>
        </w:tc>
        <w:tc>
          <w:tcPr>
            <w:tcW w:w="39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9,317,468</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outstanding to purchase common stock</w:t>
            </w:r>
          </w:p>
        </w:tc>
        <w:tc>
          <w:tcPr>
            <w:tcW w:w="5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43,132,157</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67,013,622</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RSUs outstanding</w:t>
            </w:r>
          </w:p>
        </w:tc>
        <w:tc>
          <w:tcPr>
            <w:tcW w:w="5140" w:type="dxa"/>
            <w:vAlign w:val="bottom"/>
            <w:gridSpan w:val="2"/>
          </w:tcPr>
          <w:p>
            <w:pPr>
              <w:jc w:val="right"/>
              <w:spacing w:after="0"/>
              <w:rPr>
                <w:sz w:val="20"/>
                <w:szCs w:val="20"/>
                <w:color w:val="auto"/>
              </w:rPr>
            </w:pPr>
            <w:r>
              <w:rPr>
                <w:rFonts w:ascii="Arial" w:cs="Arial" w:eastAsia="Arial" w:hAnsi="Arial"/>
                <w:sz w:val="18"/>
                <w:szCs w:val="18"/>
                <w:color w:val="auto"/>
              </w:rPr>
              <w:t>37,300,903</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27,158,866</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5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5,068,423</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If-converted common shares from convertible note</w:t>
            </w:r>
          </w:p>
        </w:tc>
        <w:tc>
          <w:tcPr>
            <w:tcW w:w="5140" w:type="dxa"/>
            <w:vAlign w:val="bottom"/>
            <w:gridSpan w:val="2"/>
          </w:tcPr>
          <w:p>
            <w:pPr>
              <w:jc w:val="right"/>
              <w:spacing w:after="0"/>
              <w:rPr>
                <w:sz w:val="20"/>
                <w:szCs w:val="20"/>
                <w:color w:val="auto"/>
              </w:rPr>
            </w:pPr>
            <w:r>
              <w:rPr>
                <w:rFonts w:ascii="Arial" w:cs="Arial" w:eastAsia="Arial" w:hAnsi="Arial"/>
                <w:sz w:val="18"/>
                <w:szCs w:val="18"/>
                <w:color w:val="auto"/>
              </w:rPr>
              <w:t>36,737,785</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9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122,239,268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137,984,401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bottom w:val="single" w:sz="8" w:color="CCEEFF"/>
            </w:tcBorders>
            <w:vMerge w:val="restart"/>
          </w:tcPr>
          <w:p>
            <w:pPr>
              <w:jc w:val="right"/>
              <w:ind w:right="2733"/>
              <w:spacing w:after="0"/>
              <w:rPr>
                <w:sz w:val="20"/>
                <w:szCs w:val="20"/>
                <w:color w:val="auto"/>
              </w:rPr>
            </w:pPr>
            <w:r>
              <w:rPr>
                <w:rFonts w:ascii="Arial" w:cs="Arial" w:eastAsia="Arial" w:hAnsi="Arial"/>
                <w:sz w:val="18"/>
                <w:szCs w:val="18"/>
                <w:color w:val="auto"/>
              </w:rPr>
              <w:t>37</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62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20" w:type="dxa"/>
            <w:vAlign w:val="bottom"/>
            <w:tcBorders>
              <w:bottom w:val="single" w:sz="8" w:color="9A9A9A"/>
            </w:tcBorders>
          </w:tcPr>
          <w:p>
            <w:pPr>
              <w:spacing w:after="0"/>
              <w:rPr>
                <w:sz w:val="11"/>
                <w:szCs w:val="11"/>
                <w:color w:val="auto"/>
              </w:rPr>
            </w:pPr>
          </w:p>
        </w:tc>
        <w:tc>
          <w:tcPr>
            <w:tcW w:w="392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7" w:name="page38"/>
    <w:bookmarkEnd w:id="37"/>
    <w:p>
      <w:pPr>
        <w:jc w:val="both"/>
        <w:spacing w:after="0" w:line="257" w:lineRule="auto"/>
        <w:rPr>
          <w:sz w:val="20"/>
          <w:szCs w:val="20"/>
          <w:color w:val="auto"/>
        </w:rPr>
      </w:pPr>
      <w:r>
        <w:rPr>
          <w:rFonts w:ascii="Arial" w:cs="Arial" w:eastAsia="Arial" w:hAnsi="Arial"/>
          <w:sz w:val="18"/>
          <w:szCs w:val="18"/>
          <w:color w:val="auto"/>
        </w:rPr>
        <w:t>The 2,090,140 and 16,024,411 shares of common stock equivalents subject to RSUs are excluded from the anti-dilutive table above as the underlying shares remain contingently issuable since the market conditions have not been satisfied as of September 30, 2022 and 2021, respectively. The 11,500,000 shares and 9,855,555 shares of common stock equivalents subject to the remaining Sponsor Earnback Shares and Sponsor Earnback Warrants, respectively, are excluded from the anti-dilutive table above as of September 30, 2021 as the underlying shares remain contingently issuable as the earnback triggering events had not yet been satisfied.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EMPLOYEE BENEFIT PLAN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Company made no matching contribution to the 401(k) Plan for the three and nine months ended September 30, 2022 and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Investment Fund Internship Agreement</w:t>
      </w:r>
    </w:p>
    <w:p>
      <w:pPr>
        <w:spacing w:after="0" w:line="22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July 2021, we entered into an agreement with PIF, which is an affiliate of Ayar, to implement a recruitment and talent development program pursuant to which we agreed to evaluate, employ and train participants nominated by PIF during six-month internships, and PIF agreed to reimburse us for expenses related to participant wages, visa fees, medical insurance, airfare and housing incurred by us. We expect to be reimbursed by PIF in an aggregate of approximately $1 million in 2022 for such expenses. The expenses incurred under the agreement were $0.3 million and $1.0 million, respectively, for the three and nine months ended September 30, 2022, and nil for the same periods in the prior year.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Services Contract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December 2021, we entered into an agreement with The Klein Group, LLC (“Klein”), an affiliate of Churchill Sponsor IV LLC who owns more than 5% of our common stock. Pursuant to the agreement, Klein will provide strategic advice and assistance in connection with capital markets and other strategic matters. The cost incurred under the agreement was $0.4 million and $1.0 million for the three and nine months ended September 30, 2022, and nil for the same periods in the prior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February 2022, we entered into a lease agreement with KAEC, a related party of PIF, which is an affiliate of Ayar, for our first international manufacturing plant in the Kingdom of Saudi Arabia. The lease has an initial term of 25 years expiring in Year 2047. As of September 30, 2022, the right-of-use assets and lease liabilities related to this lease were $4.9 million and $5.3 million, respectively. The lease expense recorded during the three and nine months ended September 30, 2022 was immaterial.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SIDF Loan Agreement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February 2022, Lucid LLC entered into the SIDF Loan Agreement with the SIDF, a related party of PIF, which is an affiliate of Ayar. Under the SIDF Loan Agreement, SIDF has committed to provide the SIDF Loans to Lucid LLC in an aggregate principal amount of up to SAR 5.19 billion (approximately $1.4 billion); provided that SIDF may reduce the availability of SIDF Loans under the facility in certain circumstances. See Note 6 “Debt” for more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Ministry of Investment of Saudi Arabia </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MISA”) Agreements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February 2022, Lucid LLC entered into agreements with MISA, a related party of PIF, which is an affiliate of Ayar, pursuant to which MISA has agreed to provide economic support for certain capital expenditures in connection with Lucid LLC’s on-going design and construction of AMP-2. The support by MISA are subject to Lucid LLC’s completion of certain milestones related to the construction and operation of AMP-2. Following the commencement of construction, if operations at the plant do not commence within 30 months, or if the agreed scope of operations is not attained within 55 months, MISA may suspend availability of subsequent support.</w:t>
      </w:r>
    </w:p>
    <w:p>
      <w:pPr>
        <w:spacing w:after="0" w:line="18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Pursuant to the agreement, MISA has the right to require Lucid LLC to transfer the ownership of AMP-2 to MISA, at the fair market value thereof, minus an amortized value of the support provided in the event of customary events of default including abandonment or material and chronic low utilization of AMP-2. Alternatively, Lucid LLC is entitled to avoid the transfer of the ownership of AMP-2 by electing to pay such amortized value. The agreements will terminate on the fifteenth anniversary of the commencement of completely-built-up (“CBU”) operations at AMP-2 at the latest.</w:t>
      </w:r>
    </w:p>
    <w:p>
      <w:pPr>
        <w:sectPr>
          <w:pgSz w:w="11900" w:h="16838" w:orient="portrait"/>
          <w:cols w:equalWidth="0" w:num="1">
            <w:col w:w="11240"/>
          </w:cols>
          <w:pgMar w:left="320" w:top="989" w:right="33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38" w:name="page39"/>
    <w:bookmarkEnd w:id="38"/>
    <w:p>
      <w:pPr>
        <w:ind w:right="80"/>
        <w:spacing w:after="0" w:line="301" w:lineRule="auto"/>
        <w:rPr>
          <w:sz w:val="20"/>
          <w:szCs w:val="20"/>
          <w:color w:val="auto"/>
        </w:rPr>
      </w:pPr>
      <w:r>
        <w:rPr>
          <w:rFonts w:ascii="Arial" w:cs="Arial" w:eastAsia="Arial" w:hAnsi="Arial"/>
          <w:sz w:val="16"/>
          <w:szCs w:val="16"/>
          <w:color w:val="auto"/>
        </w:rPr>
        <w:t>During the three and nine months ended September 30, 2022, the Company received support of SAR 366 million (approximately $97.3 million) in cash, of which $70.7 million was recorded as deferred liability within other long-term liabilities and $26.6 million was recorded as a deduction in calculating the carrying amount of the related assets on the condensed consolidated balance sheet. There are no unfulfilled conditions and contingencies attached to the payments received. Payment receipts are classified as investing cash inflows on the condensed consolidated statements of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2424"/>
        </w:rPr>
        <w:t>GIB Facility Agreement</w:t>
      </w:r>
    </w:p>
    <w:p>
      <w:pPr>
        <w:spacing w:after="0" w:line="2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In April 2022, Lucid LLC entered into the GIB Facility Agreement with GIB. GIB is a related party of PIF, which is an affiliate of Ayar. The GIB Facility Agreement provides for two committed revolving credit facilities in an aggregate principal amount of SAR 1 billion (approximately $266.2 million). See Note 6 “Debt” for more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November 8, 2022, the Company entered into an Equity Distribution Agreement (the “Equity Distribution Agreement”) with BofA Securities, Inc., Barclays Capital Inc. and Citigroup Global Markets Inc. (collectively, the “Managers”), under which the Company may offer and sell, from time to time, shares of its common stock having an aggregate offering price up to $600 million. Subject to the terms and conditions of the Equity Distribution Agreement, the Managers may sell the shares by any method permitted by law including, without limitation, in ordinary brokers’ transactions, to or through a market maker, in privately negotiated transactions, in block trades, in transactions that are deemed to be “at the market offerings” as defined in Rule 415 under the Securities Act or through a combination of any such methods of sale. The Equity Distribution Agreement will terminate on the earlier of September 1, 2025, its termination by the parties pursuant to the terms of the Equity Distribution Agreement, or the issuance and sale of all of the shares through any Manager pursuant to the terms under the Equity Distribution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6"/>
          <w:szCs w:val="16"/>
          <w:color w:val="auto"/>
        </w:rPr>
        <w:t>In addition, on November 8, 2022, the Company entered into a Subscription Agreement (the “Subscription Agreement”) with Ayar, pursuant to which Ayar has agreed to purchase from the Company, subject to certain conditions, up to $915 million (the “Maximum Investment Amount”) of shares of its common</w:t>
      </w:r>
    </w:p>
    <w:p>
      <w:pPr>
        <w:spacing w:after="0" w:line="287" w:lineRule="auto"/>
        <w:rPr>
          <w:sz w:val="20"/>
          <w:szCs w:val="20"/>
          <w:color w:val="auto"/>
        </w:rPr>
      </w:pPr>
      <w:r>
        <w:rPr>
          <w:rFonts w:ascii="Arial" w:cs="Arial" w:eastAsia="Arial" w:hAnsi="Arial"/>
          <w:sz w:val="16"/>
          <w:szCs w:val="16"/>
          <w:color w:val="auto"/>
        </w:rPr>
        <w:t>stock in one or more private placements through March 31, 2023 (the “Ayar Investment”). The number of shares that Ayar will purchase from the Company in the Ayar Investment will be equal to the number of shares of its common stock that the Company actually sells pursuant to the Equity Distribution Agreement, multiplied by a ratio, the numerator of which is approximately 60.4%, which is the number of shares of its common stock owned by Ayar as a percentage of the total number of shares of its common stock outstanding as of September 30, 2022, and the denominator of which is approximately 39.6%, rounded down to the nearest whole share. The Company will settle the Ayar Investment on the last trading day of each calendar quarter based on the number of shares that are actually sold pursuant to the Equity Distribution Agreement during such calendar quarter, at a price per share equal to the weighted average price to the public of the shares that are actually sold pursuant to the Equity Distribution Agreement during such calendar quarter. In addition, Ayar will have the right, but not the obligation, to enter into a subscription agreement substantially on the terms and subject to the conditions set forth in the Subscription Agreement in respect of any increase to the maximum offering amount under the Equity Distribution Agreement and/or any new at-the-market offering of the Company’s common stock made or commenced, respectively, during the term of the Subscription Agreement. The Subscription Agreement will terminate automatically upon the earlier of March 31, 2023, the date upon which the Company has sold to Ayar shares for an aggregate purchase price equal to the Maximum Investment Amount, or its termination by the parties pursuant to the terms of the Subscription Agreement.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related notes included elsewhere in this Quarterly Report on Form 10-Q and our Annual Report on Form 10-K for the year ended December 31, 2021, filed with the SEC on February 28, 2022. This discussion may contain forward-looking statements based upon Lucid’s current expectation, estimates and projections that involve risks and uncertainties. Our actual results could differ materially from those anticipated in these forward-looking statements as a result of various factors, including those set forth under “Risk Factors”, in Part II, Item 1A of this Quarterly Report.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are a technology and automotive company with a mission to inspire the adoption of sustainable energy by creating advanced technologies and the most captivating luxury electric vehicles, centered around the human experience. Our focus on in-house technological innovation, vertical integration, and a “clean sheet” approach to engineering and design have led to the development of our groundbreaking electric vehicle, the Lucid Air.</w:t>
      </w:r>
    </w:p>
    <w:p>
      <w:pPr>
        <w:spacing w:after="0" w:line="14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sell vehicles directly to consumers through our retail sales network and through direct online sales. We believe that owning our sales network provides an opportunity to closely manage the customer experience, gather direct customer feedback, and ensure that customer interactions are on-brand and tailored to our customers’ need. We also operate an in-house vehicle service network, with brick-and-mortar service centers in various geographies and a mobile service fleet. In addition to our in-house service capabilities, we established and continue to grow an approved list of specially trained collision repair shops which also serve as a repair hub for our mobile service offerings in some cases.</w:t>
      </w:r>
    </w:p>
    <w:p>
      <w:pPr>
        <w:spacing w:after="0" w:line="17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began delivering the Lucid Air to customers in October 2021. We expect to launch additional vehicles over the coming decade. We have already commenced design and engineering work for Project Gravity, a luxury SUV that is expected to leverage and expand the technological advancements from the Lucid Air. We expect to begin production of Project Gravity in 2024. After the Lucid Air and Project Gravity, we plan to leverage and expand our technological and manufacturing advancements to develop and manufacture progressively more affordable vehicles in higher volumes. We further believe that our battery systems expertise positions us to produce compelling stationary energy storage system (“ESS”) products. ESS is a technologically adjacent opportunity which can leverage the modular design of our battery packs and our extensive experience with battery pack and battery management systems.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November 8, 2022, the Company entered into an Equity Distribution Agreement (the “Equity Distribution Agreement”) with BofA Securities, Inc., Barclays Capital Inc. and Citigroup Global Markets Inc. (collectively, the “Managers”), under which the Company may offer and sell, from time to time, shares of its common stock having an aggregate offering price up to $600 million. Subject to the terms and conditions of the Equity Distribution Agreement, the Managers may sell the shares by any method permitted by law including, without limitation, in ordinary brokers’ transactions, to or through a market maker, in privately negotiated transactions, in block trades, in transactions that are deemed to be “at the market offerings” as defined in Rule 415 under the Securities Act or through a combination of any such methods of sale. The Equity Distribution Agreement will terminate on the earlier of September 1, 2025, its termination by the parties pursuant to the terms of the Equity Distribution Agreement, or the issuance and sale of all of the shares through any Manager pursuant to the terms under the Equity Distribution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6"/>
          <w:szCs w:val="16"/>
          <w:color w:val="auto"/>
        </w:rPr>
        <w:t>In addition, on November 8, 2022, the Company entered into a Subscription Agreement (the “Subscription Agreement”) with Ayar, pursuant to which Ayar has agreed to purchase from the Company, subject to certain conditions, up to $915 million (the “Maximum Investment Amount”) of shares of its common</w:t>
      </w:r>
    </w:p>
    <w:p>
      <w:pPr>
        <w:spacing w:after="0" w:line="253" w:lineRule="auto"/>
        <w:rPr>
          <w:sz w:val="20"/>
          <w:szCs w:val="20"/>
          <w:color w:val="auto"/>
        </w:rPr>
      </w:pPr>
      <w:r>
        <w:rPr>
          <w:rFonts w:ascii="Arial" w:cs="Arial" w:eastAsia="Arial" w:hAnsi="Arial"/>
          <w:sz w:val="18"/>
          <w:szCs w:val="18"/>
          <w:color w:val="auto"/>
        </w:rPr>
        <w:t>stock in one or more private placements through March 31, 2023 (the “Ayar Investment”). The number of shares that Ayar will purchase from the Company in the Ayar Investment will be equal to the number of shares of its common stock that the Company actually sells pursuant to the Equity Distribution Agreement, multiplied by a ratio, the numerator of which is approximately 60.4%, which is the number of shares of its common stock owned by Ayar as a percentage of the total number of shares of its common stock outstanding as of September 30, 2022, and the denominator of which is approximately 39.6%, rounded down to the nearest whole share. The Company will settle the Ayar Investment on the last trading day of each calendar quarter based on the number of shares that are actually sold pursuant to the Equity Distribution Agreement during such calendar quarter, at a price per share equal to the weighted average price to the public of the shares that are actually sold pursuant to the Equity Distribution Agreement during such calendar quarter. In addition, Ayar will have the right, but not the obligation, to enter into a subscription agreement substantially on the terms and subject to the conditions set forth in the Subscription Agreement in respect of any increase to the maximum offering amount under the Equity Distribution Agreement and/or any new at-the-market</w:t>
      </w:r>
    </w:p>
    <w:p>
      <w:pPr>
        <w:sectPr>
          <w:pgSz w:w="11900" w:h="16838" w:orient="portrait"/>
          <w:cols w:equalWidth="0" w:num="1">
            <w:col w:w="11240"/>
          </w:cols>
          <w:pgMar w:left="320" w:top="985" w:right="339" w:bottom="1440" w:gutter="0" w:footer="0" w:header="0"/>
        </w:sect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40" w:name="page41"/>
    <w:bookmarkEnd w:id="40"/>
    <w:p>
      <w:pPr>
        <w:jc w:val="both"/>
        <w:ind w:right="100"/>
        <w:spacing w:after="0" w:line="311" w:lineRule="auto"/>
        <w:rPr>
          <w:sz w:val="20"/>
          <w:szCs w:val="20"/>
          <w:color w:val="auto"/>
        </w:rPr>
      </w:pPr>
      <w:r>
        <w:rPr>
          <w:rFonts w:ascii="Arial" w:cs="Arial" w:eastAsia="Arial" w:hAnsi="Arial"/>
          <w:sz w:val="16"/>
          <w:szCs w:val="16"/>
          <w:color w:val="auto"/>
        </w:rPr>
        <w:t>offering of the Company’s common stock made or commenced, respectively, during the term of the Subscription Agreement. The Subscription Agreement will terminate automatically upon the earlier of March 31, 2023, the date upon which the Company has sold to Ayar shares for an aggregate purchase price equal to the Maximum Investment Amount, or its termination by the parties pursuant to the terms of the Subscription Agreement.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Impact of an Economic Downturn on our Business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A global economic recession or other downturn, whether due to inflation, ongoing conflict in Ukraine or other geopolitical events, COVID-19 or other public health crises, interest rate increases or other policy actions by major central banks, or other factors, may have an adverse impact on our business, prospects, financial condition and results of operations. Adverse economic conditions as well as uncertainty about the current and future global economic conditions may cause our customers to defer purchases or cancel their reservations and orders in response to tighter credit, decreased cash availability, fluctuations in foreign currency exchange rates, and weakened consumer confidence. Reduced demand for our products may result in significant decreases in our product sales, which in turn would have a material adverse impact on our business, prospects, financial condition and results of operations. Because of our premium brand positioning and pricing, an economic downturn is likely to have a heightened adverse effect on us compared to many of our electric vehicle and traditional automotive industry competitors, to the extent that consumer demand for luxury goods is reduced in favor of lower-priced alternatives. In addition, any economic recession or other downturn could also cause logistical challenges and other operational risks if any of our suppliers, sub-suppliers or partners become insolvent or are otherwise unable to continue their operations, fulfill their obligations to us, or meet our future demand. In addition, the deterioration of conditions in global credit markets may limit our ability to obtain external financing to fund our operations and capital expenditures on terms favorable to us, if at all. See “Risk Factors” in Part II, Item 1A of this Quarterly Report for additional information regarding risks associated with a global economic recession, including under the caption </w:t>
      </w:r>
      <w:r>
        <w:rPr>
          <w:rFonts w:ascii="Arial" w:cs="Arial" w:eastAsia="Arial" w:hAnsi="Arial"/>
          <w:sz w:val="16"/>
          <w:szCs w:val="16"/>
          <w:i w:val="1"/>
          <w:iCs w:val="1"/>
          <w:color w:val="auto"/>
        </w:rPr>
        <w:t>“A global economic recession or other downturn may have a material adverse</w:t>
      </w:r>
      <w:r>
        <w:rPr>
          <w:rFonts w:ascii="Arial" w:cs="Arial" w:eastAsia="Arial" w:hAnsi="Arial"/>
          <w:sz w:val="16"/>
          <w:szCs w:val="16"/>
          <w:color w:val="auto"/>
        </w:rPr>
        <w:t xml:space="preserve"> </w:t>
      </w:r>
      <w:r>
        <w:rPr>
          <w:rFonts w:ascii="Arial" w:cs="Arial" w:eastAsia="Arial" w:hAnsi="Arial"/>
          <w:sz w:val="16"/>
          <w:szCs w:val="16"/>
          <w:i w:val="1"/>
          <w:iCs w:val="1"/>
          <w:color w:val="auto"/>
        </w:rPr>
        <w:t>impact on our business, prospects, results of operations and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 on our Business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COVID-19 pandemic continues to impact the global economy and cause significant macroeconomic uncertainty. Infection rates vary across the jurisdictions in which we operate. Governmental authorities have continued to implement numerous and constantly evolving measures to attempt to contain the virus, such as travel bans and restrictions, masking recommendations and mandates, vaccine recommendations and mandates, limits on gatherings, quarantines, shelter-in-place orders and business shutdowns. We have taken proactive action to protect the health and safety of our employees, customers, partners and suppliers, consistent with the latest and evolving governmental guidelines. We expect to continue to implement appropriate measures until the adequate containment of the COVID-19 pandemic. We continue to monitor the rapidly evolving situation and guidance from international and domestic authorities, including federal, state and local public health authorities, and may take additional actions based on their recommendations and requirements or as we otherwise see fit to protect the health and safety of our employees, customers, partners and suppliers.</w:t>
      </w:r>
    </w:p>
    <w:p>
      <w:pPr>
        <w:spacing w:after="0" w:line="17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While certain of our and our suppliers’ operations have from time-to-time been temporarily affected by government-mandated restrictions, we were able to commence deliveries of the Lucid Air to customers and to proceed with the construction of our Advanced Manufacturing Plant 1 in Casa Grande, Arizona (“AMP-1”). Broader impacts of the pandemic have included inflationary pressure as well as ongoing, industry-wide challenges in logistics and supply chains, such as increased port congestion, intermittent supplier delays and a shortfall of semiconductor supply. Because we rely on third party suppliers for the development, manufacture, and/or provision and development of many of the key components and materials used in our vehicles, as well as provisioning and servicing equipment in our manufacturing facilities, we have been affected by inflation and such industry-wide challenges in logistics and supply chains. While we continue to focus on mitigating risks to our operations and supply chain in the current industry environment, we expect that these industry-wide trends will continue to impact our cost structure as well as our ability and the ability of our suppliers to obtain parts, components and manufacturing equipment on a timely basis for the foreseeable future.</w:t>
      </w:r>
    </w:p>
    <w:p>
      <w:pPr>
        <w:spacing w:after="0" w:line="18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the current circumstances, given the dynamic nature of the situation, any impact on our financial condition, results of operations or cash flows in the future continues to be difficult to estimate and predict, as it depends on future events that are highly uncertain and cannot be predicted with accuracy, including, but not limited to, the duration and continued spread of the outbreak, its severity, potential additional waves of infection, the emergence of more virulent or more dangerous strains of the virus, the actions taken to mitigate the virus or its impact, the development, distribution, efficacy and acceptance of vaccines worldwide, how quickly and to what extent normal economic and operating conditions can resume, the broader impact that the pandemic is having on the economy and our industry and specific implications the pandemic may have on our suppliers and on global logistics. See “Risk Factors” in Part II, Item 1A of this Quarterly Report for additional information regarding risks associated with the COVID-19 pandemic, including under the caption “</w:t>
      </w:r>
      <w:r>
        <w:rPr>
          <w:rFonts w:ascii="Arial" w:cs="Arial" w:eastAsia="Arial" w:hAnsi="Arial"/>
          <w:sz w:val="18"/>
          <w:szCs w:val="18"/>
          <w:i w:val="1"/>
          <w:iCs w:val="1"/>
          <w:color w:val="auto"/>
        </w:rPr>
        <w:t>The ongoing COVID-19 pandemic has adversely affected, and we cannot predict its ultimate impact on, our business, prospects, results of operations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w:t>
      </w:r>
      <w:r>
        <w:rPr>
          <w:rFonts w:ascii="Arial" w:cs="Arial" w:eastAsia="Arial" w:hAnsi="Arial"/>
          <w:sz w:val="18"/>
          <w:szCs w:val="18"/>
          <w:color w:val="auto"/>
        </w:rPr>
        <w: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believe that our future success and financial performance depend on a number of factors that present significant opportunities for our business, but also pose risks and challenges, including those discussed below and in the section entitled “Risk Factors” in Part II, Item 1A of this Quarterly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and Technology Leadership</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believe that we are positioned to be a leader in the electric vehicle market by unlocking the potential for advanced, high-performance, and long-range electric vehicles to co-exist. The Lucid Air is designed with race-proven battery pack technologies and robust performance together with a sleek exterior design and expansive interior space given our miniaturized key drivetrain components. We anticipate consumer demand for the Lucid Air based on its luxurious design, high-performance technology and sustainability leadership, and the growing acceptance of and demand for electric vehicles as a substitute for gasoline-fueled vehicles. We have received significant interest in the Lucid Air from potential customers. As of November 7, 2022, we had refundable reservations and non-refundable orders of cars yet to be delivered that reflect potential sales of over $3.2 billion.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Direct-to-Consumer Model</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operate a direct-to-consumer sales and service model, which we believe will allow us to offer a personalized experience for our customers based on their purchase and ownership preferences. We expect to continue to incur significant expenses in our sales and marketing operations for sale of the Lucid Air, including to open studios, hire a sales force, invest in marketing and brand awareness, and stand up a service center operation. As of September 30, 2022, we have opened twenty-nine studios and service centers, one in Germany, two in Canada, twenty-six in the United States (one in each of Colorado, Massachusetts, Michigan, New Jersey, Texas, and Virginia, and two in each of Arizona, Illinois, New York, and Washington, three in Florida, as well as nine in California). We also intend to hire additional sales, customer service, and service center personnel. We believe that investing in our direct-to-consumer sales and service model will be critical to deliver and service the Lucid electric vehicles we plan to manufacture and sell.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Establishing Manufacturing Capacity</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Achieving commercialization and growth for each generation of electric vehicles requires us to make significant capital expenditures to scale our production capacity and improve our supply chain processes in the United States and internationally. We expect our capital expenditures to increase as we continue our expansion of AMP-1 and construction of planned Advanced Manufacturing Plant 2 in the Kingdom of Saudi Arabia (“AMP-2”). The amount and timing of our future manufacturing capacity requirements, and resulting capital expenditures, will depend on many factors, including the pace and results of our research and development efforts to meet technological development milestones, our ability to develop and launch new electric vehicles, our ability to achieve sales and experience customer demand for our vehicles at the levels we anticipate, our ability to utilize planned capacity in our existing facilities and our ability to enter new markets.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Innovation</w:t>
      </w:r>
    </w:p>
    <w:p>
      <w:pPr>
        <w:spacing w:after="0" w:line="225"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color w:val="auto"/>
        </w:rPr>
        <w:t>We develop in-house battery and powertrain technology, which requires us to invest a significant amount of capital in research and development. The electric vehicle market is highly competitive and includes both established automotive manufacturers and new entrants. To establish market share and attract customers from competitors, we plan to continue to make substantial investments in research and development for the commercialization and continued enhancements of the Lucid Air, the development of Project Gravity, and future generations of our electric vehicles and other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Inflationary Pressure</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U.S. economy has experienced increased inflation recently, including as a result of the COVID-19 pandemic. Our cost to manufacture a vehicle is heavily influenced by the cost of the key components and materials used in the vehicle, cost of labor, as well as cost of equipment used in our manufacturing facilities. As we continue our phased construction of our AMP-1 facility, increases in steel prices and cost of construction labor have led to higher capital expenditures. We expect that the inflationary pressure will persist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for the periods presented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7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2"/>
        </w:trPr>
        <w:tc>
          <w:tcPr>
            <w:tcW w:w="4120" w:type="dxa"/>
            <w:vAlign w:val="bottom"/>
          </w:tcPr>
          <w:p>
            <w:pPr>
              <w:spacing w:after="0"/>
              <w:rPr>
                <w:sz w:val="16"/>
                <w:szCs w:val="16"/>
                <w:color w:val="auto"/>
              </w:rPr>
            </w:pPr>
          </w:p>
        </w:tc>
        <w:tc>
          <w:tcPr>
            <w:tcW w:w="17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5"/>
          </w:tcPr>
          <w:p>
            <w:pPr>
              <w:ind w:left="26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5"/>
        </w:trPr>
        <w:tc>
          <w:tcPr>
            <w:tcW w:w="412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 Change</w:t>
            </w: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w w:val="95"/>
              </w:rPr>
              <w:t>$  195,457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w w:val="97"/>
              </w:rPr>
              <w:t>$  195,225</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520"/>
              <w:spacing w:after="0"/>
              <w:rPr>
                <w:sz w:val="20"/>
                <w:szCs w:val="20"/>
                <w:color w:val="auto"/>
              </w:rPr>
            </w:pPr>
            <w:r>
              <w:rPr>
                <w:rFonts w:ascii="Arial" w:cs="Arial" w:eastAsia="Arial" w:hAnsi="Arial"/>
                <w:sz w:val="16"/>
                <w:szCs w:val="16"/>
                <w:i w:val="1"/>
                <w:iCs w:val="1"/>
                <w:color w:val="auto"/>
              </w:rPr>
              <w:t xml:space="preserve">*nm  </w:t>
            </w:r>
            <w:r>
              <w:rPr>
                <w:rFonts w:ascii="Arial" w:cs="Arial" w:eastAsia="Arial" w:hAnsi="Arial"/>
                <w:sz w:val="16"/>
                <w:szCs w:val="16"/>
                <w:color w:val="auto"/>
              </w:rPr>
              <w:t>$</w:t>
            </w:r>
          </w:p>
        </w:tc>
        <w:tc>
          <w:tcPr>
            <w:tcW w:w="660" w:type="dxa"/>
            <w:vAlign w:val="bottom"/>
            <w:shd w:val="clear" w:color="auto" w:fill="CCEEFF"/>
          </w:tcPr>
          <w:p>
            <w:pPr>
              <w:ind w:left="60"/>
              <w:spacing w:after="0"/>
              <w:rPr>
                <w:sz w:val="20"/>
                <w:szCs w:val="20"/>
                <w:color w:val="auto"/>
              </w:rPr>
            </w:pPr>
            <w:r>
              <w:rPr>
                <w:rFonts w:ascii="Arial" w:cs="Arial" w:eastAsia="Arial" w:hAnsi="Arial"/>
                <w:sz w:val="16"/>
                <w:szCs w:val="16"/>
                <w:color w:val="auto"/>
              </w:rPr>
              <w:t>350,468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719</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w w:val="95"/>
              </w:rPr>
              <w:t>$  349,749</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ind w:left="520"/>
              <w:spacing w:after="0"/>
              <w:rPr>
                <w:sz w:val="20"/>
                <w:szCs w:val="20"/>
                <w:color w:val="auto"/>
              </w:rPr>
            </w:pPr>
            <w:r>
              <w:rPr>
                <w:rFonts w:ascii="Arial" w:cs="Arial" w:eastAsia="Arial" w:hAnsi="Arial"/>
                <w:sz w:val="16"/>
                <w:szCs w:val="16"/>
                <w:i w:val="1"/>
                <w:iCs w:val="1"/>
                <w:color w:val="auto"/>
                <w:w w:val="98"/>
              </w:rPr>
              <w:t>*nm</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 not meaningful</w:t>
      </w:r>
    </w:p>
    <w:p>
      <w:pPr>
        <w:spacing w:after="0" w:line="25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began generating sales from the deliveries of vehicles in the fourth quarter of 2021. We recognize vehicle sales when the customer obtains control of the vehicle which is upon delivery. We also generate revenue from the sale of powertrain kits, battery pack systems, supplies and related services for vehicles to a single customer.</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Revenue increased by $195.2 million and $349.7 million, respectively, for the three and nine months ended September 30, 2022, as compared to the same periods in the prior year, primarily driven by customer deliveries of Lucid Air vehicles.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cost of revenue for the periods presented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7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5"/>
          </w:tcPr>
          <w:p>
            <w:pPr>
              <w:ind w:left="280"/>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6"/>
        </w:trPr>
        <w:tc>
          <w:tcPr>
            <w:tcW w:w="4040" w:type="dxa"/>
            <w:vAlign w:val="bottom"/>
          </w:tcPr>
          <w:p>
            <w:pPr>
              <w:spacing w:after="0"/>
              <w:rPr>
                <w:sz w:val="17"/>
                <w:szCs w:val="17"/>
                <w:color w:val="auto"/>
              </w:rPr>
            </w:pPr>
          </w:p>
        </w:tc>
        <w:tc>
          <w:tcPr>
            <w:tcW w:w="17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5"/>
          </w:tcPr>
          <w:p>
            <w:pPr>
              <w:ind w:left="46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404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 Change</w:t>
            </w: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w w:val="95"/>
              </w:rPr>
              <w:t>$  492,483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  489,163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6"/>
                <w:szCs w:val="16"/>
                <w:i w:val="1"/>
                <w:iCs w:val="1"/>
                <w:color w:val="auto"/>
              </w:rPr>
              <w:t>*nm</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$ 1,030,795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3,424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w w:val="89"/>
              </w:rPr>
              <w:t>$1,027,371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ind w:left="520"/>
              <w:spacing w:after="0"/>
              <w:rPr>
                <w:sz w:val="20"/>
                <w:szCs w:val="20"/>
                <w:color w:val="auto"/>
              </w:rPr>
            </w:pPr>
            <w:r>
              <w:rPr>
                <w:rFonts w:ascii="Arial" w:cs="Arial" w:eastAsia="Arial" w:hAnsi="Arial"/>
                <w:sz w:val="16"/>
                <w:szCs w:val="16"/>
                <w:i w:val="1"/>
                <w:iCs w:val="1"/>
                <w:color w:val="auto"/>
                <w:w w:val="98"/>
              </w:rPr>
              <w:t>*nm</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 not meaningful</w:t>
      </w:r>
    </w:p>
    <w:p>
      <w:pPr>
        <w:spacing w:after="0" w:line="225"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Cost of revenue related to vehicle sales primarily include direct parts, materials, shipping and handling costs, allocable overhead costs such as depreciation of manufacturing related equipment and facilities, information technology costs, personnel costs including wages and stock-based compensation, estimated warranty costs and charges to reduce inventories to their net realizable value or charges for inventory obsolescence.</w:t>
      </w:r>
    </w:p>
    <w:p>
      <w:pPr>
        <w:spacing w:after="0" w:line="19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Cost of revenue related to powertrain kits, battery pack systems, supplies and related services for electric vehicles primarily consists of direct parts and materials, shipping and handling costs, personnel costs including wages and stock-based compensation, and estimated warranty costs related to battery pack systems. Cost of battery pack systems also includes allocated overhead costs such as depreciation of manufacturing related equipment and facilities, and information technology costs.</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Cost of revenue increased by $489.2 million and $1,027.4 million, respectively, for the three and nine months ended September 30, 2022 as compared to the same periods in the prior year, primarily due to the manufacture and sale of Lucid Air vehicles in 2022. We incurred significant personnel and overhead costs to operate our large-scale manufacturing facilities while ramping up production, with production activity for a limited quantity of vehicles in the three and nine months ended September 30, 2022. In the near term, we expect our production volume of vehicles to continue to be significantly less than our manufacturing capacity. Additionally, we recorded write downs of $186.5 million and $364.6 million, respectively, in the three and nine months ended September 30, 2022 to reduce our inventories to their net realizable values, for any excess or obsolete inventories, and losses from firm purchase commitments. We expect inventory write downs could negatively affect our costs of vehicle sales in upcoming periods in the near term as we ramp production volumes up toward our manufacturing capacity.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operating expenses for the periods presented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92"/>
        </w:trPr>
        <w:tc>
          <w:tcPr>
            <w:tcW w:w="3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6"/>
        </w:trPr>
        <w:tc>
          <w:tcPr>
            <w:tcW w:w="33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5"/>
              </w:rPr>
              <w:t>$ Change</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 Change</w:t>
            </w: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213,761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242,408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(28,647)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600,218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586,579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13"/>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176,736</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251,554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(74,818)</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(30)%</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563,707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455,478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108,229</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24 %</w:t>
            </w:r>
          </w:p>
        </w:tc>
      </w:tr>
      <w:tr>
        <w:trPr>
          <w:trHeight w:val="238"/>
        </w:trPr>
        <w:tc>
          <w:tcPr>
            <w:tcW w:w="3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390,497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493,962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(103,465)</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98"/>
              </w:rPr>
              <w:t>1,163,925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1,042,057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121,868</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Our research and development efforts have primarily focused on the development of our battery and powertrain technology, the Lucid Air, Project Gravity, and future generations of our electric vehicles. Research and development expenses consist primarily of materials, supplies and personnel-related expenses for employees involved in the engineering, designing, and testing of electric vehicles. Personnel-related expenses primarily include salaries, benefits and stock-based compensation. Research and development expenses also include prototype material, engineering, design and testing services, and allocated facilities costs, such as office and rent expense and depreciation expense, and other engineering, designing, and testing expenses.</w:t>
      </w:r>
    </w:p>
    <w:p>
      <w:pPr>
        <w:spacing w:after="0" w:line="16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Research and development expense decreased by $28.6 million, or 12%, for the three months ended September 30, 2022 as compared to the same period in the prior year. The decrease was primarily attributable to lower personnel-related expenses of $31.7 million due to lower stock-based compensation expense of $25.1 million, and a decrease of $18.5 million in allocated facilities cost, partially offset by an increase of $26.0 million for prototype material, engineering, design and testing services. The stock-based compensation expense was lower primarily due to the initial recognition of the cumulative expense recognized for the three months ended September 30, 2021 related to the restricted stock units (“RSUs”) upon the closing of the merger of a merger subsidiary of Churchill and Atieva, Inc., with Atieva, Inc. surviving such merger as a wholly owned subsidiary of Churchill (the “</w:t>
      </w:r>
      <w:r>
        <w:rPr>
          <w:rFonts w:ascii="Arial" w:cs="Arial" w:eastAsia="Arial" w:hAnsi="Arial"/>
          <w:sz w:val="16"/>
          <w:szCs w:val="16"/>
          <w:color w:val="231F20"/>
        </w:rPr>
        <w:t>Merger”)</w:t>
      </w:r>
      <w:r>
        <w:rPr>
          <w:rFonts w:ascii="Arial" w:cs="Arial" w:eastAsia="Arial" w:hAnsi="Arial"/>
          <w:sz w:val="16"/>
          <w:szCs w:val="16"/>
          <w:color w:val="auto"/>
        </w:rPr>
        <w:t>.</w:t>
      </w:r>
    </w:p>
    <w:p>
      <w:pPr>
        <w:spacing w:after="0" w:line="19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Research and development expense increased by $13.6 million, or 2%, for the nine months ended September 30, 2022 as compared to the same period in the prior year. The increase was primarily attributable to higher personnel-related expenses of $41.0 million due to higher stock-based compensation expense of $37.2 million and an increase of $22.7 million for prototype material, engineering, design and testing services, partially offset by decreases of $33.7 million in allocated facilities costs and $18.9 million from lower utilization of contractors and professional fees. The stock-based compensation expense for the nine months ended September 30, 2021 included expenses recognized related to the RSUs upon the closing of the Merger, and the fourth closing of the Legacy Lucid Series E preferred stock issuance.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Selling, general, and administrative expenses consist primarily of personnel-related expenses for employees involved in general corporate, selling and marketing functions, including executive management and administration, legal, human resources, facilities and real estate, accounting, finance, tax, and information technology. Personnel-related expenses primarily include salaries, benefits and stock-based compensation. Selling, general, and administrative expenses also include allocated facilities costs, such as office, rent and depreciation expenses, professional services fees and other general corporate expenses. As we continue to grow as a company, build out our sales force, and commercialize the Lucid Air and planned future generations of our electric vehicles, we expect that our selling, general and administrative costs will increase.</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are incurring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professional services.</w:t>
      </w:r>
    </w:p>
    <w:p>
      <w:pPr>
        <w:spacing w:after="0" w:line="16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Selling, general, and administrative expense decreased by $74.8 million, or 30%, for the three months ended September 30, 2022 as compared to the same period in the prior year. The decrease was primarily attributable to lower personnel-related expenses of $116.4 million (decrease in stock-based compensation expense of $139.3 million, offset by $22.9 million increase due to our growth in headcount), partially offset by higher utilization of contractors and professional fees of $19.4 million, and increases in other general corporate expenses of $10.1 million, allocated facilities costs of $6.2 million, and sales and marketing expenses of $4.3 million. The stock-based compensation expense was lower primarily due to initial recognition of the cumulative expense recognized for the three months ended September 30, 2021 related to the RSUs upon the closing of the Merger.</w:t>
      </w:r>
    </w:p>
    <w:p>
      <w:pPr>
        <w:spacing w:after="0" w:line="19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Selling, general, and administrative expense increased by $108.2 million, or 24%, for the nine months ended September 30, 2022 as compared to the same period in the prior year. The increase was primarily attributable to higher utilization of contractors and professional fees of $37.5</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4" w:name="page45"/>
    <w:bookmarkEnd w:id="44"/>
    <w:p>
      <w:pPr>
        <w:ind w:right="120"/>
        <w:spacing w:after="0" w:line="257" w:lineRule="auto"/>
        <w:rPr>
          <w:sz w:val="20"/>
          <w:szCs w:val="20"/>
          <w:color w:val="auto"/>
        </w:rPr>
      </w:pPr>
      <w:r>
        <w:rPr>
          <w:rFonts w:ascii="Arial" w:cs="Arial" w:eastAsia="Arial" w:hAnsi="Arial"/>
          <w:sz w:val="18"/>
          <w:szCs w:val="18"/>
          <w:color w:val="auto"/>
        </w:rPr>
        <w:t>million, and increases in allocated facilities costs of $23.5 million, other general corporate expenses of $18.5 million, and sales and marketing expenses of $14.5 million. The increase was also attributable to higher personnel related expenses of $9.7 million ($90.6 million increase due to our growth in headcount, partially offset by lower stock-based compensation expense of $80.9 million). The stock-based compensation expense for the nine months ended September 30, 2021 included expenses recognized related to the RSUs upon the closing of the Merger, and the fourth closing of the Legacy Lucid Series E preferred stock issuance.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other income and expense, net for the periods presented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Nine Months Ended</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40"/>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7"/>
                <w:szCs w:val="17"/>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880" w:type="dxa"/>
            <w:vAlign w:val="bottom"/>
          </w:tcPr>
          <w:p>
            <w:pPr>
              <w:jc w:val="right"/>
              <w:ind w:right="6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7"/>
                <w:szCs w:val="17"/>
                <w:color w:val="auto"/>
              </w:rPr>
            </w:pPr>
          </w:p>
        </w:tc>
        <w:tc>
          <w:tcPr>
            <w:tcW w:w="940" w:type="dxa"/>
            <w:vAlign w:val="bottom"/>
          </w:tcPr>
          <w:p>
            <w:pPr>
              <w:jc w:val="right"/>
              <w:ind w:right="6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3"/>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140"/>
              <w:spacing w:after="0"/>
              <w:rPr>
                <w:sz w:val="20"/>
                <w:szCs w:val="20"/>
                <w:color w:val="auto"/>
              </w:rPr>
            </w:pPr>
            <w:r>
              <w:rPr>
                <w:rFonts w:ascii="Arial" w:cs="Arial" w:eastAsia="Arial" w:hAnsi="Arial"/>
                <w:sz w:val="16"/>
                <w:szCs w:val="16"/>
                <w:color w:val="auto"/>
              </w:rPr>
              <w:t>Change in fair value of forward contracts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6"/>
                <w:szCs w:val="16"/>
                <w:i w:val="1"/>
                <w:iCs w:val="1"/>
                <w:color w:val="auto"/>
              </w:rPr>
              <w:t>*nm</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6"/>
              </w:rPr>
              <w:t>(454,546)</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9"/>
              </w:rPr>
              <w:t>$   454,546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69"/>
        </w:trPr>
        <w:tc>
          <w:tcPr>
            <w:tcW w:w="37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Change in fair value of convertible preferred stock</w:t>
            </w:r>
          </w:p>
        </w:tc>
        <w:tc>
          <w:tcPr>
            <w:tcW w:w="14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640"/>
              <w:spacing w:after="0"/>
              <w:rPr>
                <w:sz w:val="20"/>
                <w:szCs w:val="20"/>
                <w:color w:val="auto"/>
              </w:rPr>
            </w:pPr>
            <w:r>
              <w:rPr>
                <w:rFonts w:ascii="Arial" w:cs="Arial" w:eastAsia="Arial" w:hAnsi="Arial"/>
                <w:sz w:val="16"/>
                <w:szCs w:val="16"/>
                <w:i w:val="1"/>
                <w:iCs w:val="1"/>
                <w:color w:val="auto"/>
              </w:rPr>
              <w:t>*nm</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(6,976)</w:t>
            </w:r>
          </w:p>
        </w:tc>
        <w:tc>
          <w:tcPr>
            <w:tcW w:w="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6,976</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2"/>
        </w:trPr>
        <w:tc>
          <w:tcPr>
            <w:tcW w:w="3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warrant liability</w:t>
            </w:r>
          </w:p>
        </w:tc>
        <w:tc>
          <w:tcPr>
            <w:tcW w:w="14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140"/>
              <w:spacing w:after="0"/>
              <w:rPr>
                <w:sz w:val="20"/>
                <w:szCs w:val="20"/>
                <w:color w:val="auto"/>
              </w:rPr>
            </w:pPr>
            <w:r>
              <w:rPr>
                <w:rFonts w:ascii="Arial" w:cs="Arial" w:eastAsia="Arial" w:hAnsi="Arial"/>
                <w:sz w:val="16"/>
                <w:szCs w:val="16"/>
                <w:color w:val="auto"/>
                <w:w w:val="95"/>
              </w:rPr>
              <w:t>Change in fair value of common stock warrant liability</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140,146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7"/>
              </w:rPr>
              <w:t>(24,787)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164,933</w:t>
            </w:r>
          </w:p>
        </w:tc>
        <w:tc>
          <w:tcPr>
            <w:tcW w:w="8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6"/>
                <w:szCs w:val="16"/>
                <w:i w:val="1"/>
                <w:iCs w:val="1"/>
                <w:color w:val="auto"/>
              </w:rPr>
              <w:t>*nm</w:t>
            </w:r>
          </w:p>
        </w:tc>
        <w:tc>
          <w:tcPr>
            <w:tcW w:w="12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998,319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(24,787)</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1,023,106</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*nm</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Transaction costs expensed</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(2,717)</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378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24,373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24,373</w:t>
            </w:r>
          </w:p>
        </w:tc>
        <w:tc>
          <w:tcPr>
            <w:tcW w:w="8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6"/>
                <w:szCs w:val="16"/>
                <w:i w:val="1"/>
                <w:iCs w:val="1"/>
                <w:color w:val="auto"/>
              </w:rPr>
              <w:t>*nm</w:t>
            </w:r>
          </w:p>
        </w:tc>
        <w:tc>
          <w:tcPr>
            <w:tcW w:w="12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27,284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27,284</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*nm</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(7,537)</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i w:val="1"/>
                <w:iCs w:val="1"/>
                <w:color w:val="auto"/>
              </w:rPr>
              <w:t>*nm</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(22,521)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(22,410)</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*nm</w:t>
            </w:r>
          </w:p>
        </w:tc>
        <w:tc>
          <w:tcPr>
            <w:tcW w:w="0" w:type="dxa"/>
            <w:vAlign w:val="bottom"/>
          </w:tcPr>
          <w:p>
            <w:pPr>
              <w:spacing w:after="0"/>
              <w:rPr>
                <w:sz w:val="1"/>
                <w:szCs w:val="1"/>
                <w:color w:val="auto"/>
              </w:rPr>
            </w:pPr>
          </w:p>
        </w:tc>
      </w:tr>
      <w:tr>
        <w:trPr>
          <w:trHeight w:val="213"/>
        </w:trPr>
        <w:tc>
          <w:tcPr>
            <w:tcW w:w="3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income (expense), net</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167 %</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9,898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10,049</w:t>
            </w: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6"/>
                <w:szCs w:val="16"/>
                <w:i w:val="1"/>
                <w:iCs w:val="1"/>
                <w:color w:val="auto"/>
              </w:rPr>
              <w:t>*nm</w:t>
            </w:r>
          </w:p>
        </w:tc>
        <w:tc>
          <w:tcPr>
            <w:tcW w:w="0" w:type="dxa"/>
            <w:vAlign w:val="bottom"/>
          </w:tcPr>
          <w:p>
            <w:pPr>
              <w:spacing w:after="0"/>
              <w:rPr>
                <w:sz w:val="1"/>
                <w:szCs w:val="1"/>
                <w:color w:val="auto"/>
              </w:rPr>
            </w:pPr>
          </w:p>
        </w:tc>
      </w:tr>
      <w:tr>
        <w:trPr>
          <w:trHeight w:val="238"/>
        </w:trPr>
        <w:tc>
          <w:tcPr>
            <w:tcW w:w="3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other income (expense),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157,571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(27,331)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184,902</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i w:val="1"/>
                <w:iCs w:val="1"/>
                <w:color w:val="auto"/>
              </w:rPr>
              <w:t>*nm</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2"/>
              </w:rPr>
              <w:t>1,012,980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(489,288)</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$ 1,502,268</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*nm</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Forward Contracts</w:t>
      </w:r>
    </w:p>
    <w:p>
      <w:pPr>
        <w:spacing w:after="0" w:line="225"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Our contingent forward contracts provided the holder the right to purchase Legacy Lucid Series D preferred stock and Legacy Lucid Series E preferred stock in future periods and were subject to remeasurement to fair value at each balance sheet date. Changes in the fair value of our contingent forward contracts were recognized in the condensed consolidated statements of operations and comprehensive loss.</w:t>
      </w:r>
    </w:p>
    <w:p>
      <w:pPr>
        <w:spacing w:after="0" w:line="16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Change in contingent forward contracts liability decreased by $454.5 million, for the nine months ended September 30, 2022, as compared to the same period in the prior year. The Legacy Lucid Series E contingent forward contracts were settled during the six months ended June 30, 2021, and there are no future earnings adjustments pertaining to the contingent forward contracts.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Convertible Preferred Stock Warrant Liability</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convertible preferred stock warrant liability related to the warrants to purchase shares of Legacy Lucid Series D preferred stock was subject to remeasurement to fair value at each balance sheet date. Changes in the fair value of our convertible preferred stock warrant liability were recognized in the condensed consolidated statements of operations and comprehensive loss. All issued and outstanding shares of Legacy Lucid Series D preferred stock were settled in February 2021 and there will no longer be future earnings adjustments pertaining to the convertible preferred share warrant liability related to Legacy Lucid Series D preferred stock.</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recorded a loss of $7.0 million for the nine months ended September 30, 2021 due to the changes in fair value of the convertible preferred stock warrant liability related to Legacy Lucid Series D preferred stock upon the exercise and settlement of all outstanding warrants to purchase Legacy Lucid Series D preferred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Common Stock Warrant Liability</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 xml:space="preserve">Our common stock warrant liability relates to the Private Placement Warrants to purchase shares of Lucid Group common stock that were effectively issued upon the Closing in connection with the reverse recapitalization treatment of the Merger. Our common stock warrant liability is subject to remeasurement to fair value at each balance sheet date. Changes in the fair value of our common stock warrant liability were recognized in the </w:t>
      </w:r>
      <w:r>
        <w:rPr>
          <w:rFonts w:ascii="Arial" w:cs="Arial" w:eastAsia="Arial" w:hAnsi="Arial"/>
          <w:sz w:val="18"/>
          <w:szCs w:val="18"/>
          <w:color w:val="000000"/>
        </w:rPr>
        <w:t>condensed</w:t>
      </w:r>
      <w:r>
        <w:rPr>
          <w:rFonts w:ascii="Arial" w:cs="Arial" w:eastAsia="Arial" w:hAnsi="Arial"/>
          <w:sz w:val="18"/>
          <w:szCs w:val="18"/>
          <w:color w:val="231F20"/>
        </w:rPr>
        <w:t xml:space="preserve"> consolidated statements of operations and comprehensive loss.</w:t>
      </w:r>
    </w:p>
    <w:p>
      <w:pPr>
        <w:spacing w:after="0" w:line="18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Private Placement Warrants remained unexercised as of September 30, 2022. The liability was remeasured to fair value, resulting in gains of $140.1 million and $998.3 million, respectively, for the three and nine months ended September 30, 2022, and was classified within change in fair value of common stock warrant liability in the condensed consolidated statements of operations and comprehensive loss. See Note 9 “Common Stock Warrant Liability” to our condensed consolidated financial statements included elsewhere in this Quarterly Report for more information.</w:t>
      </w:r>
    </w:p>
    <w:p>
      <w:pPr>
        <w:sectPr>
          <w:pgSz w:w="11900" w:h="16838" w:orient="portrait"/>
          <w:cols w:equalWidth="0" w:num="1">
            <w:col w:w="11240"/>
          </w:cols>
          <w:pgMar w:left="320" w:top="773" w:right="33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Transaction Costs Expensed</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connection with the Merger, the Company incurred $38.9 million in one-time direct and incremental transaction costs, consisting of banking, legal, and other professional fees. Transaction costs incurred by Lucid were allocated on a relative fair value basis between equity and liability-classified instruments deemed to be issued for financial reporting purposes at the Closing by Lucid. The Company’s $36.2 million transaction costs allocable to equity-classified instruments, including the common stock and public warrants, were charged as a direct reduction to Lucid’s additional paid-in capital of the gross proceeds remitted to Lucid from Churchill. The Company’s $2.7 million transaction costs allocable to liability-classified instruments measured at fair value, including the private warrants, were charged to the condensed consolidated statements of operations and comprehensive loss upon the Closing for the three and nine months ended September 30, 2021.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12"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Interest income of $24.4 million and $27.3 million, respectively, for the three and nine months ended September 30, 2022, primarily consisted of interest, as well as amortization and accretion of purchase premiums and discounts on our investments of available-for-sale securities.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Interest expense consists primarily of contractual interest and amortization of debt discounts and debt issuance costs incurred related to the 2026 Notes issued in December 2021, interest and commitment fee as well as amortization of issuance costs incurred associated with ABL Credit Facility and GIB Credit Agreement, and interest on our finance leases.</w:t>
      </w:r>
    </w:p>
    <w:p>
      <w:pPr>
        <w:spacing w:after="0" w:line="184" w:lineRule="exact"/>
        <w:rPr>
          <w:sz w:val="20"/>
          <w:szCs w:val="20"/>
          <w:color w:val="auto"/>
        </w:rPr>
      </w:pPr>
    </w:p>
    <w:p>
      <w:pPr>
        <w:jc w:val="both"/>
        <w:ind w:right="360"/>
        <w:spacing w:after="0" w:line="277" w:lineRule="auto"/>
        <w:rPr>
          <w:sz w:val="20"/>
          <w:szCs w:val="20"/>
          <w:color w:val="auto"/>
        </w:rPr>
      </w:pPr>
      <w:r>
        <w:rPr>
          <w:rFonts w:ascii="Arial" w:cs="Arial" w:eastAsia="Arial" w:hAnsi="Arial"/>
          <w:sz w:val="18"/>
          <w:szCs w:val="18"/>
          <w:color w:val="auto"/>
        </w:rPr>
        <w:t>Interest expense increased by $7.5 million and $22.4 million, respectively, for the three and nine months ended September 30, 2022 as compared to the same periods in the prior year, primarily related to the 2026 Notes issued in December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Other income (expense), net primarily consists of foreign currency gains and losses and dividend income from our investments. Our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w:t>
      </w:r>
    </w:p>
    <w:p>
      <w:pPr>
        <w:spacing w:after="0" w:line="16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Other income (expense), net increased by $0.4 million and $10.0 million, respectively, during the three and nine months ended September 30, 2022 as compared to the same periods in the prior year, primarily due to changes in foreign currency exchange rates and dividend income from our investments.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7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Nine Months Ended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2"/>
        </w:trPr>
        <w:tc>
          <w:tcPr>
            <w:tcW w:w="4140" w:type="dxa"/>
            <w:vAlign w:val="bottom"/>
          </w:tcPr>
          <w:p>
            <w:pPr>
              <w:spacing w:after="0"/>
              <w:rPr>
                <w:sz w:val="16"/>
                <w:szCs w:val="16"/>
                <w:color w:val="auto"/>
              </w:rPr>
            </w:pPr>
          </w:p>
        </w:tc>
        <w:tc>
          <w:tcPr>
            <w:tcW w:w="17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September 30,</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407"/>
        </w:trPr>
        <w:tc>
          <w:tcPr>
            <w:tcW w:w="41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800" w:type="dxa"/>
            <w:vAlign w:val="bottom"/>
            <w:tcBorders>
              <w:top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4"/>
                <w:szCs w:val="2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820" w:type="dxa"/>
            <w:vAlign w:val="bottom"/>
            <w:tcBorders>
              <w:top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4"/>
                <w:szCs w:val="2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 Change</w:t>
            </w:r>
          </w:p>
        </w:tc>
      </w:tr>
      <w:tr>
        <w:trPr>
          <w:trHeight w:val="25"/>
        </w:trPr>
        <w:tc>
          <w:tcPr>
            <w:tcW w:w="41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0"/>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6"/>
                <w:szCs w:val="16"/>
                <w:i w:val="1"/>
                <w:iCs w:val="1"/>
                <w:color w:val="auto"/>
              </w:rPr>
              <w:t>*nm</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509</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ind w:left="520"/>
              <w:spacing w:after="0"/>
              <w:rPr>
                <w:sz w:val="20"/>
                <w:szCs w:val="20"/>
                <w:color w:val="auto"/>
              </w:rPr>
            </w:pPr>
            <w:r>
              <w:rPr>
                <w:rFonts w:ascii="Arial" w:cs="Arial" w:eastAsia="Arial" w:hAnsi="Arial"/>
                <w:sz w:val="16"/>
                <w:szCs w:val="16"/>
                <w:i w:val="1"/>
                <w:iCs w:val="1"/>
                <w:color w:val="auto"/>
                <w:w w:val="98"/>
              </w:rPr>
              <w:t>*nm</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 not meaningful</w:t>
      </w:r>
    </w:p>
    <w:p>
      <w:pPr>
        <w:spacing w:after="0" w:line="252"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Our provision for income taxes consist primarily of U.S. state and foreign income taxes in jurisdictions in which we operate. We maintain a valuation allowance against the full value of our U.S. and state net deferred tax assets because we believe it is more likely than not that the recoverability of these deferred tax assets will not be realized.</w:t>
      </w:r>
    </w:p>
    <w:p>
      <w:pPr>
        <w:spacing w:after="0" w:line="184"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The provision for income taxes increased by $0.1 million and $0.5 million, respectively, for the three and nine months ended September 30, 2022 as compared to the same periods in the prior year, primarily due to changes in taxable income of our foreign operations.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September 30, 2022, Lucid had approximately $3.85 billion of cash, cash equivalents and investments. Our sources of cash are predominantly from proceeds from Lucid’s de-SPAC transaction with Churchill (plus PIPE), and the issuance of convertible debt.</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expect that our current sources of liquidity together with our projection of cash flows from operating activities will provide us with adequate liquidity over at least the next 12 months, including investment in funding (i) ongoing operations, (ii) research and development projects for new products/ technologies, (iii) production and manufacturing ramps at existing manufacturing facilities in Casa Grande, Arizona, (iv) Phase 2 of construction at AMP-1 in Casa Grande, Arizona, (v) the construction of AMP-2, (vi) expansion of retail studios and service centers, and (vii) other initiatives related to the sale of vehicles and/ or technology.</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anticipate our cumulative spending on capital expenditures to be approximately $1.2 billion for the fiscal year 2022 to support our continued commercialization and growth objectives as we strategically invest in manufacturing capacity and capabilities, our retail studios and service center capabilities throughout North America and across the globe, development of different products and technologies, and other areas supporting the growth of Lucid’s business. Our future capital expenditures may vary and will depend on many factors including the timing and extent of spending and other growth initiatives. We expect our operating expenses to increase in order to grow and support the operations of a global automotive company targeting volumes in line with Lucid’s aspirations.</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September 30, 2022, our total minimum lease payments are $486.3 million, of which $7.3 million is due in the current fiscal year. We also have non-cancellable long-term commitments of $291.2 million, primarily relating to certain inventory component purchases. For details regarding these obligations, refer to Note 14 “Leases” and Note 15 “Commitments and Contingencies”.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2026 Notes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December 2021, Lucid entered into a purchase agreement pursuant to which we issued $2,012.5 million of the 2026 Notes. The 2026 Notes accrue interest at a rate of 1.25% per annum, payable semi-annually in arrears on June 15 and December 15 of each year, beginning on June 15, 2022. The 2026 Notes will mature on December 15, 2026, unless earlier repurchased, redeemed or converted. Before the close of business on the business day immediately before September 15, 2026, noteholders will have the right to convert their Notes only upon the occurrence of certain events. From and after September 15, 2026, noteholders may convert their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The initial conversion rate is 18.2548 shares of common stock per $1,000 principal amount of Notes, which represents an initial conversion price of approximately $54.78 per share of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 As of September 30, 2022, we were in compliance with applicable covenants under the indenture governing the 2026 Notes.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Manufacturing Expansion</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On February 27, 2022, the Company announced that it has selected King Abdullah Economic City (“KAEC”) in the Kingdom of Saudi Arabia as the location of its first international manufacturing plant and signed related agreements with the Ministry of Investment of Saudi Arabia, the Saudi Industrial Development Fund, and the Economic City at KAEC. The agreements are estimated to provide financing and support of up to $3.4 billion in aggregate over the next 15 years to build and operate a manufacturing facility in the Kingdom. The operations at the new plant would initially consist of re-assembly of Lucid Air vehicle “kits” pre-manufactured in the U.S. and, over time, production of complete vehicles.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Saudi Industrial Development Fund (“SIDF”) Loan Agreement</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On February 27, 2022, Lucid, LLC, a limited liability company established in the Kingdom of Saudi Arabia and a subsidiary of the Company (“Lucid LLC”) entered into a loan agreement (as subsequently amended, the “SIDF Loan Agreement”) with SIDF, a related party of Public Investment Fund (“PIF”), which is an affiliate of Ayar Third Investment Company, the controlling stockholder of the Company (“Ayar”).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 350 million (approximately $93.2 million), commencing on April 3, 2026 and ending on November 12, 2038. SIDF Loans are financing and will be used to finance certain costs in connection with the development and construction of AMP-2. Lucid LLC may repay SIDF Loans earlier than the maturity date without penalty. Obligations under the SIDF Loan Agreement do not extend to the Company or any of its other subsidiaries.</w:t>
      </w:r>
    </w:p>
    <w:p>
      <w:pPr>
        <w:spacing w:after="0" w:line="181"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SIDF Loans will not bear interest. Instead, Lucid LLC will be required to pay SIDF service fees, consisting of follow-up and technical evaluation fees, ranging, in aggregate, from SAR 415 million (approximately $110.5 million) to SAR 1.77 billion (approximately $471.1 million), over the term of the SIDF Loans. SIDF Loans will be secured by security interests in the equipment, machines and assets funded thereby.</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KAEC, and drawdowns under the SIDF Loan Agreement are subject to certain conditions precedent. As of September 30, 2022, no amounts were outstanding under the SIDF Loan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Ministry of Investment of Saudi Arabia </w:t>
      </w:r>
      <w:r>
        <w:rPr>
          <w:rFonts w:ascii="Arial" w:cs="Arial" w:eastAsia="Arial" w:hAnsi="Arial"/>
          <w:sz w:val="18"/>
          <w:szCs w:val="18"/>
          <w:color w:val="auto"/>
        </w:rPr>
        <w:t>(“</w:t>
      </w:r>
      <w:r>
        <w:rPr>
          <w:rFonts w:ascii="Arial" w:cs="Arial" w:eastAsia="Arial" w:hAnsi="Arial"/>
          <w:sz w:val="18"/>
          <w:szCs w:val="18"/>
          <w:i w:val="1"/>
          <w:iCs w:val="1"/>
          <w:color w:val="auto"/>
        </w:rPr>
        <w:t>MISA”) Agreements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February 2022, Lucid LLC entered into agreements with MISA, a related party of PIF, which is an affiliate of Ayar, pursuant to which MISA has agreed to provide economic support for certain capital expenditures in connection with Lucid LLC’s on-going design and construction of AMP-2. The support by MISA are subject to Lucid LLC’s completion of certain milestones related to the construction and operation of AMP-2. Following the commencement of construction, if operations at the plant do not commence within 30 months, or if the agreed scope of operations is not attained within 55 months, MISA may suspend availability of subsequent support.</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Pursuant to the agreement, MISA has the right to require Lucid LLC to transfer the ownership of AMP-2 to MISA, at the fair market value thereof, minus an amortized value of the support provided in the event of customary events of default including abandonment or material and chronic low utilization of AMP-2. Alternatively, Lucid LLC is entitled to avoid the transfer of the ownership of AMP-2 by electing to pay such amortized value. The agreements will terminate on the fifteenth anniversary of the commencement of completely-built-up (“CBU”) operations at AMP-2 at the latest.</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three and nine months ended September 30, 2022, the Company received support of SAR 366 million (approximately $97.3 million) in cash, of which $70.7 million was recorded as deferred liability within other long-term liabilities and $26.6 million was recorded as a deduction in calculating the carrying amount of the related assets on the condensed consolidated balance sheet. There are no unfulfilled conditions and contingencies attached to the payments received.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242424"/>
        </w:rPr>
        <w:t>Gulf International Bank (“GIB”) Facility Agreement</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April 29, 2022, Lucid LLC entered into a revolving credit facility agreement (the “GIB Facility Agreement”) with GIB, maturing on February 28, 2025. GIB is a related party of PIF, which is an affiliate of Ayar. The GIB Facility Agreement provides for two committed revolving credit facilities in an aggregate principal amount of SAR 1 billion (approximately $266.2 million). SAR $650 million (approximately $173.0 million) under the GIB Facility Agreement is available as bridge financing (the “Bridge Facility”) of Lucid LLC’s capital expenditures in connection with AMP-2. The remaining SAR</w:t>
      </w:r>
    </w:p>
    <w:p>
      <w:pPr>
        <w:spacing w:after="0" w:line="2"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350 million (approximately $93.2 million) may be used for general corporate purposes (the “Working Capital Facility”). Loans under the Bridge Facility and the Working Capital Facility will have a maturity of no more than 12 months. The Bridge Facility will bear interest at a rate of 1.25% per annum over 3-month SAIBOR and the Working Capital Facility will bear interest at a rate of 1.70% per annum over 3-month SAIBOR and associated fees. The Company is required to pay a quarterly commitment fee of 0.15% per annum based on the unutilized portion of the GIB Credit Facility. Commitments under the GIB Facility Agreement will terminate, and all amounts then outstanding thereunder will become payable, on the maturity date of the GIB Facility Agreement. The GIB Facility Agreement contains certain conditions precedent to drawdowns, representations and warranties and covenants of Lucid LLC and events of default. As of September 30, 2022</w:t>
      </w:r>
      <w:r>
        <w:rPr>
          <w:rFonts w:ascii="Arial" w:cs="Arial" w:eastAsia="Arial" w:hAnsi="Arial"/>
          <w:sz w:val="17"/>
          <w:szCs w:val="17"/>
          <w:color w:val="242424"/>
        </w:rPr>
        <w:t>, the Company had outstanding borrowing</w:t>
      </w:r>
      <w:r>
        <w:rPr>
          <w:rFonts w:ascii="Arial" w:cs="Arial" w:eastAsia="Arial" w:hAnsi="Arial"/>
          <w:sz w:val="17"/>
          <w:szCs w:val="17"/>
          <w:color w:val="auto"/>
        </w:rPr>
        <w:t>s of SAR 51 million (approximately $13.6 million) from the Working Capital Facility, which was recorded within other current liabilities on the condensed consolidated balance sheets. As of September 30, 2022, available borrowings are SAR 650 million (approximately $173.0 million) and SAR 299 million (approximately $79.6 million) under the Bridge Facility and Working Capital Facility, respectively. As of September 30, 2022, we were in compliance with applicable covenants under the GIB Facility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 Credit Facility</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In June 2022, the Company entered into a new five-year senior secured asset-based revolving credit facility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Availability under the ABL Credit Facility is subject to the value of eligible assets in the borrowing base and is reduced by outstanding loan borrowings and issuances of letters of credit which bear customary letter of credit fees. Subject to certain terms and conditions, the Company may request one or more increases in the amount of credit commitments under the ABL Credit Facility in an aggregate amount up to the sum of $500.0 million plus certain other amounts. The Company is required to pay a quarterly commitment fee of 0.25% per annum based on the unutilized portion of the ABL Credit Facility.</w:t>
      </w:r>
    </w:p>
    <w:p>
      <w:pPr>
        <w:spacing w:after="0" w:line="19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ABL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the Company’s option following satisfaction of certain pre-conditions, may be replaced with a springing, minimum fixed charge coverage ratio (“FCCR”) financial covenant, in each case on terms set forth in the credit agreement governing the ABL Credit Facility. As of September 30, 2022, we were in compliance with applicable covenants under the ABL Credit Facility.</w:t>
      </w:r>
    </w:p>
    <w:p>
      <w:pPr>
        <w:spacing w:after="0" w:line="19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As of September 30, 2022, we had no outstanding borrowings and $36.8 million outstanding letters of credit under the ABL Credit Facility. Availability under the ABL Credit Facility was $303.7 million as of September 30, 2022, after giving effect to the borrowing base and the outstanding letters of credit.</w:t>
      </w:r>
    </w:p>
    <w:p>
      <w:pPr>
        <w:spacing w:after="0" w:line="110"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We have generated significant losses from our operations as reflected in our accumulated deficit of $6.9 billion and $6.1 billion as of September 30, 2022 and December 31, 2021, respectively. Additionally, we have generated significant negative cash flows from operations and investing activities as we continue to support the growth of our business.</w:t>
      </w:r>
    </w:p>
    <w:p>
      <w:pPr>
        <w:spacing w:after="0" w:line="195"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The expenditures associated with the development and commercial launch of our vehicles, the anticipated increase in manufacturing capacity, and the international expansion of our business operations are subject to significant risks and uncertainties, many of which are beyond our control, which may affect the timing and magnitude of these anticipated expenditures. These risk and uncertainties are described in more detail in the section entitled “Risk Factors” in Part II, Item 1A of this Quarterly Report.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257"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4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r>
      <w:tr>
        <w:trPr>
          <w:trHeight w:val="216"/>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(1,577,743)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(745,401)</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(3,289,021)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(299,294)</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(165,566)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5,236,843</w:t>
            </w:r>
          </w:p>
        </w:tc>
      </w:tr>
      <w:tr>
        <w:trPr>
          <w:trHeight w:val="209"/>
        </w:trPr>
        <w:tc>
          <w:tcPr>
            <w:tcW w:w="848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(5,032,330)</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4,192,148</w:t>
            </w:r>
          </w:p>
        </w:tc>
      </w:tr>
      <w:tr>
        <w:trPr>
          <w:trHeight w:val="21"/>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cash flows used in operating activities to date have been primarily comprised of cash outlays to support overall growth of the business, especially the costs related to inventory and sale of our vehicles, costs related to research and development, payroll and other general and administrative activities. As we continue to ramp up hiring after starting commercial operations, we expect our cash used in operating activities to increase significantly before it starts to generate any material cash flows from our business.</w:t>
      </w:r>
    </w:p>
    <w:p>
      <w:pPr>
        <w:spacing w:after="0" w:line="21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Net cash used in operating activities increased by $832.3 million to $1,577.7 million during the nine months ended September 30, 2022, compared to the same period in the prior year. The increase was primarily due to the increase in net loss excluding non-cash expenses and gains of $308.4 million and an overall increase in net operating assets and liabilities of $523.9 million. The change in net operating assets and liabilities was mainly attributable to an increase in inventory driven by planned production ramp-up, and other current liabilities related to 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225" w:lineRule="exact"/>
        <w:rPr>
          <w:sz w:val="20"/>
          <w:szCs w:val="20"/>
          <w:color w:val="auto"/>
        </w:rPr>
      </w:pPr>
    </w:p>
    <w:p>
      <w:pPr>
        <w:ind w:right="320"/>
        <w:spacing w:after="0" w:line="274" w:lineRule="auto"/>
        <w:rPr>
          <w:sz w:val="20"/>
          <w:szCs w:val="20"/>
          <w:color w:val="auto"/>
        </w:rPr>
      </w:pPr>
      <w:r>
        <w:rPr>
          <w:rFonts w:ascii="Arial" w:cs="Arial" w:eastAsia="Arial" w:hAnsi="Arial"/>
          <w:sz w:val="17"/>
          <w:szCs w:val="17"/>
          <w:color w:val="auto"/>
        </w:rPr>
        <w:t>We continue to experience negative cash flows from investing activities as we expand our business and continue to build our infrastructure. Cash flows from investing activities primarily relate to purchases of investments and capital expenditures to support our growth.</w:t>
      </w:r>
    </w:p>
    <w:p>
      <w:pPr>
        <w:jc w:val="both"/>
        <w:ind w:right="80"/>
        <w:spacing w:after="0" w:line="273" w:lineRule="auto"/>
        <w:rPr>
          <w:sz w:val="20"/>
          <w:szCs w:val="20"/>
          <w:color w:val="auto"/>
        </w:rPr>
      </w:pPr>
      <w:r>
        <w:rPr>
          <w:rFonts w:ascii="Arial" w:cs="Arial" w:eastAsia="Arial" w:hAnsi="Arial"/>
          <w:sz w:val="17"/>
          <w:szCs w:val="17"/>
          <w:color w:val="auto"/>
        </w:rPr>
        <w:t>Net cash used in investing activities increased by $2,989.7 million to $3,289.0 million during the nine months ended September 30, 2022, compared to the same period in the prior year, primarily attributable to purchases of investments of $2,726.7 million during the nine months ended September 30, 2022 and an increase in capital expenditures of $485.7 million, partially offset by proceeds from maturities of investments of $125.4 million and capital expenditure support received from MISA of $97.3 million during the nine months ended September 30,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Provided by Financing Activities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Since inception, we have financed our operations primarily from the issuances of equity securities, including convertible preferred stock, the proceeds of the Merger, and the 2026 Notes.</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cash used in financing activities were $165.6 million during the nine months ended September 30, 2022, compared to $5,236.8 million of net cash provided by financing activities for the same period in the prior year. The change was primarily attributable to gross proceeds of approximately $4,439.2 million from the Merger, proceeds from the issuance of Legacy Lucid Series E preferred stock of $600.0 million, proceeds from the exercises of public warrants of $173.3 million, and proceeds from short-term insurance financing note of $41.9 million during the nine months ended September 30, 2021, and remittance for tax withholding obligations in connection with vesting of the CEO time-based and performance-based RSUs through net settlement of $196.4 million during the nine months ended September 30,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condensed consolidated financial statements and the related notes thereto included elsewhere in this Quarterly Report are prepared in accordance with generally accepted accounting principles in the United States (“U.S. GAAP”). The preparation of our condensed consolidated financial statements requires us to make estimates and assumptions that affect the reported amounts and related disclosures in our financial statements and accompanying notes. We base our estimates on historical experience and on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due to the inherent uncertainty involved in making those estimates and any such differences may be material.</w:t>
      </w:r>
    </w:p>
    <w:p>
      <w:pPr>
        <w:spacing w:after="0" w:line="1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a description of our critical accounting policies and estimates, refer to Part II, Item 7, Critical Accounting Policies and Estimates in our Annual Report on Form 10-K for the year ended December 31, 2021 and Note 2 “Summary of Significant Accounting Policies” to our</w:t>
      </w:r>
    </w:p>
    <w:p>
      <w:pPr>
        <w:sectPr>
          <w:pgSz w:w="11900" w:h="16838" w:orient="portrait"/>
          <w:cols w:equalWidth="0" w:num="1">
            <w:col w:w="11220"/>
          </w:cols>
          <w:pgMar w:left="320" w:top="985" w:right="359" w:bottom="1440" w:gutter="0" w:footer="0" w:header="0"/>
        </w:sectPr>
      </w:pP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type w:val="continuous"/>
        </w:sectPr>
      </w:pPr>
    </w:p>
    <w:bookmarkStart w:id="50" w:name="page51"/>
    <w:bookmarkEnd w:id="50"/>
    <w:p>
      <w:pPr>
        <w:ind w:right="300"/>
        <w:spacing w:after="0" w:line="277" w:lineRule="auto"/>
        <w:rPr>
          <w:sz w:val="20"/>
          <w:szCs w:val="20"/>
          <w:color w:val="auto"/>
        </w:rPr>
      </w:pPr>
      <w:r>
        <w:rPr>
          <w:rFonts w:ascii="Arial" w:cs="Arial" w:eastAsia="Arial" w:hAnsi="Arial"/>
          <w:sz w:val="18"/>
          <w:szCs w:val="18"/>
          <w:color w:val="auto"/>
        </w:rPr>
        <w:t>condensed consolidated financial statements in Item 1 of Part I of this Quarterly Report. There have been no material changes to our critical accounting policies and estimates since our Annual Report on Form 10-K for the year ended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activities or have any arrangements or relationships with unconsolidated entities, such as variable interest, special purpose, and structured finance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Qualitative and Quantitative Disclosures about Market Risk.</w:t>
      </w:r>
    </w:p>
    <w:p>
      <w:pPr>
        <w:spacing w:after="0" w:line="22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due to inflationary pressure.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exposed to market risk for changes in interest rates applicable to our cash and cash equivalents, restricted cash, and investments. We had cash, cash equivalents, restricted cash, and investments totaling approximately $3.85 billion as of September 30, 2022. Our investment policy is focused on the preservation of capital and supporting our liquidity needs. Under the policy, we invest in highly rated securities, primarily issued by the U.S. government or liquid money market funds. We do not invest in financial instruments for trading or speculative purposes. We utilize external investment managers who adhere to the guidelines of our investment policy. Based on investment positions as of September 30, 2022, a hypothetical 100 basis point increase in interest rates would result in approximately $12.0 million incremental decline in the fair market value of our portfolio.</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Inflationary Pressure</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U.S. economy has experienced increased inflation recently, including as a result of the COVID-19 pandemic. Our cost to manufacture a vehicle is heavily influenced by the cost of the key components and materials used in the vehicle, cost of labor, as well as cost of equipment used in our manufacturing facilities. As we continue our phased construction of our AMP-1 facility, increases in steel prices and cost of construction labor have led to higher capital expenditures. We expect that the inflationary pressure will persist for the foreseeable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the design and operation of our disclosure controls and procedures (as defined in Rules 13a-15(e) and 15d-15(e) under the Securities Exchange Act of 1934, as amended (the “Exchange Act”)) as of the end of the period covered by this Quarterly Report on Form 10-Q.</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Based on their evaluation, our principal executive officer and principal financial officer concluded that as of September 30, 2022, our disclosure controls and procedures are designed to, and are effective to, provide reasonable assurance that the information we are required to disclose in reports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 13a-15(f) and 15d-15(f) under the Exchange Act) that occurred during the fiscal quarter ended September 30, 2022, that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ectPr>
          <w:pgSz w:w="11900" w:h="16838" w:orient="portrait"/>
          <w:cols w:equalWidth="0" w:num="1">
            <w:col w:w="11220"/>
          </w:cols>
          <w:pgMar w:left="320" w:top="989" w:right="35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For a description of our legal proceedings, see the description set forth in the “Legal Matters” section in Note 15 “Commitments and Contingencies” to our condensed consolidated financial statements in Item 1 of Part I of this Quarterly Report, which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as well as the other information in this Quarterly Report,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you could lose all or part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i w:val="1"/>
          <w:iCs w:val="1"/>
          <w:color w:val="auto"/>
        </w:rPr>
        <w:t>Our business is subject to numerous risks and uncertainties, including those highlighted in this section titled Item 1A. “Risk Factors,” that represent challenges that we face in connection with the successful implementation of our strategy and growth of our business. The occurrence of one or more of the events or circumstances described in this section titled Item 1A. “Risk Factors,” alone or in combination with other events or circumstances, may have an adverse effect on our business, cash flows, financial condition and results of operations. Such risks include, but are not limited to:</w:t>
      </w:r>
    </w:p>
    <w:p>
      <w:pPr>
        <w:spacing w:after="0" w:line="49" w:lineRule="exact"/>
        <w:rPr>
          <w:sz w:val="20"/>
          <w:szCs w:val="20"/>
          <w:color w:val="auto"/>
        </w:rPr>
      </w:pPr>
    </w:p>
    <w:p>
      <w:pPr>
        <w:ind w:left="660" w:right="1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limited operating history makes evaluating our business and future prospects difficult and may increase the risk of investing in our common stock.</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have incurred net losses each year since our inception and expect to incur increasing expenses and substantial losses for the foreseeable future.</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unable to adequately control the substantial costs associated with our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received only a limited number of reservations and orders for the Lucid Air, all of which may be cancelled.</w:t>
      </w:r>
    </w:p>
    <w:p>
      <w:pPr>
        <w:spacing w:after="0" w:line="117"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global economic recession or other downturn may have a material adverse impact on our business, prospects, results of operation and financial condition.</w:t>
      </w:r>
    </w:p>
    <w:p>
      <w:pPr>
        <w:spacing w:after="0" w:line="62"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ongoing COVID-19 pandemic has adversely affected, and we cannot predict its ultimate impact on, our business, prospects, results of operations and financial condition.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automotive industry has significant barriers to entry that we must overcome in order to manufacture and sell electric vehicles at scale.</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automotive market is highly competitive, and we may not be successful in competing in this industry.</w:t>
      </w:r>
    </w:p>
    <w:p>
      <w:pPr>
        <w:spacing w:after="0" w:line="117"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initially depend on revenue generated from a single model and in the foreseeable future will be significantly dependent on a limited number of models.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not have a third-party retail product distribution and full-service network.</w:t>
      </w:r>
    </w:p>
    <w:p>
      <w:pPr>
        <w:spacing w:after="0" w:line="117"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experienced and may in the future experience significant delays in the design, manufacture, launch and financing of our vehicles, including the Lucid Air and Project Gravity, which could harm our business and prospects.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our vehicles fail to perform as expected, our ability to develop, market and sell or lease our products could be harmed.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face challenges providing charging solutions for our vehicles, both domestically and internationally.</w:t>
      </w:r>
    </w:p>
    <w:p>
      <w:pPr>
        <w:spacing w:after="0" w:line="117" w:lineRule="exact"/>
        <w:rPr>
          <w:rFonts w:ascii="Arial" w:cs="Arial" w:eastAsia="Arial" w:hAnsi="Arial"/>
          <w:sz w:val="18"/>
          <w:szCs w:val="18"/>
          <w:color w:val="auto"/>
        </w:rPr>
      </w:pPr>
    </w:p>
    <w:p>
      <w:pPr>
        <w:ind w:left="660" w:right="620" w:hanging="328"/>
        <w:spacing w:after="0" w:line="342"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15" w:lineRule="exact"/>
        <w:rPr>
          <w:rFonts w:ascii="Arial" w:cs="Arial" w:eastAsia="Arial" w:hAnsi="Arial"/>
          <w:sz w:val="16"/>
          <w:szCs w:val="16"/>
          <w:color w:val="auto"/>
        </w:rPr>
      </w:pPr>
    </w:p>
    <w:p>
      <w:pPr>
        <w:ind w:left="660" w:right="360" w:hanging="328"/>
        <w:spacing w:after="0" w:line="308"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no experience to date in high volume manufacture of our vehicles.</w:t>
      </w:r>
    </w:p>
    <w:p>
      <w:pPr>
        <w:spacing w:after="0" w:line="117"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fail to successfully tool our manufacturing facilities or if our manufacturing facilities become inoperable, we will be unable to produce our vehicles and our business will be harmed.</w:t>
      </w:r>
    </w:p>
    <w:p>
      <w:pPr>
        <w:sectPr>
          <w:pgSz w:w="11900" w:h="16838" w:orient="portrait"/>
          <w:cols w:equalWidth="0" w:num="1">
            <w:col w:w="11200"/>
          </w:cols>
          <w:pgMar w:left="320" w:top="1228" w:right="379" w:bottom="1440" w:gutter="0" w:footer="0" w:header="0"/>
        </w:sectPr>
      </w:pP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type w:val="continuous"/>
        </w:sectPr>
      </w:pPr>
    </w:p>
    <w:bookmarkStart w:id="52" w:name="page53"/>
    <w:bookmarkEnd w:id="52"/>
    <w:p>
      <w:pPr>
        <w:ind w:left="660" w:right="20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production and our ability to sustain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75" w:lineRule="exact"/>
        <w:rPr>
          <w:rFonts w:ascii="Arial" w:cs="Arial" w:eastAsia="Arial" w:hAnsi="Arial"/>
          <w:sz w:val="18"/>
          <w:szCs w:val="18"/>
          <w:color w:val="auto"/>
        </w:rPr>
      </w:pPr>
    </w:p>
    <w:p>
      <w:pPr>
        <w:ind w:left="660" w:right="320" w:hanging="328"/>
        <w:spacing w:after="0" w:line="301"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spacing w:after="0" w:line="49" w:lineRule="exact"/>
        <w:rPr>
          <w:rFonts w:ascii="Arial" w:cs="Arial" w:eastAsia="Arial" w:hAnsi="Arial"/>
          <w:sz w:val="16"/>
          <w:szCs w:val="16"/>
          <w:color w:val="auto"/>
        </w:rPr>
      </w:pPr>
    </w:p>
    <w:p>
      <w:pPr>
        <w:ind w:left="660" w:right="6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Increases in costs, disruption of supply or shortage of materials, in particular for lithium-ion cells, or semiconductors, could harm our business.</w:t>
      </w:r>
    </w:p>
    <w:p>
      <w:pPr>
        <w:spacing w:after="0" w:line="140" w:lineRule="exact"/>
        <w:rPr>
          <w:rFonts w:ascii="Arial" w:cs="Arial" w:eastAsia="Arial" w:hAnsi="Arial"/>
          <w:sz w:val="16"/>
          <w:szCs w:val="16"/>
          <w:color w:val="auto"/>
        </w:rPr>
      </w:pPr>
    </w:p>
    <w:p>
      <w:pPr>
        <w:jc w:val="both"/>
        <w:ind w:left="660" w:right="12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spacing w:after="0" w:line="75"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We are subject to evolving laws, regulations, standards, policies, and contractual obligations related to data privacy and security, and any actual or perceived failure to comply with such obligations could harm our reputation and brand, subject us to significant fines and liability, or otherwise adversely affect our business.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loss of key personnel or an inability to attract, retain and motivate qualified personnel may impair our ability to expand our business.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highly dependent on the services of Peter Rawlinson, our Chief Executive Officer and Chief Technology Officer.</w:t>
      </w:r>
    </w:p>
    <w:p>
      <w:pPr>
        <w:spacing w:after="0" w:line="117"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75" w:lineRule="exact"/>
        <w:rPr>
          <w:rFonts w:ascii="Arial" w:cs="Arial" w:eastAsia="Arial" w:hAnsi="Arial"/>
          <w:sz w:val="18"/>
          <w:szCs w:val="18"/>
          <w:color w:val="auto"/>
        </w:rPr>
      </w:pPr>
    </w:p>
    <w:p>
      <w:pPr>
        <w:ind w:left="660" w:right="6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face regulatory limitations on our ability to sell vehicles directly, which could materially and adversely affect its ability to sell our vehicles.</w:t>
      </w:r>
    </w:p>
    <w:p>
      <w:pPr>
        <w:spacing w:after="0" w:line="62" w:lineRule="exact"/>
        <w:rPr>
          <w:rFonts w:ascii="Arial" w:cs="Arial" w:eastAsia="Arial" w:hAnsi="Arial"/>
          <w:sz w:val="18"/>
          <w:szCs w:val="18"/>
          <w:color w:val="auto"/>
        </w:rPr>
      </w:pPr>
    </w:p>
    <w:p>
      <w:pPr>
        <w:ind w:left="660" w:right="16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fail to adequately obtain, maintain, enforce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will require additional capital to support business growth, and this capital might not be available on commercially reasonable terms, or at all.</w:t>
      </w:r>
    </w:p>
    <w:p>
      <w:pPr>
        <w:spacing w:after="0" w:line="140" w:lineRule="exact"/>
        <w:rPr>
          <w:rFonts w:ascii="Arial" w:cs="Arial" w:eastAsia="Arial" w:hAnsi="Arial"/>
          <w:sz w:val="16"/>
          <w:szCs w:val="16"/>
          <w:color w:val="auto"/>
        </w:rPr>
      </w:pPr>
    </w:p>
    <w:p>
      <w:pPr>
        <w:ind w:left="660" w:right="26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75" w:lineRule="exact"/>
        <w:rPr>
          <w:rFonts w:ascii="Arial" w:cs="Arial" w:eastAsia="Arial" w:hAnsi="Arial"/>
          <w:sz w:val="18"/>
          <w:szCs w:val="18"/>
          <w:color w:val="auto"/>
        </w:rPr>
      </w:pPr>
    </w:p>
    <w:p>
      <w:pPr>
        <w:jc w:val="both"/>
        <w:ind w:left="660" w:right="66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a “controlled company” within the meaning of the applicable rules of Nasdaq and, as a result, qualify for exemptions from certain corporate governance requirements. Our stockholders do not have the same protections afforded to stockholders of companies that are not controlled companies.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Sponsor and Ayar beneficially own a significant equity interest in us and may take actions that conflict with other shareholder interests.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Business and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Our limited operating history makes evaluating our business and future prospects difficult and may increase the risk of your investment.</w:t>
      </w:r>
    </w:p>
    <w:p>
      <w:pPr>
        <w:spacing w:after="0" w:line="23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231F20"/>
        </w:rPr>
        <w:t>We are an early-stage company with a limited operating history, operating in a rapidly evolving and highly regulated market. Furthermore, we have only released one commercially available vehicle, and we have no experience manufacturing or selling a commercial product at scale. Because we have yet to generate significant revenue from the sale of electric vehicles, and as a result of the capital-intensive nature of our business, we expect to continue to incur substantial operating losses for the foreseeable future.</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231F20"/>
        </w:rPr>
        <w:t>We have encountered and expect to continue to encounter risks and uncertainties frequently experienced by early-stage companies in rapidly changing markets, including risks relating to our ability to, among other things:</w:t>
      </w:r>
    </w:p>
    <w:p>
      <w:pPr>
        <w:spacing w:after="0" w:line="62" w:lineRule="exact"/>
        <w:rPr>
          <w:sz w:val="20"/>
          <w:szCs w:val="20"/>
          <w:color w:val="auto"/>
        </w:rPr>
      </w:pPr>
    </w:p>
    <w:p>
      <w:pPr>
        <w:ind w:left="5540" w:right="3480" w:hanging="5208"/>
        <w:spacing w:after="0" w:line="559" w:lineRule="auto"/>
        <w:tabs>
          <w:tab w:leader="none" w:pos="657"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 xml:space="preserve">hire, integrate and retain professional and technical talent, including key members of management; </w:t>
      </w:r>
      <w:r>
        <w:rPr>
          <w:rFonts w:ascii="Arial" w:cs="Arial" w:eastAsia="Arial" w:hAnsi="Arial"/>
          <w:sz w:val="18"/>
          <w:szCs w:val="18"/>
          <w:color w:val="00000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3" w:name="page54"/>
    <w:bookmarkEnd w:id="53"/>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continue to make significant investments in research, development, manufacturing, marketing and sales;</w:t>
      </w:r>
    </w:p>
    <w:p>
      <w:pPr>
        <w:spacing w:after="0" w:line="117" w:lineRule="exact"/>
        <w:rPr>
          <w:rFonts w:ascii="Arial" w:cs="Arial" w:eastAsia="Arial" w:hAnsi="Arial"/>
          <w:sz w:val="18"/>
          <w:szCs w:val="18"/>
          <w:color w:val="231F20"/>
        </w:rPr>
      </w:pPr>
    </w:p>
    <w:p>
      <w:pPr>
        <w:ind w:left="660" w:right="560" w:hanging="328"/>
        <w:spacing w:after="0" w:line="277" w:lineRule="auto"/>
        <w:tabs>
          <w:tab w:leader="none" w:pos="655"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successfully obtain, maintain, protect and enforce our intellectual property and defend against claims of intellectual property infringement, misappropriation or other violation;</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build a well-recognized and respected brand;</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establish, implement, refine and scale our commercial manufacturing capabilities and distribution infrastructure;</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establish and maintain satisfactory arrangements with third-party suppliers;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establish and expand a customer base;</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navigate an evolving and complex regulatory environment;</w:t>
      </w:r>
    </w:p>
    <w:p>
      <w:pPr>
        <w:spacing w:after="0" w:line="117" w:lineRule="exact"/>
        <w:rPr>
          <w:rFonts w:ascii="Arial" w:cs="Arial" w:eastAsia="Arial" w:hAnsi="Arial"/>
          <w:sz w:val="18"/>
          <w:szCs w:val="18"/>
          <w:color w:val="231F20"/>
        </w:rPr>
      </w:pPr>
    </w:p>
    <w:p>
      <w:pPr>
        <w:ind w:left="660" w:right="280" w:hanging="328"/>
        <w:spacing w:after="0" w:line="277" w:lineRule="auto"/>
        <w:tabs>
          <w:tab w:leader="none" w:pos="655"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anticipate and adapt to changing market conditions, including consumer demand for certain vehicle types, models or trim levels, technological developments and changes in competitive landscape; and</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successfully design, build, manufacture and market new variants and models of electric vehicles, such as Project Gravity.</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We have incurred net losses each year since our inception and expect to incur increasing expenses and substantial losses for the foreseeable future.</w:t>
      </w:r>
    </w:p>
    <w:p>
      <w:pPr>
        <w:spacing w:after="0" w:line="260" w:lineRule="exact"/>
        <w:rPr>
          <w:sz w:val="20"/>
          <w:szCs w:val="20"/>
          <w:color w:val="auto"/>
        </w:rPr>
      </w:pPr>
    </w:p>
    <w:p>
      <w:pPr>
        <w:spacing w:after="0" w:line="263" w:lineRule="auto"/>
        <w:rPr>
          <w:sz w:val="20"/>
          <w:szCs w:val="20"/>
          <w:color w:val="auto"/>
        </w:rPr>
      </w:pPr>
      <w:r>
        <w:rPr>
          <w:rFonts w:ascii="Arial" w:cs="Arial" w:eastAsia="Arial" w:hAnsi="Arial"/>
          <w:sz w:val="18"/>
          <w:szCs w:val="18"/>
          <w:color w:val="231F20"/>
        </w:rPr>
        <w:t>We have incurred net losses each year since our inception, including net loss of approxi</w:t>
      </w:r>
      <w:r>
        <w:rPr>
          <w:rFonts w:ascii="Arial" w:cs="Arial" w:eastAsia="Arial" w:hAnsi="Arial"/>
          <w:sz w:val="18"/>
          <w:szCs w:val="18"/>
          <w:color w:val="000000"/>
        </w:rPr>
        <w:t>mately $530.1 million and $831.8 million for the three and nine</w:t>
      </w:r>
      <w:r>
        <w:rPr>
          <w:rFonts w:ascii="Arial" w:cs="Arial" w:eastAsia="Arial" w:hAnsi="Arial"/>
          <w:sz w:val="18"/>
          <w:szCs w:val="18"/>
          <w:color w:val="231F20"/>
        </w:rPr>
        <w:t xml:space="preserve"> </w:t>
      </w:r>
      <w:r>
        <w:rPr>
          <w:rFonts w:ascii="Arial" w:cs="Arial" w:eastAsia="Arial" w:hAnsi="Arial"/>
          <w:sz w:val="18"/>
          <w:szCs w:val="18"/>
          <w:color w:val="000000"/>
        </w:rPr>
        <w:t>months ended September 30, 2022, respectively. As of September 30, 2022, our accumulated deficit was approximately $6.9 billion. We expect to continue to incur substantial losses and increasing expenses in the foreseeable future as we:</w:t>
      </w:r>
    </w:p>
    <w:p>
      <w:pPr>
        <w:spacing w:after="0" w:line="7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continue to design, develop and manufacture our vehicles;</w:t>
      </w:r>
    </w:p>
    <w:p>
      <w:pPr>
        <w:spacing w:after="0" w:line="117" w:lineRule="exact"/>
        <w:rPr>
          <w:rFonts w:ascii="Arial" w:cs="Arial" w:eastAsia="Arial" w:hAnsi="Arial"/>
          <w:sz w:val="18"/>
          <w:szCs w:val="18"/>
          <w:color w:val="231F20"/>
        </w:rPr>
      </w:pPr>
    </w:p>
    <w:p>
      <w:pPr>
        <w:ind w:left="660" w:right="340" w:hanging="328"/>
        <w:spacing w:after="0" w:line="277" w:lineRule="auto"/>
        <w:tabs>
          <w:tab w:leader="none" w:pos="655"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equip and expand our manufacturing facilities to produce our vehicles in Arizona and in international locations such as the Kingdom of Saudi Arabia;</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build up inventories of parts and components for our vehicles;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manufacture an available inventory of our vehicles;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develop and deploy vehicle charging partnerships;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expand our design, research, development, maintenance and repair capabilities;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increase our sales and marketing activities and develop our distribution infrastructure; and</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expand our general and administrative functions to support our growing operations and status as a public company.</w:t>
      </w:r>
    </w:p>
    <w:p>
      <w:pPr>
        <w:spacing w:after="0" w:line="2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231F20"/>
        </w:rPr>
        <w:t>If our product development or commercialization of future vehicles is delayed, our costs and expenses may be significantly higher than we currently expect. Because we will incur the costs and expenses from these efforts before we receive any incremental revenues with respect thereto, we expect our losses in future periods will be significant.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be unable to adequately control the substantial costs associated with our operations.</w:t>
      </w:r>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231F20"/>
        </w:rPr>
        <w:t>We will require significant capital to develop and grow our business. We have incurred and expect to continue to incur significant expenses, including leases, sales and distribution expenses as we build our brand and market our vehicles; expenses relating to developing and manufacturing our vehicles, tooling and expanding our manufacturing facilities; research and development expenses (including expenses related to the development of the Lucid Air, the Project Gravity SUV and other future products); raw material procurement costs; and general and administrative expenses as we scale our operations and incur the costs of being a public company. In addition, we expect to incur significant costs servicing and maintaining customers’ vehicles, including establishing our service operations and facilities. As a company, we do not have historical experience forecasting and budgeting for any of these expenses, and these expenses could be significantly higher than we currently anticipate. In addition, any disruption to our manufacturing operations, obtaining necessary equipment or supplies, expansion of our manufacturing facilities, or the procurement of permits and licenses relating to our expected manufacturing, sales and distribution model could significantly increase our expenses. In such event, we could be required to seek additional financing earlier than we expect, and such financing may not be available on commercially reasonable terms, or at all.</w:t>
      </w:r>
    </w:p>
    <w:p>
      <w:pPr>
        <w:spacing w:after="0" w:line="1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231F20"/>
        </w:rPr>
        <w:t>In the longer term, our ability to become profitable in the future will depend on our ability not only to effectively manage our capital expenditures and control costs on a timely basis, but also to sell in quantities and at prices sufficient to achieve our expected margins. If we are unable to appropriately price and cost-efficiently design, manufacture, market, sell, distribute and service our vehicles, our margins, profitability and prospects will be materially and adversely affected.</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1" w:right="39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231F20"/>
        </w:rPr>
        <w:t>We have received only a limited number of reservations and orders for the Lucid Air, all of which may be cancelled.</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Our customers may cancel their reservations without penalty and for any reason until they place an order for their vehicle. In addition, our customers may also cancel their orders, but will lose their deposit. Delays in customer deliveries or delays in the availability of options could result in significant customer cancellations. In addition, customers who placed orders prior to the enactment of the Inflation Reduction Act of 2022 in an effort to maintain eligibility for a federal tax credit, may cancel their orders based upon the initial guidance provided by the Internal Revenue Service that could negatively affect our customers’ ability to receive tax credits for those orders. In addition, any event or incident which generates negative media coverage about us or the safety or quality of our vehicles could also result in significant customer cancellations. No assurance can be given that reservations or orders will not be cancelled and will ultimately result in the final purchase, delivery and sale or lease of vehicles. Accordingly, the number of reservations and orders have significant limitations as a measure of demand for our vehicles, including demand for particular body styles, models or trim levels, or for future vehicle sales. If we encounter delays in customer deliveries of the Lucid Air that further lengthen wait times or in the event of negative media coverage, a significant number of reservations may be cancelled.</w:t>
      </w:r>
    </w:p>
    <w:p>
      <w:pPr>
        <w:spacing w:after="0" w:line="18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231F20"/>
        </w:rPr>
        <w:t>A global economic recession or other downturn may have a material adverse impact on our business, prospects, results of operations and financial condition.</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A global economic recession or other downturn, whether due to inflation, ongoing conflict in Ukraine or other geopolitical events, COVID-19 or other public health crises, interest rate increases or other policy actions by major central banks, or other factors, may have an adverse impact on our business, prospects, financial condition and results of operations. Adverse economic conditions as well as uncertainty about the current and future global economic conditions may cause our customers to defer purchases or cancel their reservations and orders in response to tighter credit, decreased cash availability, </w:t>
      </w:r>
      <w:r>
        <w:rPr>
          <w:rFonts w:ascii="Arial" w:cs="Arial" w:eastAsia="Arial" w:hAnsi="Arial"/>
          <w:sz w:val="16"/>
          <w:szCs w:val="16"/>
          <w:color w:val="231F20"/>
        </w:rPr>
        <w:t xml:space="preserve">fluctuations in foreign currency exchange rates, </w:t>
      </w:r>
      <w:r>
        <w:rPr>
          <w:rFonts w:ascii="Arial" w:cs="Arial" w:eastAsia="Arial" w:hAnsi="Arial"/>
          <w:sz w:val="16"/>
          <w:szCs w:val="16"/>
          <w:color w:val="000000"/>
        </w:rPr>
        <w:t>and weakened consumer confidence. Reduced demand for our products may result in significant decreases</w:t>
      </w:r>
      <w:r>
        <w:rPr>
          <w:rFonts w:ascii="Arial" w:cs="Arial" w:eastAsia="Arial" w:hAnsi="Arial"/>
          <w:sz w:val="16"/>
          <w:szCs w:val="16"/>
          <w:color w:val="231F20"/>
        </w:rPr>
        <w:t xml:space="preserve"> </w:t>
      </w:r>
      <w:r>
        <w:rPr>
          <w:rFonts w:ascii="Arial" w:cs="Arial" w:eastAsia="Arial" w:hAnsi="Arial"/>
          <w:sz w:val="16"/>
          <w:szCs w:val="16"/>
          <w:color w:val="000000"/>
        </w:rPr>
        <w:t xml:space="preserve">in our product sales, which in turn would have a material adverse impact on our business, prospects, financial condition and results of operations. </w:t>
      </w:r>
      <w:r>
        <w:rPr>
          <w:rFonts w:ascii="Arial" w:cs="Arial" w:eastAsia="Arial" w:hAnsi="Arial"/>
          <w:sz w:val="16"/>
          <w:szCs w:val="16"/>
          <w:color w:val="231F20"/>
        </w:rPr>
        <w:t>Because</w:t>
      </w:r>
      <w:r>
        <w:rPr>
          <w:rFonts w:ascii="Arial" w:cs="Arial" w:eastAsia="Arial" w:hAnsi="Arial"/>
          <w:sz w:val="16"/>
          <w:szCs w:val="16"/>
          <w:color w:val="000000"/>
        </w:rPr>
        <w:t xml:space="preserve"> </w:t>
      </w:r>
      <w:r>
        <w:rPr>
          <w:rFonts w:ascii="Arial" w:cs="Arial" w:eastAsia="Arial" w:hAnsi="Arial"/>
          <w:sz w:val="16"/>
          <w:szCs w:val="16"/>
          <w:color w:val="231F20"/>
        </w:rPr>
        <w:t>of our premium brand positioning and pricing, an economic downturn is likely to have a heightened adverse effect on us compared to many of our electric vehicle and traditional automotive industry competitors, to the extent that consumer demand for luxury goods is reduced in favor of lower-priced alternatives. In addition, any economic recession or other downturn could also cause logistical challenges and other operational risks if any of our suppliers, sub-suppliers or partners become insolvent or are otherwise unable to continue their operations, fulfill their obligations to us, or meet our future demand. Further, the immediate or prolonged effects of the COVID-19 pandemic could significantly affect government finances and, accordingly, the continued availability of incentives related to electric vehicle purchases and other governmental support programs.</w:t>
      </w:r>
    </w:p>
    <w:p>
      <w:pPr>
        <w:spacing w:after="0" w:line="16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addition, the deterioration of conditions in global credit markets may limit our ability to obtain external financing to fund our operations and capital expenditures on terms favorable to us, if at all.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 See “—Risks Related to Financing and Strategic Transactions — </w:t>
      </w:r>
      <w:r>
        <w:rPr>
          <w:rFonts w:ascii="Arial" w:cs="Arial" w:eastAsia="Arial" w:hAnsi="Arial"/>
          <w:sz w:val="17"/>
          <w:szCs w:val="17"/>
          <w:i w:val="1"/>
          <w:iCs w:val="1"/>
          <w:color w:val="auto"/>
        </w:rPr>
        <w:t>We will require additional capital to support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growth, and this capital might not be available on commercially reasonable terms, or at all</w:t>
      </w:r>
      <w:r>
        <w:rPr>
          <w:rFonts w:ascii="Arial" w:cs="Arial" w:eastAsia="Arial" w:hAnsi="Arial"/>
          <w:sz w:val="17"/>
          <w:szCs w:val="17"/>
          <w:color w:val="auto"/>
        </w:rPr>
        <w:t>.”</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231F20"/>
        </w:rPr>
        <w:t>The ongoing COVID-19 pandemic has adversely affected, and we cannot predict its ultimate impact on, our business, prospects, results of operations and financial condition.</w:t>
      </w:r>
    </w:p>
    <w:p>
      <w:pPr>
        <w:spacing w:after="0" w:line="17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231F20"/>
        </w:rPr>
        <w:t xml:space="preserve">The ongoing COVID-19 pandemic poses risks to our business, including through its impact on general economic conditions; manufacturing and supply chain operations; stay-at-home orders; and global financial markets. The pandemic’s impact on economic conditions has led to a global decrease in vehicle sales in markets around the world. Its continued impact on the economy, even after the pandemic has subsided, may cause our customers to defer purchases, cancel their reservations and orders for our vehicles prior to delivery. See </w:t>
      </w:r>
      <w:r>
        <w:rPr>
          <w:rFonts w:ascii="Arial" w:cs="Arial" w:eastAsia="Arial" w:hAnsi="Arial"/>
          <w:sz w:val="17"/>
          <w:szCs w:val="17"/>
          <w:color w:val="000000"/>
        </w:rPr>
        <w:t>“—</w:t>
      </w:r>
      <w:r>
        <w:rPr>
          <w:rFonts w:ascii="Arial" w:cs="Arial" w:eastAsia="Arial" w:hAnsi="Arial"/>
          <w:sz w:val="17"/>
          <w:szCs w:val="17"/>
          <w:i w:val="1"/>
          <w:iCs w:val="1"/>
          <w:color w:val="000000"/>
        </w:rPr>
        <w:t>A global economic recession or other downturn may have a</w:t>
      </w:r>
      <w:r>
        <w:rPr>
          <w:rFonts w:ascii="Arial" w:cs="Arial" w:eastAsia="Arial" w:hAnsi="Arial"/>
          <w:sz w:val="17"/>
          <w:szCs w:val="17"/>
          <w:color w:val="231F20"/>
        </w:rPr>
        <w:t xml:space="preserve"> </w:t>
      </w:r>
      <w:r>
        <w:rPr>
          <w:rFonts w:ascii="Arial" w:cs="Arial" w:eastAsia="Arial" w:hAnsi="Arial"/>
          <w:sz w:val="17"/>
          <w:szCs w:val="17"/>
          <w:i w:val="1"/>
          <w:iCs w:val="1"/>
          <w:color w:val="000000"/>
        </w:rPr>
        <w:t>material adverse impact on our business, prospects, financial condition and results of operations.</w:t>
      </w:r>
      <w:r>
        <w:rPr>
          <w:rFonts w:ascii="Arial" w:cs="Arial" w:eastAsia="Arial" w:hAnsi="Arial"/>
          <w:sz w:val="17"/>
          <w:szCs w:val="17"/>
          <w:color w:val="000000"/>
        </w:rPr>
        <w:t>”</w:t>
      </w:r>
    </w:p>
    <w:p>
      <w:pPr>
        <w:spacing w:after="0" w:line="176" w:lineRule="exact"/>
        <w:rPr>
          <w:sz w:val="20"/>
          <w:szCs w:val="20"/>
          <w:color w:val="auto"/>
        </w:rPr>
      </w:pPr>
    </w:p>
    <w:p>
      <w:pPr>
        <w:spacing w:after="0" w:line="296" w:lineRule="auto"/>
        <w:rPr>
          <w:sz w:val="20"/>
          <w:szCs w:val="20"/>
          <w:color w:val="auto"/>
        </w:rPr>
      </w:pPr>
      <w:r>
        <w:rPr>
          <w:rFonts w:ascii="Arial" w:cs="Arial" w:eastAsia="Arial" w:hAnsi="Arial"/>
          <w:sz w:val="16"/>
          <w:szCs w:val="16"/>
          <w:color w:val="231F20"/>
        </w:rPr>
        <w:t>The spread of COVID-19 has also periodically disrupted our manufacturing operations and those of our suppliers. For example, the COVID-19 outbreak in China and the resulting lockdowns have caused parts supply delays with some impact on manufacturing operations in Arizona. Such disruptions to us and our suppliers have negatively impacted, and could continue to negatively impact the production volume of our first vehicle, the Lucid Air sedan, as well other vehicles that we may introduce from time to time. Our manufacturing operations at a limited number of facilities in Casa Grande, Arizona concentrate this risk. In addition, broader impacts of the pandemic have included inflationary pressure, which impacts our cost structure.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5" w:name="page56"/>
    <w:bookmarkEnd w:id="55"/>
    <w:p>
      <w:pPr>
        <w:ind w:right="80"/>
        <w:spacing w:after="0" w:line="286" w:lineRule="auto"/>
        <w:rPr>
          <w:sz w:val="20"/>
          <w:szCs w:val="20"/>
          <w:color w:val="auto"/>
        </w:rPr>
      </w:pPr>
      <w:r>
        <w:rPr>
          <w:rFonts w:ascii="Arial" w:cs="Arial" w:eastAsia="Arial" w:hAnsi="Arial"/>
          <w:sz w:val="16"/>
          <w:szCs w:val="16"/>
          <w:color w:val="231F20"/>
        </w:rPr>
        <w:t>The pandemic has resulted in the imposition of travel bans and restrictions, quarantines, shelter-in-place and stay-at-home orders and business shutdowns, which have contributed to delays in the anticipated production schedule of the Lucid Air. These measures pose numerous operational risks and logistical challenges to our business. For example, we may be required to limit the number of employees and contractors at our manufacturing facilities in Casa Grande, Arizona or be required to cause a substantial number of employees and/or contractors to quarantine, which could cause further delays in tooling efforts or in the production schedule of the Lucid Air. In addition, regional, national and international travel restrictions have resulted in adverse impacts to our supply chain. For example, in certain instances, international travel restrictions have prevented our supply quality engineers from conducting in-person visits and parts production quality engineering with international suppliers, which has lengthened the time required to finalize and secure certain components of the Lucid Air. Further, our sales and marketing activities have been, and may in the future be, adversely affected due to the cancellation or reduction of in-person sales activities, meetings, events and conferences, and our planned construction and opening of our Lucid studio sales and service facilities in key markets has been delayed. The transition of some of our personnel to a remote or hybrid workforce has also increased demand on our information technology resources and systems and increased data privacy and cybersecurity risks. These restrictive measures could be in place for a significant period of time and may be reinstituted or replaced with more burdensome restrictions if conditions deteriorate, which could adversely affect our start-up, manufacturing and sales and distribution plans and timelines.</w:t>
      </w:r>
    </w:p>
    <w:p>
      <w:pPr>
        <w:spacing w:after="0" w:line="1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231F20"/>
        </w:rPr>
        <w:t>In addition, the COVID-19 pandemic has resulted in extreme volatility in the global financial markets, which could increase our cost of capital or limit our ability to access financing when we need it.</w:t>
      </w:r>
    </w:p>
    <w:p>
      <w:pPr>
        <w:spacing w:after="0" w:line="17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231F20"/>
        </w:rPr>
        <w:t>To address the uncertainties of COVID-19 and to help ensure the safety of our team members, we have implemented a vaccination mandate for certain of our employees and for certain individuals to enter many of our facilities and may implement further similar requirements in the future, which may have an impact on our hiring and/or our workforce and adversely impact our manufacturing capabilities and overall business operations.</w:t>
      </w:r>
    </w:p>
    <w:p>
      <w:pPr>
        <w:spacing w:after="0" w:line="16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231F20"/>
        </w:rPr>
        <w:t>The severity, magnitude and duration of the COVID-19 pandemic, including as a result of new variant and subvariant strains such as the Omicron strain and subvariants, and our economic and regulatory consequences are rapidly changing and uncertain. Accordingly, we cannot predict the ultimate impact of the COVID-19 pandemic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The automotive industry has significant barriers to entry that we must overcome in order to manufacture and sell electric vehicles at scale.</w:t>
      </w:r>
    </w:p>
    <w:p>
      <w:pPr>
        <w:spacing w:after="0" w:line="223"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The automobile industry is characterized by significant barriers to entry, including large capital requirements, investment costs of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we are focused on the design of electric vehicles, we face a variety of added challenges to entry that a traditional automobile manufacturer would not encounter, including additional costs of developing and producing an electric powertrain that has comparable performance to a traditional gasoline engine in terms of range and power, inexperience with servicing electric vehicles, regulations associated with the transport of batteries, the need to establish or provide access to sufficient charging locations and unproven high-volume customer demand for fully electric vehicles. While we have developed and started producing our first electric sedan and have completed the first phase of construction of AMP-1, we have not finished tooling all production lines at AMP-1. If we are not able to overcome these barriers, our business, prospects, results of operations and financial condition will be negatively impacted, and our ability to grow our business will be harmed.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automotive market is highly competitive, and we may not be successful in competing in this industry.</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231F20"/>
        </w:rPr>
        <w:t>The global automotive market, particularly for electric and alternative fuel vehicles, is highly competitive, and we expect it will become even more so in the future. In recent years, the electric vehicle industry has grown, with several companies that focus completely or partially on the electric vehicle market. We expect additional companies to enter this market within the next several years. Electric vehicle manufacturers with which we compete include Tesla as well as an increasing number of U.S.-based and international entrants, many of which have announced plans to begin selling their own electric vehicles in the near-term. We also compete with established automobile manufacturers in the luxury vehicle segment, many of which have entered or have announced plans to enter the alternative fuel and electric vehicle market with either fully electric or plug-in hybrid versions of their vehicles. We compete for sales with luxury vehicles with internal combustion engines from established manufacturers. Many of our current and potential competitors have significantly greater financial, technical, manufacturing, marketing and other resources than we do and may be able to devote greater resources to the design, development, manufacturing, distribution, promotion, sale, servicing, and support of their products. In addition, many of these companies have longer operating histories, greater name recognition, larger and more established sales forces, broader customer and industry relationships and other resources than we do. Our competitors may be in a stronger position to respond quickly to new technologies and may be able to design, develop, market and sell their products more effectively than we do. We expect competition in our industry to significantly intensify in the future in light of increased demand for alternative fuel vehicles, continuing globalization, favorable governmental policies, and consolidation in the worldwide automotive industry. Our ability to successfully compete in our industry will be fundamental to our future success in existing and new markets. There can be no assurance that we will be able to compete successfully in our markets.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6" w:name="page57"/>
    <w:bookmarkEnd w:id="56"/>
    <w:p>
      <w:pPr>
        <w:ind w:right="280"/>
        <w:spacing w:after="0" w:line="277" w:lineRule="auto"/>
        <w:rPr>
          <w:sz w:val="20"/>
          <w:szCs w:val="20"/>
          <w:color w:val="auto"/>
        </w:rPr>
      </w:pPr>
      <w:r>
        <w:rPr>
          <w:rFonts w:ascii="Arial" w:cs="Arial" w:eastAsia="Arial" w:hAnsi="Arial"/>
          <w:sz w:val="18"/>
          <w:szCs w:val="18"/>
          <w:b w:val="1"/>
          <w:bCs w:val="1"/>
          <w:i w:val="1"/>
          <w:iCs w:val="1"/>
          <w:color w:val="231F20"/>
        </w:rPr>
        <w:t>We currently depend on revenue generated from a single model and in the foreseeable future will be significantly dependent on a limited number of models.</w:t>
      </w:r>
    </w:p>
    <w:p>
      <w:pPr>
        <w:spacing w:after="0" w:line="17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231F20"/>
        </w:rPr>
        <w:t>We currently depend on revenue generated from a single vehicle model, the Lucid Air, and in the foreseeable future will be significantly dependent on a single or limited number of models. Although we have other vehicle models on our product roadmap, we currently do not expect to introduce another vehicle model for sale until 2024. We expect to rely on sales from the Lucid Air, among other sources of financing, for the capital that will be required to develop and commercialize those subsequent models. To the extent that production of the Lucid Air is delayed or reduced, or if the Lucid Air is not well-received by the market for any reason, our revenue and cash flow would be adversely affected, we may need to seek additional financing earlier than we expect, and such financing may not be available to us on commercially reasonable terms, or at all.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will not have a third-party retail product distribution and full-service network.</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231F20"/>
        </w:rPr>
        <w:t>Third-party dealer networks are the traditional method of vehicle sales distribution and service. Because we sell directly to consumers, we do not have a traditional dealer product distribution and service network. We have limited experience distributing directly to consumers, and we expect that continuing to build a national and global in-house sales and marketing function, including an expanded physical sales, marketing and service footprint via our Lucid studios and service centers, will be expensive and time consuming. If our lack of a traditional dealer distribution and service network results in lost opportunities to generate sales, it could limit our ability to grow. Moreover, our business model of selling directly to consumers and directly servicing all vehicles may be limited by regulatory constraints. To the extent we are unable to successfully execute on such plans in all markets, we may be required to develop a third-party dealer distribution and service network, including developing and implementing the necessary information technology infrastructure to support them, which may prove costly, time-consuming or ineffective. If our use of an in-house sales, marketing and service team is not effective, our results of operations and financial conditions could be adversely affected.</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31F20"/>
        </w:rPr>
        <w:t>Our sales will depend in part on our ability to establish and maintain confidence in our long-term business prospects among consumers, analysts and others within our industry.</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231F20"/>
        </w:rPr>
        <w:t>Consumers may be less likely to purchase our products if they do not believe that our business will succeed or that our operations, including service and customer support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establish and maintain confidence among customers, suppliers, analysts and other parties with respect to our liquidity and long-term business prospects.</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Maintaining such confidence may be particularly difficult as a result of many factors, including our limited operating history, others’ unfamiliarity with our products, uncertainty regarding the future of electric vehicles, any delays in scaling production, delivery and service operations to meet demand, competition and our production and sales performance compared with market expectations. Many of these factors are largely outside of our control, and any negative perceptions about our long-term business prospects, even if exaggerated or unfounded, would likely harm our business and make it more difficult to raise additional capital in the future. In addition, as discussed above, a significant number of new electric vehicle companies have recently entered the automotive industry, which is an industry that has historically been associated with significant barriers to entry and a high rate of failure. If these new entrants or other manufacturers of electric vehicles go out of business, produce vehicles that do not perform as expected or otherwise fail to meet expectations, such failures may have the effect of increasing scrutiny of others in the industry, including us, and further challenging customer, supplier and analyst confidence in our long-term prospects.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ability to generate meaningful product revenue will depend on consumer adoption of electric vehicles.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231F20"/>
        </w:rPr>
        <w:t>We are developing and producing only electric vehicles and, accordingly, our ability to generate meaningful product revenue will highly depend on sustained consumer demand for alternative fuel vehicles in general and electric vehicles in particular. If the market for electric vehicles does not develop as we expect or develops more slowly than we expect, or if there is a decrease in consumer demand for electric vehicles, our business, prospects, financial condition and results of operations will be harmed. The market for electric and other alternative fuel vehicles is relatively new, rapidly evolving, characterized by rapidly changing technologies, price competition, additional competitors, evolving government regulation (including government incentives and subsidies) and industry standards, frequent new vehicle announcements and changing consumer demands and behaviors. Any number of changes in the industry could negatively affect consumer demand for electric vehicles in general and our electric vehicles in particular.</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57" w:name="page58"/>
    <w:bookmarkEnd w:id="57"/>
    <w:p>
      <w:pPr>
        <w:spacing w:after="0" w:line="254" w:lineRule="auto"/>
        <w:rPr>
          <w:sz w:val="20"/>
          <w:szCs w:val="20"/>
          <w:color w:val="auto"/>
        </w:rPr>
      </w:pPr>
      <w:r>
        <w:rPr>
          <w:rFonts w:ascii="Arial" w:cs="Arial" w:eastAsia="Arial" w:hAnsi="Arial"/>
          <w:sz w:val="18"/>
          <w:szCs w:val="18"/>
          <w:color w:val="231F20"/>
        </w:rPr>
        <w:t>In addition, demand for electric vehicles may be affected by factors directly impacting automobile prices or the cost of purchasing and operating automobiles such as sales and financing incentives such as tax credits, prices of raw materials and parts and components, cost of fuel, availability of consumer credit, and governmental regulations, including tariffs, import regulation and other taxes. Volatility in demand may lead to lower vehicle unit sales, which may result in downward price pressure and adversely affect our business, prospects, financial condition and results of operations. Further, sales of vehicles in the automotive industry tend to be cyclical in many markets, which may expose us to increased volatility, especially as we expand and adjust our operations and retail strategies. Specifically, it is uncertain how such macroeconomic factors will impact us as a new entrant in an industry that has globally been experiencing a recent decline in sales.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231F20"/>
        </w:rPr>
        <w:t>Other factors that may influence the adoption of electric vehicles include:</w:t>
      </w:r>
    </w:p>
    <w:p>
      <w:pPr>
        <w:spacing w:after="0" w:line="11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perceptions about electric vehicle quality, safety, design, performance and cost;</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perceptions about the limited range over which electric vehicles may be driven on a single battery charge;</w:t>
      </w:r>
    </w:p>
    <w:p>
      <w:pPr>
        <w:spacing w:after="0" w:line="117" w:lineRule="exact"/>
        <w:rPr>
          <w:rFonts w:ascii="Arial" w:cs="Arial" w:eastAsia="Arial" w:hAnsi="Arial"/>
          <w:sz w:val="18"/>
          <w:szCs w:val="18"/>
          <w:color w:val="231F20"/>
        </w:rPr>
      </w:pPr>
    </w:p>
    <w:p>
      <w:pPr>
        <w:ind w:left="660" w:right="260" w:hanging="328"/>
        <w:spacing w:after="0" w:line="342" w:lineRule="auto"/>
        <w:tabs>
          <w:tab w:leader="none" w:pos="655" w:val="left"/>
        </w:tabs>
        <w:numPr>
          <w:ilvl w:val="0"/>
          <w:numId w:val="26"/>
        </w:numPr>
        <w:rPr>
          <w:rFonts w:ascii="Arial" w:cs="Arial" w:eastAsia="Arial" w:hAnsi="Arial"/>
          <w:sz w:val="16"/>
          <w:szCs w:val="16"/>
          <w:color w:val="231F20"/>
        </w:rPr>
      </w:pPr>
      <w:r>
        <w:rPr>
          <w:rFonts w:ascii="Arial" w:cs="Arial" w:eastAsia="Arial" w:hAnsi="Arial"/>
          <w:sz w:val="16"/>
          <w:szCs w:val="16"/>
          <w:color w:val="231F20"/>
        </w:rPr>
        <w:t>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w:t>
      </w:r>
    </w:p>
    <w:p>
      <w:pPr>
        <w:spacing w:after="0" w:line="15" w:lineRule="exact"/>
        <w:rPr>
          <w:rFonts w:ascii="Arial" w:cs="Arial" w:eastAsia="Arial" w:hAnsi="Arial"/>
          <w:sz w:val="16"/>
          <w:szCs w:val="16"/>
          <w:color w:val="231F20"/>
        </w:rPr>
      </w:pPr>
    </w:p>
    <w:p>
      <w:pPr>
        <w:ind w:left="660" w:hanging="328"/>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concerns about electric grid capacity and reliability;</w:t>
      </w:r>
    </w:p>
    <w:p>
      <w:pPr>
        <w:spacing w:after="0" w:line="117" w:lineRule="exact"/>
        <w:rPr>
          <w:rFonts w:ascii="Arial" w:cs="Arial" w:eastAsia="Arial" w:hAnsi="Arial"/>
          <w:sz w:val="18"/>
          <w:szCs w:val="18"/>
          <w:color w:val="231F20"/>
        </w:rPr>
      </w:pPr>
    </w:p>
    <w:p>
      <w:pPr>
        <w:ind w:left="660" w:right="420" w:hanging="328"/>
        <w:spacing w:after="0" w:line="277" w:lineRule="auto"/>
        <w:tabs>
          <w:tab w:leader="none" w:pos="655"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perceptions about the sustainability and environmental impact of electric vehicles, including with respect to both the sourcing and disposal of materials for electric vehicle batteries and the generation of electricity provided in the electric grid;</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the availability of other alternative fuel vehicles, including plug-in hybrid electric vehicles;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improvements in the fuel economy of the internal combustion engine;</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the quality and availability of service for electric vehicles, especially in international markets;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volatility in the cost of oil and gasoline;</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government regulations and economic incentives promoting fuel efficiency and alternate forms of energy;</w:t>
      </w:r>
    </w:p>
    <w:p>
      <w:pPr>
        <w:spacing w:after="0" w:line="117" w:lineRule="exact"/>
        <w:rPr>
          <w:rFonts w:ascii="Arial" w:cs="Arial" w:eastAsia="Arial" w:hAnsi="Arial"/>
          <w:sz w:val="18"/>
          <w:szCs w:val="18"/>
          <w:color w:val="231F20"/>
        </w:rPr>
      </w:pPr>
    </w:p>
    <w:p>
      <w:pPr>
        <w:ind w:left="660" w:right="800" w:hanging="328"/>
        <w:spacing w:after="0" w:line="277" w:lineRule="auto"/>
        <w:tabs>
          <w:tab w:leader="none" w:pos="655"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access to charging stations and cost to charge an electric vehicle, especially in international markets, and related infrastructure costs and standardization;</w:t>
      </w:r>
    </w:p>
    <w:p>
      <w:pPr>
        <w:spacing w:after="0" w:line="62" w:lineRule="exact"/>
        <w:rPr>
          <w:rFonts w:ascii="Arial" w:cs="Arial" w:eastAsia="Arial" w:hAnsi="Arial"/>
          <w:sz w:val="18"/>
          <w:szCs w:val="18"/>
          <w:color w:val="231F20"/>
        </w:rPr>
      </w:pPr>
    </w:p>
    <w:p>
      <w:pPr>
        <w:ind w:left="660" w:right="220" w:hanging="328"/>
        <w:spacing w:after="0" w:line="277" w:lineRule="auto"/>
        <w:tabs>
          <w:tab w:leader="none" w:pos="655"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the availability of tax and other governmental incentives to purchase and operate electric vehicles or future regulation requiring increased use of nonpolluting vehicles; and</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macroeconomic factors.</w:t>
      </w:r>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231F20"/>
        </w:rPr>
        <w:t>The influence of any of the factors described above or any other factors may cause a general reduction in consumer demand for electric vehicles or our electric vehicles in particular, either of which would materially and adversely affect our business, results of operations, financial condition and prospects.</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231F20"/>
        </w:rPr>
        <w:t>Developments in electric vehicle or alternative fuel technology or improvements in the internal combustion engine may adversely affect the demand for our vehicles.</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231F20"/>
        </w:rPr>
        <w:t>We may be unable to keep up with changes in electric vehicle technology or alternatives to electricity as a fuel source and, as a result, our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our business and prospects in ways we do not currently anticipate. Existing and other battery cell technologies, fuels or sources of energy may emerge as customers’ preferred alternative to the technologies in our electric vehicles. Any failure by us to develop new or enhanced technologies or processes, or to react to changes in existing technologies, could materially delay our development and introduction of new and enhanced electric vehicles, which could result in the loss of competitiveness of our vehicles, decreased revenue and a loss of market share to competitors. In addition, we expect to compete in part on the basis of our vehicles’ range, efficiency, charging speeds and performance, and improvements in the technology offered by competitors could reduce demand for the Lucid Air or other future vehicles. As technologies change, we plan to upgrade or adapt our vehicles and introduce new models that reflect such technological developments, but our vehicles may become obsolete, and our research and development efforts may not be sufficient to adapt to changes in alternative fuel and electric vehicle technology. Additionally, as new companies and larger, existing vehicle manufacturers continue to enter the electric vehicle space, we may lose any technological advantage we may have and suffer a decline in our competitive position. Any failure by us to successfully react to changes in existing technologies or the development of new technologies could materially harm our competitive position and growth prospects.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8" w:name="page59"/>
    <w:bookmarkEnd w:id="58"/>
    <w:p>
      <w:pPr>
        <w:spacing w:after="0" w:line="277" w:lineRule="auto"/>
        <w:rPr>
          <w:sz w:val="20"/>
          <w:szCs w:val="20"/>
          <w:color w:val="auto"/>
        </w:rPr>
      </w:pPr>
      <w:r>
        <w:rPr>
          <w:rFonts w:ascii="Arial" w:cs="Arial" w:eastAsia="Arial" w:hAnsi="Arial"/>
          <w:sz w:val="18"/>
          <w:szCs w:val="18"/>
          <w:b w:val="1"/>
          <w:bCs w:val="1"/>
          <w:i w:val="1"/>
          <w:iCs w:val="1"/>
          <w:color w:val="231F20"/>
        </w:rPr>
        <w:t>Extended periods of low gasoline or other petroleum-based fuel prices could adversely affect demand for our vehicles, which would adversely affect our business, prospects, results of operations and financial condition.</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A portion of the current and expected demand for electric vehicles results from concerns about volatility in the cost of gasoline and other petroleum-based fuel, the dependency of the United States on oil from unstable or hostile countries, government regulations and economic incentives promoting fuel efficiency and alternative forms of energy, as well as concerns about climate change resulting in part from the burning of fossil fuels. If the cost of gasoline and other petroleum-based fuel decreases significantly, the outlook for the long-term supply of oil to the United States improves, the government eliminates or modifies its regulations or economic incentives related to fuel efficiency and alternative forms of energy or there is a change in the perception that the burning of fossil fuels negatively impacts the environment, the demand for electric vehicles, including our vehicles, could be reduced, and our business and revenue may be harmed.</w:t>
      </w:r>
    </w:p>
    <w:p>
      <w:pPr>
        <w:spacing w:after="0" w:line="19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231F20"/>
        </w:rPr>
        <w:t>Gasoline and other petroleum-based fuel prices have historically been extremely volatile, particularly during the ongoing COVID-19 pandemic, and it is difficult to ascertain whether such volatility will continue to persist. Lower gasoline or other petroleum-based fuel prices over extended periods of time may lower the perception in government and the private sector that cheaper, more readily available energy alternatives should be developed and produced. If gasoline or other petroleum-based fuel prices remain at deflated levels for extended periods of time, the demand for electric vehicles, including our vehicles, may decrease, which would have an adverse effect on our business, prospects, financial condition and results of operations.</w:t>
      </w:r>
    </w:p>
    <w:p>
      <w:pPr>
        <w:spacing w:after="0" w:line="16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231F20"/>
        </w:rPr>
        <w:t>The unavailability, reduction or elimination of certain government and economic programs could have a material adverse effect on our business, prospects, financial condition and results of operations.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 xml:space="preserve">We expect to benefit from government and economic programs that encourage the development, manufacture or purchase of electric vehicles, such as zero emission vehicle credits, greenhouse gas credits and similar regulatory credits, the loss of which could harm our ability to generate revenue from the sale of such credits to other manufacturers; tax credits and other incentives to consumers, without which the net cost to consumers of our vehicles would increase, potentially reducing demand for our products; and investment tax credits for equipment, tooling and other capital needs, without which we may be unable to procure the necessary infrastructure for production to support our business and timeline; and certain other benefits, including a California sales and use tax exclusion and certain other hiring and job training credits in California and Arizona. We may also benefit from government loan programs, such as loans under the Advanced Technology Vehicles Manufacturing Loan Program administered by the U.S. Department of Energy. Any reduction, elimination or selective application of tax and other governmental programs and incentives because of policy changes, the reduced need for such programs due to the perceived success of the electric vehicle, fiscal tightening or other reasons may result in the diminished competitiveness of the electric vehicle industry generally or our electric vehicles in particular, which would adversely affect our business, prospects, financial condition and results of operations. Further, we cannot assure you that the current governmental incentives and subsidies available for purchasers of electric vehicles will remain available. For example, beginning in 2023, the recently enacted Inflation Reduction Act of 2022 eliminated the $7,500 federal tax credit for sedans that have a manufacturer’s suggested retail price over $55,000. </w:t>
      </w:r>
      <w:r>
        <w:rPr>
          <w:rFonts w:ascii="Arial" w:cs="Arial" w:eastAsia="Arial" w:hAnsi="Arial"/>
          <w:sz w:val="16"/>
          <w:szCs w:val="16"/>
          <w:color w:val="000000"/>
        </w:rPr>
        <w:t>See “—Risks Related to Our Business and Operations —</w:t>
      </w:r>
      <w:r>
        <w:rPr>
          <w:rFonts w:ascii="Arial" w:cs="Arial" w:eastAsia="Arial" w:hAnsi="Arial"/>
          <w:sz w:val="16"/>
          <w:szCs w:val="16"/>
          <w:color w:val="231F20"/>
        </w:rPr>
        <w:t xml:space="preserve"> </w:t>
      </w:r>
      <w:r>
        <w:rPr>
          <w:rFonts w:ascii="Arial" w:cs="Arial" w:eastAsia="Arial" w:hAnsi="Arial"/>
          <w:sz w:val="16"/>
          <w:szCs w:val="16"/>
          <w:i w:val="1"/>
          <w:iCs w:val="1"/>
          <w:color w:val="231F20"/>
        </w:rPr>
        <w:t>We have received only a limited number of</w:t>
      </w:r>
      <w:r>
        <w:rPr>
          <w:rFonts w:ascii="Arial" w:cs="Arial" w:eastAsia="Arial" w:hAnsi="Arial"/>
          <w:sz w:val="16"/>
          <w:szCs w:val="16"/>
          <w:color w:val="231F20"/>
        </w:rPr>
        <w:t xml:space="preserve"> </w:t>
      </w:r>
      <w:r>
        <w:rPr>
          <w:rFonts w:ascii="Arial" w:cs="Arial" w:eastAsia="Arial" w:hAnsi="Arial"/>
          <w:sz w:val="16"/>
          <w:szCs w:val="16"/>
          <w:i w:val="1"/>
          <w:iCs w:val="1"/>
          <w:color w:val="231F20"/>
        </w:rPr>
        <w:t>reservations and orders for the Lucid Air, all of which may be cancelled</w:t>
      </w:r>
      <w:r>
        <w:rPr>
          <w:rFonts w:ascii="Arial" w:cs="Arial" w:eastAsia="Arial" w:hAnsi="Arial"/>
          <w:sz w:val="16"/>
          <w:szCs w:val="16"/>
          <w:color w:val="000000"/>
        </w:rPr>
        <w:t>.”</w:t>
      </w:r>
    </w:p>
    <w:p>
      <w:pPr>
        <w:spacing w:after="0" w:line="17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231F20"/>
        </w:rPr>
        <w:t>While certain U.S. federal and state tax credits and other incentives for alternative energy production and alternative fuel and electric vehicles have been available in the past, there is no guarantee these programs will be available in the future. If current tax incentives are not available in the future, our financial position could be harmed.</w:t>
      </w:r>
    </w:p>
    <w:p>
      <w:pPr>
        <w:spacing w:after="0" w:line="21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231F20"/>
        </w:rPr>
        <w:t>We may not be able to obtain or agree on acceptable terms and conditions for all or a significant portion of the government grants, loans and other incentives for which we may apply. As a result, our business and prospects may be adversely affected.</w:t>
      </w:r>
    </w:p>
    <w:p>
      <w:pPr>
        <w:spacing w:after="0" w:line="17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231F20"/>
        </w:rPr>
        <w:t>We may apply for federal and state grants, loans and tax incentives under government programs designed to stimulate the economy and support the production of alternative fuel and electric vehicles and related technologies. We anticipate that in the future there will be new opportunities for us to apply for grants, loans and other incentives from the United States federal and state governments, as well as foreign governments. Our ability to obtain funds or incentives from government sources is subject to the availability of funds under applicable government programs and approval of our applications to participate in such programs. The application process for these funds and other incentives will likely be highly competitive. We cannot assure you that we will be successful in obtaining any of these additional grants, loans and other incentives. If we are not successful in obtaining any of these additional incentives and we are unable to find alternative sources of funding to meet our planned capital needs, our business and prospects could be materially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If we fail to manage our future growth effectively, we may not be able to develop, manufacture, distribute, market and sell our vehicles successfully.</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231F20"/>
        </w:rPr>
        <w:t>Any failure to manage our growth effectively could materially and adversely affect our business, prospects, results of operations and financial condition.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We are expanding our operations significantly and our current and future expansion plans include:</w:t>
      </w:r>
    </w:p>
    <w:p>
      <w:pPr>
        <w:spacing w:after="0" w:line="10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expanding our management team;</w:t>
      </w:r>
    </w:p>
    <w:p>
      <w:pPr>
        <w:sectPr>
          <w:pgSz w:w="11900" w:h="16838" w:orient="portrait"/>
          <w:cols w:equalWidth="0" w:num="1">
            <w:col w:w="11220"/>
          </w:cols>
          <w:pgMar w:left="320" w:top="989" w:right="359" w:bottom="1440" w:gutter="0" w:footer="0" w:header="0"/>
        </w:sect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type w:val="continuous"/>
        </w:sectPr>
      </w:pPr>
    </w:p>
    <w:bookmarkStart w:id="59" w:name="page60"/>
    <w:bookmarkEnd w:id="59"/>
    <w:p>
      <w:pPr>
        <w:ind w:left="660" w:hanging="328"/>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hiring and training new personnel;</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establishing or expanding design, manufacturing, distribution, sales and service facilities;</w:t>
      </w:r>
    </w:p>
    <w:p>
      <w:pPr>
        <w:spacing w:after="0" w:line="117" w:lineRule="exact"/>
        <w:rPr>
          <w:rFonts w:ascii="Arial" w:cs="Arial" w:eastAsia="Arial" w:hAnsi="Arial"/>
          <w:sz w:val="18"/>
          <w:szCs w:val="18"/>
          <w:color w:val="231F20"/>
        </w:rPr>
      </w:pPr>
    </w:p>
    <w:p>
      <w:pPr>
        <w:ind w:left="660" w:right="180" w:hanging="328"/>
        <w:spacing w:after="0" w:line="277" w:lineRule="auto"/>
        <w:tabs>
          <w:tab w:leader="none" w:pos="655"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implementing and enhancing administrative and business infrastructure, systems and processes, including in connection with our maturation as a public company; and</w:t>
      </w:r>
    </w:p>
    <w:p>
      <w:pPr>
        <w:spacing w:after="0" w:line="62" w:lineRule="exact"/>
        <w:rPr>
          <w:rFonts w:ascii="Arial" w:cs="Arial" w:eastAsia="Arial" w:hAnsi="Arial"/>
          <w:sz w:val="18"/>
          <w:szCs w:val="18"/>
          <w:color w:val="231F20"/>
        </w:rPr>
      </w:pPr>
    </w:p>
    <w:p>
      <w:pPr>
        <w:ind w:left="660" w:right="620" w:hanging="328"/>
        <w:spacing w:after="0" w:line="277" w:lineRule="auto"/>
        <w:tabs>
          <w:tab w:leader="none" w:pos="655"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expanding into new markets and establishing sales, service, administrative, distribution, and/or manufacturing operations in many of those markets.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231F20"/>
        </w:rPr>
        <w:t>We intend to continue to hire a significant number of additional personnel, including design and manufacturing personnel and service technicians for our vehicles. Because our vehicles are based on a different technology platform than traditional internal combustion engines, individuals with sufficient training in electric vehicles may not be available to hire, and as a result, we will need to expend significant time and expense training the employees we do hire. Competition for individuals with experience in supply chain management and logistics as well as designing, engineering, manufacturing and servicing electric vehicles is intense, and we may not be able to identify, attract, integrate, train, motivate or retain additional highly qualified personnel in the future. The failure to identify, attract, integrate, train, motivate and retain these additional employees could seriously harm our business and pros</w:t>
      </w:r>
      <w:r>
        <w:rPr>
          <w:rFonts w:ascii="Arial" w:cs="Arial" w:eastAsia="Arial" w:hAnsi="Arial"/>
          <w:sz w:val="16"/>
          <w:szCs w:val="16"/>
          <w:color w:val="000000"/>
        </w:rPr>
        <w:t>pects. Our</w:t>
      </w:r>
      <w:r>
        <w:rPr>
          <w:rFonts w:ascii="Arial" w:cs="Arial" w:eastAsia="Arial" w:hAnsi="Arial"/>
          <w:sz w:val="16"/>
          <w:szCs w:val="16"/>
          <w:color w:val="231F20"/>
        </w:rPr>
        <w:t xml:space="preserve"> </w:t>
      </w:r>
      <w:r>
        <w:rPr>
          <w:rFonts w:ascii="Arial" w:cs="Arial" w:eastAsia="Arial" w:hAnsi="Arial"/>
          <w:sz w:val="16"/>
          <w:szCs w:val="16"/>
          <w:color w:val="000000"/>
        </w:rPr>
        <w:t xml:space="preserve">employee equity program is a key factor in our ability to attract and retain talent and continue to support the growth of the company. If </w:t>
      </w:r>
      <w:r>
        <w:rPr>
          <w:rFonts w:ascii="Arial" w:cs="Arial" w:eastAsia="Arial" w:hAnsi="Arial"/>
          <w:sz w:val="16"/>
          <w:szCs w:val="16"/>
          <w:color w:val="231F20"/>
        </w:rPr>
        <w:t>we are unable to</w:t>
      </w:r>
      <w:r>
        <w:rPr>
          <w:rFonts w:ascii="Arial" w:cs="Arial" w:eastAsia="Arial" w:hAnsi="Arial"/>
          <w:sz w:val="16"/>
          <w:szCs w:val="16"/>
          <w:color w:val="000000"/>
        </w:rPr>
        <w:t xml:space="preserve"> </w:t>
      </w:r>
      <w:r>
        <w:rPr>
          <w:rFonts w:ascii="Arial" w:cs="Arial" w:eastAsia="Arial" w:hAnsi="Arial"/>
          <w:sz w:val="16"/>
          <w:szCs w:val="16"/>
          <w:color w:val="231F20"/>
        </w:rPr>
        <w:t>grant equity awards, or if we are forced to reduce the value of equity awards we grant due to shortage of shares available for issuance under our stock incentive plan, we may not be able to attract, hire and retain the personnel necessary for our business, which would have a material adverse effect on our business, prospects financial condition and results of operations. In addition, our success is substantially dependent upon the continued service and performance of our senior management team and key technical and vehicle management personnel. If any key personnel were to separate their employment with us, such separation would likely increase the difficulty of managing our future growth and heighten the foregoing risks.</w:t>
      </w:r>
    </w:p>
    <w:p>
      <w:pPr>
        <w:spacing w:after="0" w:line="16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231F20"/>
        </w:rPr>
        <w:t>We also have no experience to date in high volume manufacturing of our vehicles. We cannot assure our investors that we will be able to develop and implement efficient, automated, low-cost manufacturing capabilities and processes, and reliable sources of component supply that will enable us to meet the quality, price, engineering, design and production standards, as well as the production volumes, required to successfully market our vehicles. We have also experienced, and may continue to experience, logistics challenges with respect to our manufacturing and warehousing facilities. Any failure to develop and implement such manufacturing processes and capabilities within our projected costs and timelines could stunt our future growth and impair our ability to produce, market, service and sell or lease our vehicles successfully. In addition, our rapid growth, competitive real estate markets, and increasing rental rates, may impact our ability to obtain suitable space to accommodate our growing operations or to renew existing leases on terms favorable to us, if at all. Any failure to obtain or renew leases for real property on terms favorable to us when we need them may limit our growth, impact our operations and have an adverse impact on our financial condition. If we fail to manage our growth effectively, such failure could result in negative publicity and damage to our brand and have a material adverse effect on our business, prospects, financial condition and results of operations.</w:t>
      </w:r>
    </w:p>
    <w:p>
      <w:pPr>
        <w:spacing w:after="0" w:line="168" w:lineRule="exact"/>
        <w:rPr>
          <w:sz w:val="20"/>
          <w:szCs w:val="20"/>
          <w:color w:val="auto"/>
        </w:rPr>
      </w:pPr>
    </w:p>
    <w:p>
      <w:pPr>
        <w:jc w:val="both"/>
        <w:ind w:right="500"/>
        <w:spacing w:after="0" w:line="381" w:lineRule="auto"/>
        <w:rPr>
          <w:sz w:val="20"/>
          <w:szCs w:val="20"/>
          <w:color w:val="auto"/>
        </w:rPr>
      </w:pPr>
      <w:r>
        <w:rPr>
          <w:rFonts w:ascii="Arial" w:cs="Arial" w:eastAsia="Arial" w:hAnsi="Arial"/>
          <w:sz w:val="15"/>
          <w:szCs w:val="15"/>
          <w:b w:val="1"/>
          <w:bCs w:val="1"/>
          <w:i w:val="1"/>
          <w:iCs w:val="1"/>
          <w:color w:val="231F20"/>
        </w:rPr>
        <w:t>We may be unable to offer attractive leasing and financing options for the Lucid Air and future vehicles, which would adversely affect consumer demand for the Lucid Air and our future vehicles. In addition, offering leasing and financing options to customers could expose us to credit risk.</w:t>
      </w:r>
    </w:p>
    <w:p>
      <w:pPr>
        <w:spacing w:after="0" w:line="10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231F20"/>
        </w:rPr>
        <w:t>We offer leasing and financing of our vehicles to potential customers in the United States through a third-party financing partner and intend to do the same in other markets through third-party financing partners, but we cannot provide any assurance that such third-party financing partners will continue, or would be able or willing, to provide such services on terms acceptable to us or our customers. Furthermore, because we have only sold a limited number of vehicles and no secondary market for our vehicles exists, the future resale value of our vehicles is difficult to predict, and the possibility that resale values could be lower than we expect increases the difficulty of providing leasing terms that appeal to potential customers through such third-party financing partners. We believe that the ability to offer attractive leasing and financing options is particularly relevant to customers in the luxury vehicle segments in which we compete, and if we are unable to offer our customers an attractive option to finance the purchase of or lease the Lucid Air or planned future vehicles, such failure could substantially reduce the population of potential customers and decrease demand for our vehicles.</w:t>
      </w:r>
    </w:p>
    <w:p>
      <w:pPr>
        <w:spacing w:after="0" w:line="16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231F20"/>
        </w:rPr>
        <w:t>Furthermore, offering leasing and financing alternatives to customers could expose us to risks commonly associated with the extension of consumer credit. Competitive pressure and challenging markets could increase credit risk through leases and loans to financially weak customers, extended payment terms, and leases and loans into new and immature markets, and any such credit risk could be further heightened in light of the economic uncertainty and any economic recession or other downturn, whether due to inflation, ongoing conflict in Ukraine, COVID-19, or other public crises. If we are unable to provide leasing and financing arrangements that appeal to potential customers, or if the provision of such arrangements exposes us to excessive consumer credit risk, our business, competitive position, results of operations and financial condition could be adversely affected.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0" w:name="page61"/>
    <w:bookmarkEnd w:id="60"/>
    <w:p>
      <w:pPr>
        <w:ind w:right="540"/>
        <w:spacing w:after="0" w:line="342" w:lineRule="auto"/>
        <w:rPr>
          <w:sz w:val="20"/>
          <w:szCs w:val="20"/>
          <w:color w:val="auto"/>
        </w:rPr>
      </w:pPr>
      <w:r>
        <w:rPr>
          <w:rFonts w:ascii="Arial" w:cs="Arial" w:eastAsia="Arial" w:hAnsi="Arial"/>
          <w:sz w:val="16"/>
          <w:szCs w:val="16"/>
          <w:b w:val="1"/>
          <w:bCs w:val="1"/>
          <w:i w:val="1"/>
          <w:iCs w:val="1"/>
          <w:color w:val="231F20"/>
        </w:rPr>
        <w:t>We are subject to risks associated with autonomous driving and advanced driver assistance system technology, and we cannot guarantee that our vehicles will achieve our targeted assisted or autonomous driving functionality within our projected timeframe, if ever.</w:t>
      </w:r>
    </w:p>
    <w:p>
      <w:pPr>
        <w:spacing w:after="0" w:line="151" w:lineRule="exact"/>
        <w:rPr>
          <w:sz w:val="20"/>
          <w:szCs w:val="20"/>
          <w:color w:val="auto"/>
        </w:rPr>
      </w:pPr>
    </w:p>
    <w:p>
      <w:pPr>
        <w:spacing w:after="0" w:line="288" w:lineRule="auto"/>
        <w:rPr>
          <w:sz w:val="20"/>
          <w:szCs w:val="20"/>
          <w:color w:val="auto"/>
        </w:rPr>
      </w:pPr>
      <w:r>
        <w:rPr>
          <w:rFonts w:ascii="Arial" w:cs="Arial" w:eastAsia="Arial" w:hAnsi="Arial"/>
          <w:sz w:val="16"/>
          <w:szCs w:val="16"/>
          <w:color w:val="231F20"/>
        </w:rPr>
        <w:t>Our vehicles are designed with advanced driver assistance system (“</w:t>
      </w:r>
      <w:r>
        <w:rPr>
          <w:rFonts w:ascii="Arial" w:cs="Arial" w:eastAsia="Arial" w:hAnsi="Arial"/>
          <w:sz w:val="16"/>
          <w:szCs w:val="16"/>
          <w:i w:val="1"/>
          <w:iCs w:val="1"/>
          <w:color w:val="231F20"/>
        </w:rPr>
        <w:t>ADAS</w:t>
      </w:r>
      <w:r>
        <w:rPr>
          <w:rFonts w:ascii="Arial" w:cs="Arial" w:eastAsia="Arial" w:hAnsi="Arial"/>
          <w:sz w:val="16"/>
          <w:szCs w:val="16"/>
          <w:color w:val="231F20"/>
        </w:rPr>
        <w:t xml:space="preserve">”) hardware and software, and we expect to release a Lucid Air software update and launch Project Gravity with Level 2 (partial automation) ADAS functionality, which we plan to upgrade with additional capabilities over time. </w:t>
      </w:r>
      <w:r>
        <w:rPr>
          <w:rFonts w:ascii="Arial" w:cs="Arial" w:eastAsia="Arial" w:hAnsi="Arial"/>
          <w:sz w:val="16"/>
          <w:szCs w:val="16"/>
          <w:color w:val="000000"/>
        </w:rPr>
        <w:t>ADAS</w:t>
      </w:r>
      <w:r>
        <w:rPr>
          <w:rFonts w:ascii="Arial" w:cs="Arial" w:eastAsia="Arial" w:hAnsi="Arial"/>
          <w:sz w:val="16"/>
          <w:szCs w:val="16"/>
          <w:color w:val="231F20"/>
        </w:rPr>
        <w:t xml:space="preserve">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non-Lucid vehicles, including alleged failures or misuse of such features, have generated significant negative media attention and government investigations. We and others in our industry are subject to a Standing General Order issued by NHTSA that requires us to report any crashes in which certain </w:t>
      </w:r>
      <w:r>
        <w:rPr>
          <w:rFonts w:ascii="Arial" w:cs="Arial" w:eastAsia="Arial" w:hAnsi="Arial"/>
          <w:sz w:val="16"/>
          <w:szCs w:val="16"/>
          <w:color w:val="000000"/>
        </w:rPr>
        <w:t>ADAS</w:t>
      </w:r>
      <w:r>
        <w:rPr>
          <w:rFonts w:ascii="Arial" w:cs="Arial" w:eastAsia="Arial" w:hAnsi="Arial"/>
          <w:sz w:val="16"/>
          <w:szCs w:val="16"/>
          <w:color w:val="231F20"/>
        </w:rPr>
        <w:t xml:space="preserve"> features were active, and these crash reports will become publicly available. To the extent accidents associated with our </w:t>
      </w:r>
      <w:r>
        <w:rPr>
          <w:rFonts w:ascii="Arial" w:cs="Arial" w:eastAsia="Arial" w:hAnsi="Arial"/>
          <w:sz w:val="16"/>
          <w:szCs w:val="16"/>
          <w:color w:val="000000"/>
        </w:rPr>
        <w:t xml:space="preserve">ADAS </w:t>
      </w:r>
      <w:r>
        <w:rPr>
          <w:rFonts w:ascii="Arial" w:cs="Arial" w:eastAsia="Arial" w:hAnsi="Arial"/>
          <w:sz w:val="16"/>
          <w:szCs w:val="16"/>
          <w:color w:val="231F20"/>
        </w:rPr>
        <w:t>technologies occur, we could be subject to significant liability, negative publicity, government scrutiny and further regulation. Any of the foregoing</w:t>
      </w:r>
      <w:r>
        <w:rPr>
          <w:rFonts w:ascii="Arial" w:cs="Arial" w:eastAsia="Arial" w:hAnsi="Arial"/>
          <w:sz w:val="16"/>
          <w:szCs w:val="16"/>
          <w:color w:val="000000"/>
        </w:rPr>
        <w:t xml:space="preserve"> </w:t>
      </w:r>
      <w:r>
        <w:rPr>
          <w:rFonts w:ascii="Arial" w:cs="Arial" w:eastAsia="Arial" w:hAnsi="Arial"/>
          <w:sz w:val="16"/>
          <w:szCs w:val="16"/>
          <w:color w:val="231F20"/>
        </w:rPr>
        <w:t>could materially and adversely affect our results of operations, financial condition and growth prospects.</w:t>
      </w:r>
    </w:p>
    <w:p>
      <w:pPr>
        <w:spacing w:after="0" w:line="16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231F20"/>
        </w:rPr>
        <w:t xml:space="preserve">In addition, we face substantial competition in the development and deployment of </w:t>
      </w:r>
      <w:r>
        <w:rPr>
          <w:rFonts w:ascii="Arial" w:cs="Arial" w:eastAsia="Arial" w:hAnsi="Arial"/>
          <w:sz w:val="18"/>
          <w:szCs w:val="18"/>
          <w:color w:val="000000"/>
        </w:rPr>
        <w:t>ADAS</w:t>
      </w:r>
      <w:r>
        <w:rPr>
          <w:rFonts w:ascii="Arial" w:cs="Arial" w:eastAsia="Arial" w:hAnsi="Arial"/>
          <w:sz w:val="18"/>
          <w:szCs w:val="18"/>
          <w:color w:val="231F20"/>
        </w:rPr>
        <w:t xml:space="preserve"> technologies. Many of our competitors, including established automakers and technology companies, have devoted significant time and resources to developing self-driving technologies. If we are unable to develop competitive Level 2 or more advanced </w:t>
      </w:r>
      <w:r>
        <w:rPr>
          <w:rFonts w:ascii="Arial" w:cs="Arial" w:eastAsia="Arial" w:hAnsi="Arial"/>
          <w:sz w:val="18"/>
          <w:szCs w:val="18"/>
          <w:color w:val="000000"/>
        </w:rPr>
        <w:t>ADAS</w:t>
      </w:r>
      <w:r>
        <w:rPr>
          <w:rFonts w:ascii="Arial" w:cs="Arial" w:eastAsia="Arial" w:hAnsi="Arial"/>
          <w:sz w:val="18"/>
          <w:szCs w:val="18"/>
          <w:color w:val="231F20"/>
        </w:rPr>
        <w:t xml:space="preserve"> technologies in-house or acquire access to such technologies via partnerships or investments in other companies or assets, we may be unable to equip our vehicles with competitive </w:t>
      </w:r>
      <w:r>
        <w:rPr>
          <w:rFonts w:ascii="Arial" w:cs="Arial" w:eastAsia="Arial" w:hAnsi="Arial"/>
          <w:sz w:val="18"/>
          <w:szCs w:val="18"/>
          <w:color w:val="000000"/>
        </w:rPr>
        <w:t>ADAS</w:t>
      </w:r>
      <w:r>
        <w:rPr>
          <w:rFonts w:ascii="Arial" w:cs="Arial" w:eastAsia="Arial" w:hAnsi="Arial"/>
          <w:sz w:val="18"/>
          <w:szCs w:val="18"/>
          <w:color w:val="231F20"/>
        </w:rPr>
        <w:t xml:space="preserve"> features, which could damage our brand, reduce consumer demand for our vehicles or trigger cancellations of reservations and could have a material adverse effect on our business, results of operations, prospects and financial condition.</w:t>
      </w:r>
    </w:p>
    <w:p>
      <w:pPr>
        <w:spacing w:after="0" w:line="19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231F20"/>
        </w:rPr>
        <w:t xml:space="preserve">ADAS technology is also subject to considerable regulatory uncertainty, which exposes us to additional risks. See “— Risks Related to Litigation and Regulation </w:t>
      </w:r>
      <w:r>
        <w:rPr>
          <w:rFonts w:ascii="Arial" w:cs="Arial" w:eastAsia="Arial" w:hAnsi="Arial"/>
          <w:sz w:val="18"/>
          <w:szCs w:val="18"/>
          <w:i w:val="1"/>
          <w:iCs w:val="1"/>
          <w:color w:val="231F20"/>
        </w:rPr>
        <w:t>— ADAS technology is subject to uncertain and evolving regulations.</w:t>
      </w:r>
      <w:r>
        <w:rPr>
          <w:rFonts w:ascii="Arial" w:cs="Arial" w:eastAsia="Arial" w:hAnsi="Arial"/>
          <w:sz w:val="18"/>
          <w:szCs w:val="18"/>
          <w:color w:val="231F20"/>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business and prospects depend significantly on our brand.</w:t>
      </w:r>
    </w:p>
    <w:p>
      <w:pPr>
        <w:spacing w:after="0" w:line="22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231F20"/>
        </w:rPr>
        <w:t>Our business and prospects will heavily depend on our ability to develop, maintain, protect and strengthen the “Lucid” brand association with luxury and technological excellence. Promoting and positioning our brand will likely depend significantly on our ability to provide a consistently high-quality customer experience, an area in which we have limited experience. To promote our brand, we will be required to invest in, and over time we may be required to change our customer development and branding practices, which could result in substantially increased expenses, including the need to use traditional media such as television, radio and print advertising. Our ability to successfully position our brand could also be adversely affected by perceptions about the quality of our competitors’ vehicles or our competitors’ success. For example, certain of our competitors have been subject to significant scrutiny for incidents involving their self-driving technology and battery fires, which could result in similar scrutiny of us.</w:t>
      </w:r>
    </w:p>
    <w:p>
      <w:pPr>
        <w:spacing w:after="0" w:line="16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231F20"/>
        </w:rPr>
        <w:t>In particular, any negative publicity, whether or not true, can quickly proliferate on social media and harm consumer perception and confidence in our brand. The growing use of social media increases the speed with which information and opinions can be shared and, thus, the speed with which a company’s reputation can be affected. If we fail to correct or mitigate misinformation or negative information, including information spread through social media or traditional media channels, about us, the products we offer, our customer experience, or any aspect of our brand, our business, sales and results of operations could be adversely impacted. From time to time, our vehicles or those of our competitors may be evaluated and reviewed by third parties. Perceptions of our offerings in the marketplace may be significantly influenced by these reviews, which are disseminated via various media, including the internet. Any negative reviews or reviews which compare us unfavorably to competitors could adversely affect consumer perception about our vehicles and reduce demand for our vehicles, which could have a material adverse effect on our business, results of operations, prospects and financial condition.</w:t>
      </w:r>
    </w:p>
    <w:p>
      <w:pPr>
        <w:spacing w:after="0" w:line="16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231F20"/>
        </w:rPr>
        <w:t>We face risks associated with international operations, including unfavorable regulatory, political, tax and labor conditions, which could harm our business.</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231F20"/>
        </w:rPr>
        <w:t>We anticipate having operations and subsidiaries in Europe, the Middle East and China that are subject to the legal, political, regulatory and social requirements and economic conditions in these jurisdictions. Additionally, as part of our growth strategy, we have been expanding and may continue to expand our sales, maintenance and repair services outside of the United States. We have also started the construction of AMP-2 in the Kingdom of Saudi Arabia and may continue to further expand our manufacturing activities outside the United States. However, we have no experience to date manufacturing, selling or servicing our vehicles outside of the United States, and such expansion would require us to make significant expenditures, including the hiring of local employees and establishing facilities and related systems and processes, in advance of generating any revenue. We are subject to a number of risks associated with international business activities that may increase our costs, impact our ability to sell, service and manufacture our vehicles, and require significant management attention. These risks include:</w:t>
      </w:r>
    </w:p>
    <w:p>
      <w:pPr>
        <w:spacing w:after="0" w:line="7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conforming our vehicles to various international regulatory requirements where our vehicles are sold, or homologation;</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establishing localized supply chains and managing international supply chain and logistics costs;</w:t>
      </w:r>
    </w:p>
    <w:p>
      <w:pPr>
        <w:sectPr>
          <w:pgSz w:w="11900" w:h="16838" w:orient="portrait"/>
          <w:cols w:equalWidth="0" w:num="1">
            <w:col w:w="11240"/>
          </w:cols>
          <w:pgMar w:left="320" w:top="989"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61" w:name="page62"/>
    <w:bookmarkEnd w:id="61"/>
    <w:p>
      <w:pPr>
        <w:ind w:left="660" w:right="480" w:hanging="328"/>
        <w:spacing w:after="0" w:line="277" w:lineRule="auto"/>
        <w:tabs>
          <w:tab w:leader="none" w:pos="655"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establishing sufficient charging points for our customers in those jurisdictions, via partnerships or, if necessary, via development of our own charging networks;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difficulty in staffing and managing foreign operations;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difficulties attracting customers in new jurisdictions;</w:t>
      </w:r>
    </w:p>
    <w:p>
      <w:pPr>
        <w:spacing w:after="0" w:line="117" w:lineRule="exact"/>
        <w:rPr>
          <w:rFonts w:ascii="Arial" w:cs="Arial" w:eastAsia="Arial" w:hAnsi="Arial"/>
          <w:sz w:val="18"/>
          <w:szCs w:val="18"/>
          <w:color w:val="231F20"/>
        </w:rPr>
      </w:pPr>
    </w:p>
    <w:p>
      <w:pPr>
        <w:jc w:val="both"/>
        <w:ind w:left="660" w:right="400" w:hanging="328"/>
        <w:spacing w:after="0" w:line="263" w:lineRule="auto"/>
        <w:tabs>
          <w:tab w:leader="none" w:pos="655"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difficulties establishing international manufacturing operations, including difficulties establishing relationships with or establishing localized supplier bases and developing cost-effective and reliable supply chains for such manufacturing operations and financing such manufacturing operations;</w:t>
      </w:r>
    </w:p>
    <w:p>
      <w:pPr>
        <w:spacing w:after="0" w:line="75" w:lineRule="exact"/>
        <w:rPr>
          <w:rFonts w:ascii="Arial" w:cs="Arial" w:eastAsia="Arial" w:hAnsi="Arial"/>
          <w:sz w:val="18"/>
          <w:szCs w:val="18"/>
          <w:color w:val="231F20"/>
        </w:rPr>
      </w:pPr>
    </w:p>
    <w:p>
      <w:pPr>
        <w:ind w:left="660" w:right="22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w:t>
      </w:r>
      <w:r>
        <w:rPr>
          <w:rFonts w:ascii="Arial" w:cs="Arial" w:eastAsia="Arial" w:hAnsi="Arial"/>
          <w:sz w:val="18"/>
          <w:szCs w:val="18"/>
          <w:color w:val="231F20"/>
        </w:rPr>
        <w:t>ifficulties controlling costs and potential loss of funding, including as a result of delays in the construction, or commencement of operations at</w:t>
      </w:r>
      <w:r>
        <w:rPr>
          <w:rFonts w:ascii="Arial" w:cs="Arial" w:eastAsia="Arial" w:hAnsi="Arial"/>
          <w:sz w:val="18"/>
          <w:szCs w:val="18"/>
          <w:color w:val="auto"/>
        </w:rPr>
        <w:t xml:space="preserve"> </w:t>
      </w:r>
      <w:r>
        <w:rPr>
          <w:rFonts w:ascii="Arial" w:cs="Arial" w:eastAsia="Arial" w:hAnsi="Arial"/>
          <w:sz w:val="18"/>
          <w:szCs w:val="18"/>
          <w:color w:val="231F20"/>
        </w:rPr>
        <w:t>AMP-2;</w:t>
      </w:r>
    </w:p>
    <w:p>
      <w:pPr>
        <w:spacing w:after="0" w:line="62" w:lineRule="exact"/>
        <w:rPr>
          <w:rFonts w:ascii="Arial" w:cs="Arial" w:eastAsia="Arial" w:hAnsi="Arial"/>
          <w:sz w:val="18"/>
          <w:szCs w:val="18"/>
          <w:color w:val="auto"/>
        </w:rPr>
      </w:pPr>
    </w:p>
    <w:p>
      <w:pPr>
        <w:ind w:left="660" w:right="240" w:hanging="328"/>
        <w:spacing w:after="0" w:line="308" w:lineRule="auto"/>
        <w:tabs>
          <w:tab w:leader="none" w:pos="655" w:val="left"/>
        </w:tabs>
        <w:numPr>
          <w:ilvl w:val="0"/>
          <w:numId w:val="30"/>
        </w:numPr>
        <w:rPr>
          <w:rFonts w:ascii="Arial" w:cs="Arial" w:eastAsia="Arial" w:hAnsi="Arial"/>
          <w:sz w:val="17"/>
          <w:szCs w:val="17"/>
          <w:color w:val="231F20"/>
        </w:rPr>
      </w:pPr>
      <w:r>
        <w:rPr>
          <w:rFonts w:ascii="Arial" w:cs="Arial" w:eastAsia="Arial" w:hAnsi="Arial"/>
          <w:sz w:val="17"/>
          <w:szCs w:val="17"/>
          <w:color w:val="231F20"/>
        </w:rPr>
        <w:t>foreign government taxes, regulations and permit requirements, including foreign taxes that we may not be able to offset against taxes imposed upon us in the United States, and foreign tax and other laws limiting our ability to repatriate funds to the United States;</w:t>
      </w:r>
    </w:p>
    <w:p>
      <w:pPr>
        <w:spacing w:after="0" w:line="38" w:lineRule="exact"/>
        <w:rPr>
          <w:rFonts w:ascii="Arial" w:cs="Arial" w:eastAsia="Arial" w:hAnsi="Arial"/>
          <w:sz w:val="17"/>
          <w:szCs w:val="17"/>
          <w:color w:val="231F20"/>
        </w:rPr>
      </w:pPr>
    </w:p>
    <w:p>
      <w:pPr>
        <w:ind w:left="660" w:right="300" w:hanging="328"/>
        <w:spacing w:after="0" w:line="277" w:lineRule="auto"/>
        <w:tabs>
          <w:tab w:leader="none" w:pos="655"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inflation as well as fluctuations in foreign currency exchange rates and interest rates, including risks related to any forward currency contracts, interest rate swaps or other hedging activities we may undertake;</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United States and foreign government trade restrictions, tariffs and price or exchange controls;</w:t>
      </w:r>
    </w:p>
    <w:p>
      <w:pPr>
        <w:spacing w:after="0" w:line="117" w:lineRule="exact"/>
        <w:rPr>
          <w:rFonts w:ascii="Arial" w:cs="Arial" w:eastAsia="Arial" w:hAnsi="Arial"/>
          <w:sz w:val="18"/>
          <w:szCs w:val="18"/>
          <w:color w:val="231F20"/>
        </w:rPr>
      </w:pPr>
    </w:p>
    <w:p>
      <w:pPr>
        <w:ind w:left="660" w:right="800" w:hanging="328"/>
        <w:spacing w:after="0" w:line="277" w:lineRule="auto"/>
        <w:tabs>
          <w:tab w:leader="none" w:pos="655"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foreign laws, regulations and restrictions, including in the areas of supply chain, labor, environmental and health and safety, and related compliance costs;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foreign data privacy and security laws, regulations and obligations;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changes in diplomatic and trade relationships, including political risk and customer perceptions based on such changes and risks;</w:t>
      </w:r>
    </w:p>
    <w:p>
      <w:pPr>
        <w:spacing w:after="0" w:line="117" w:lineRule="exact"/>
        <w:rPr>
          <w:rFonts w:ascii="Arial" w:cs="Arial" w:eastAsia="Arial" w:hAnsi="Arial"/>
          <w:sz w:val="18"/>
          <w:szCs w:val="18"/>
          <w:color w:val="231F20"/>
        </w:rPr>
      </w:pPr>
    </w:p>
    <w:p>
      <w:pPr>
        <w:ind w:left="660" w:right="120" w:hanging="328"/>
        <w:spacing w:after="0" w:line="277" w:lineRule="auto"/>
        <w:tabs>
          <w:tab w:leader="none" w:pos="655"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political instability, natural disasters, pandemics (including severity, magnitude and the duration of the COVID-19 pandemic), war (including the conflict between Ukraine and Russia) or events of terrorism; and</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the strength of international economies.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231F20"/>
        </w:rPr>
        <w:t>If we fail to successfully address these risks, our business, prospects, results of operations and financial condition could be materially harmed.</w:t>
      </w:r>
    </w:p>
    <w:p>
      <w:pPr>
        <w:spacing w:after="0" w:line="2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231F20"/>
        </w:rPr>
        <w:t>Uninsured or underinsured losses could result in payment of substantial damages, which would decrease our cash reserves and could harm our cash flow and financial condition.</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231F20"/>
        </w:rPr>
        <w:t>In the ordinary course of business, we may be subject to losses resulting from claims such as product liability, significant accidents, acts of God or other claims brought against us, for which we may have no or insufficient insurance coverage. While we currently carry insurance that is customary for our size and operations, we may not maintain as much insurance coverage as other original equipment manufacturers, and in some cases, we may not maintain any at all. Additionally, the policies that we have may include significant deductibles or exclusions, and we cannot be certain that our insurance coverage will be sufficient to cover all or any future claims. A loss that is uninsured or exceeds existing policy limits may require us to pay unexpected and substantial amounts, which could adversely affect our financial condition and results of operations. Further, insurance coverage may not continue to be available to us or, if available, may be at a significantly higher cost, based on insurance market conditions or a change in our risk profile. This may require a change in our insurance purchasing philosophy and strategy which can result in the assumption of greater risks to offset insurance market fluctuations.</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Increasing scrutiny and changing expectations from global regulations, our investors, customers and employees with respect to our ESG practices may impose additional costs on us or expose us to new or additional risks.</w:t>
      </w:r>
    </w:p>
    <w:p>
      <w:pPr>
        <w:spacing w:after="0" w:line="1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There is increased focus, including from governmental organizations and our investors, customers and employees, on ESG issues such as environmental stewardship, climate change, diversity and inclusion, racial justice, workplace conduct, recyclability, sourcing and ESG disclosure. There can be no certainty that we will manage such issues successfully, or that we will successfully meet society’s expectations as to our proper role. Negative public perception, adverse publicity or negative comments in social media could damage our reputation if we do not, or are not perceived to, adequately address these issues. Any harm to our reputation could impact our employees’ engagement and retention and the willingness of our customers and partners to do business with us.</w:t>
      </w:r>
    </w:p>
    <w:p>
      <w:pPr>
        <w:spacing w:after="0" w:line="19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It is possible that our stakeholders may not be satisfied with our ESG disclosures, practices, or the speed of their adoption, and our systems may not be adequate to meet increasing global regulations on ESG topics. Actual or perceived shortcomings with respect to our ESG initiatives and reporting may subject us to litigation and could negatively impact our business. We could also incur additional costs and require additional resources to monitor, report, and comply with various ESG practices. In addition, a variety of organizations have developed ratings to measure the performance of companies on ESG topics, and the results of these assessments are widely publicized. Investment in funds that specialize in companies that perform well in such assessments are increasingly popular, and major institutional investors have publicly emphasized the</w:t>
      </w:r>
    </w:p>
    <w:p>
      <w:pPr>
        <w:sectPr>
          <w:pgSz w:w="11900" w:h="16838" w:orient="portrait"/>
          <w:cols w:equalWidth="0" w:num="1">
            <w:col w:w="11200"/>
          </w:cols>
          <w:pgMar w:left="320" w:top="881" w:right="379" w:bottom="1440" w:gutter="0" w:footer="0" w:header="0"/>
        </w:sect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type w:val="continuous"/>
        </w:sectPr>
      </w:pPr>
    </w:p>
    <w:bookmarkStart w:id="62" w:name="page63"/>
    <w:bookmarkEnd w:id="62"/>
    <w:p>
      <w:pPr>
        <w:jc w:val="both"/>
        <w:ind w:right="400"/>
        <w:spacing w:after="0" w:line="263" w:lineRule="auto"/>
        <w:rPr>
          <w:sz w:val="20"/>
          <w:szCs w:val="20"/>
          <w:color w:val="auto"/>
        </w:rPr>
      </w:pPr>
      <w:r>
        <w:rPr>
          <w:rFonts w:ascii="Arial" w:cs="Arial" w:eastAsia="Arial" w:hAnsi="Arial"/>
          <w:sz w:val="18"/>
          <w:szCs w:val="18"/>
          <w:color w:val="auto"/>
        </w:rPr>
        <w:t>importance of such ESG measures to their investment decisions. Unfavorable or downgraded ratings of our company or our industries, as well as non-inclusion or removal of our stock on ESG-oriented investment funds, may lead to negative investor sentiment and the diversion of investment to other companies or industries, which could have a negative impact on our stock price.</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due to the impacts of climate change, there are increasing risks to our business, including physical risks such as wildfires, floods, tornadoes or other events, that could cause disruptions to our supply chain, manufacturing, and corporate functions. We may incur additional costs and resources preparing for and addressing such risks.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Manufacturing and Supply Chain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31F20"/>
        </w:rPr>
        <w:t>We have experienced and may in the future experience significant delays in the design, manufacture, launch and financing of our vehicles, including the Lucid Air and Project Gravity, which could harm our business and prospects.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231F20"/>
        </w:rPr>
        <w:t>Our plan to commercially manufacture and sell our vehicles is dependent upon the timely availability of funds, upon our finalizing of the related design, engineering, component procurement, testing, build-out and manufacturing plans in a timely manner and also upon our ability to execute these plans within the planned timeline. Automobile manufacturers often experience delays in the design, manufacture and commercial release of new vehicle models, and we have experienced in the past, and may experience in the future, such delays with regard to additional variants of the Lucid Air or our other vehicles. For example, we have experienced delays in the engineering of certain of our vehicle systems, including as a result of design changes to components. Any future delays in the financing, design, manufacture and launch of the Lucid Air, including planned future variants, and any future electric vehicles could materially damage our business, prospects, financial condition and results of operations.</w:t>
      </w:r>
    </w:p>
    <w:p>
      <w:pPr>
        <w:spacing w:after="0" w:line="123"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231F20"/>
        </w:rPr>
        <w:t>Many of our vehicles are still in the development and/or testing phase and production of the Project Gravity SUV is not expected to begin until 2024, and may occur later or not at all. Additionally, prior to mass production of our electric vehicles, we will also need the vehicles to be fully approved for sale according to differing requirements, including but not limited to regulatory requirements, in the different geographies where we intend to launch our vehicles. Likewise, we have encountered and may continue to encounter delays with the design, construction, and regulatory or other approvals necessary to bring online our future expansions of the Casa Grande manufacturing facilities, or other future manufacturing facilities.</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color w:val="231F20"/>
        </w:rPr>
        <w:t>Furthermore, we rely on third party suppliers for the development, manufacture, and/or provision and development of many of the key components and materials used in our vehicles, as well as provisioning and servicing equipment in our manufacturing facilities. We have been affected by ongoing, industry-wide challenges in logistics and supply chains, such as increased port congestion, intermittent supplier delays, a shortfall of semiconductor supply, and international travel restrictions preventing supply quality engineers from conducting in-person visits and quality engineering for parts production. These challenges have affected our ability, and the ability of our suppliers, to obtain parts, components and manufacturing equipment on a timely basis, and in some instances have resulted in increased costs. We expect that the risk of unexpected disruptions will continue for the foreseeable future. To the extent our suppliers experience any delays in providing us with or developing necessary components, we could experience delays in delivering on our timelines.</w:t>
      </w:r>
    </w:p>
    <w:p>
      <w:pPr>
        <w:spacing w:after="0" w:line="11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231F20"/>
        </w:rPr>
        <w:t>Any significant delay or other complication in the production ramp of the Lucid Air or the development, manufacture, launch and production ramp of our future products, features and services, including complications associated with expanding our production capacity and supply chain or obtaining or maintaining related regulatory approvals, or inability to manage such ramps cost-effectively, could materially damage our brand, business, prospects, financial condition and results of operations.</w:t>
      </w:r>
    </w:p>
    <w:p>
      <w:pPr>
        <w:spacing w:after="0" w:line="13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231F20"/>
        </w:rPr>
        <w:t>The continued development of and the ability to manufacture our vehicles, including the Lucid Air and Project Gravity, are and will be subject to risks, including with respect to:</w:t>
      </w:r>
    </w:p>
    <w:p>
      <w:pPr>
        <w:spacing w:after="0" w:line="116"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7"/>
          <w:szCs w:val="17"/>
          <w:color w:val="231F20"/>
        </w:rPr>
      </w:pPr>
      <w:r>
        <w:rPr>
          <w:rFonts w:ascii="Arial" w:cs="Arial" w:eastAsia="Arial" w:hAnsi="Arial"/>
          <w:sz w:val="17"/>
          <w:szCs w:val="17"/>
          <w:color w:val="231F20"/>
        </w:rPr>
        <w:t>our ability to ensure readiness of firmware features and functions to be integrated into the Lucid Air as planned and on the desired timeline;</w:t>
      </w:r>
    </w:p>
    <w:p>
      <w:pPr>
        <w:spacing w:after="0" w:line="128" w:lineRule="exact"/>
        <w:rPr>
          <w:rFonts w:ascii="Arial" w:cs="Arial" w:eastAsia="Arial" w:hAnsi="Arial"/>
          <w:sz w:val="17"/>
          <w:szCs w:val="17"/>
          <w:color w:val="231F20"/>
        </w:rPr>
      </w:pPr>
    </w:p>
    <w:p>
      <w:pPr>
        <w:ind w:left="660" w:hanging="328"/>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our ability to finalize release candidate specifications for Project Gravity as planned and on the desired timeline;</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any delays by us in delivering final component designs to our suppliers or any changes to such component designs;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our or our suppliers’ ability to successfully tool their manufacturing facilities as planned and on the desired timeline;</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our ability to ensure a working supply chain and desired supplier part quality and quantity as planned and on the desired timeline;</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our ability to accurately manufacture vehicles within specified design tolerances;</w:t>
      </w:r>
    </w:p>
    <w:p>
      <w:pPr>
        <w:spacing w:after="0" w:line="117" w:lineRule="exact"/>
        <w:rPr>
          <w:rFonts w:ascii="Arial" w:cs="Arial" w:eastAsia="Arial" w:hAnsi="Arial"/>
          <w:sz w:val="18"/>
          <w:szCs w:val="18"/>
          <w:color w:val="231F20"/>
        </w:rPr>
      </w:pPr>
    </w:p>
    <w:p>
      <w:pPr>
        <w:ind w:left="660" w:right="400" w:hanging="328"/>
        <w:spacing w:after="0" w:line="277" w:lineRule="auto"/>
        <w:tabs>
          <w:tab w:leader="none" w:pos="655"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our ability to establish, implement, refine and scale, as well as make significant investments in manufacturing, supply chain management and logistics functions, including the related information technology systems and software applications;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our ability to adequately reduce and control the costs of key parts and materials;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our ability to manage any transitions or changes in our production process, planned or unplanned;</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63" w:name="page64"/>
    <w:bookmarkEnd w:id="63"/>
    <w:p>
      <w:pPr>
        <w:ind w:left="660" w:hanging="328"/>
        <w:spacing w:after="0"/>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the occurrence of product defects that cannot be remedied without adversely affecting the production;</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our ability to secure necessary funding;</w:t>
      </w:r>
    </w:p>
    <w:p>
      <w:pPr>
        <w:spacing w:after="0" w:line="117" w:lineRule="exact"/>
        <w:rPr>
          <w:rFonts w:ascii="Arial" w:cs="Arial" w:eastAsia="Arial" w:hAnsi="Arial"/>
          <w:sz w:val="18"/>
          <w:szCs w:val="18"/>
          <w:color w:val="231F20"/>
        </w:rPr>
      </w:pPr>
    </w:p>
    <w:p>
      <w:pPr>
        <w:ind w:left="660" w:right="480" w:hanging="328"/>
        <w:spacing w:after="0" w:line="277" w:lineRule="auto"/>
        <w:tabs>
          <w:tab w:leader="none" w:pos="655"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our ability to negotiate and execute definitive agreements with various suppliers for hardware, software, or services necessary to engineer or manufacture our vehicles;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our ability to obtain required regulatory approvals and certifications;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our ability to comply with environmental, safety, and similar regulations and in a timely manner;</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our ability to secure necessary components, services, or licenses on acceptable terms and in a timely manner;</w:t>
      </w:r>
    </w:p>
    <w:p>
      <w:pPr>
        <w:spacing w:after="0" w:line="117" w:lineRule="exact"/>
        <w:rPr>
          <w:rFonts w:ascii="Arial" w:cs="Arial" w:eastAsia="Arial" w:hAnsi="Arial"/>
          <w:sz w:val="18"/>
          <w:szCs w:val="18"/>
          <w:color w:val="231F20"/>
        </w:rPr>
      </w:pPr>
    </w:p>
    <w:p>
      <w:pPr>
        <w:ind w:left="660" w:right="400" w:hanging="328"/>
        <w:spacing w:after="0" w:line="277" w:lineRule="auto"/>
        <w:tabs>
          <w:tab w:leader="none" w:pos="655"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our ability to attract, recruit, hire, retain and train skilled employees including supply chain management, supplier quality, manufacturing and logistics personnel;</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our ability to design and implement effective and efficient quality control and inventory management processes;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delays or disruptions in our supply chain including raw material supplies;</w:t>
      </w:r>
    </w:p>
    <w:p>
      <w:pPr>
        <w:spacing w:after="0" w:line="117" w:lineRule="exact"/>
        <w:rPr>
          <w:rFonts w:ascii="Arial" w:cs="Arial" w:eastAsia="Arial" w:hAnsi="Arial"/>
          <w:sz w:val="18"/>
          <w:szCs w:val="18"/>
          <w:color w:val="231F20"/>
        </w:rPr>
      </w:pPr>
    </w:p>
    <w:p>
      <w:pPr>
        <w:ind w:left="660" w:right="700" w:hanging="328"/>
        <w:spacing w:after="0" w:line="277" w:lineRule="auto"/>
        <w:tabs>
          <w:tab w:leader="none" w:pos="655"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our ability to maintain arrangements on commercially reasonable terms with our suppliers, delivery and other partners, after sales service providers, and other operationally significant third parties;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other delays, backlog in manufacturing and research and development of new models, and cost overruns;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2"/>
        </w:numPr>
        <w:rPr>
          <w:rFonts w:ascii="Arial" w:cs="Arial" w:eastAsia="Arial" w:hAnsi="Arial"/>
          <w:sz w:val="17"/>
          <w:szCs w:val="17"/>
          <w:color w:val="231F20"/>
        </w:rPr>
      </w:pPr>
      <w:r>
        <w:rPr>
          <w:rFonts w:ascii="Arial" w:cs="Arial" w:eastAsia="Arial" w:hAnsi="Arial"/>
          <w:sz w:val="17"/>
          <w:szCs w:val="17"/>
          <w:color w:val="231F20"/>
        </w:rPr>
        <w:t>the severity, magnitude and duration of the ongoing COVID-19 pandemic, including related business interruptions and other effects; and</w:t>
      </w:r>
    </w:p>
    <w:p>
      <w:pPr>
        <w:spacing w:after="0" w:line="128" w:lineRule="exact"/>
        <w:rPr>
          <w:rFonts w:ascii="Arial" w:cs="Arial" w:eastAsia="Arial" w:hAnsi="Arial"/>
          <w:sz w:val="17"/>
          <w:szCs w:val="17"/>
          <w:color w:val="231F20"/>
        </w:rPr>
      </w:pPr>
    </w:p>
    <w:p>
      <w:pPr>
        <w:ind w:left="660" w:hanging="328"/>
        <w:spacing w:after="0"/>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any other risks identified herein.</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231F20"/>
        </w:rPr>
        <w:t>We expect that we will require additional financing to fund our planned operations and expansion plans. If we are unable to arrange for required funds under the terms and on the timeline that we anticipate, our plans for tooling and building out our manufacturing facilities and for commercial production of our electric vehicles could be significantly delayed, which would materially adversely affect our business, prospects, financial condition and results of operations. See “</w:t>
      </w:r>
      <w:r>
        <w:rPr>
          <w:rFonts w:ascii="Arial" w:cs="Arial" w:eastAsia="Arial" w:hAnsi="Arial"/>
          <w:sz w:val="18"/>
          <w:szCs w:val="18"/>
          <w:i w:val="1"/>
          <w:iCs w:val="1"/>
          <w:color w:val="231F20"/>
        </w:rPr>
        <w:t>—</w:t>
      </w:r>
      <w:r>
        <w:rPr>
          <w:rFonts w:ascii="Arial" w:cs="Arial" w:eastAsia="Arial" w:hAnsi="Arial"/>
          <w:sz w:val="18"/>
          <w:szCs w:val="18"/>
          <w:color w:val="231F20"/>
        </w:rPr>
        <w:t xml:space="preserve">Risks Related to Financing and Strategic Transactions </w:t>
      </w:r>
      <w:r>
        <w:rPr>
          <w:rFonts w:ascii="Arial" w:cs="Arial" w:eastAsia="Arial" w:hAnsi="Arial"/>
          <w:sz w:val="18"/>
          <w:szCs w:val="18"/>
          <w:i w:val="1"/>
          <w:iCs w:val="1"/>
          <w:color w:val="231F20"/>
        </w:rPr>
        <w:t>— We will require additional capital to support business growth, and this capital</w:t>
      </w:r>
      <w:r>
        <w:rPr>
          <w:rFonts w:ascii="Arial" w:cs="Arial" w:eastAsia="Arial" w:hAnsi="Arial"/>
          <w:sz w:val="18"/>
          <w:szCs w:val="18"/>
          <w:color w:val="231F20"/>
        </w:rPr>
        <w:t xml:space="preserve"> </w:t>
      </w:r>
      <w:r>
        <w:rPr>
          <w:rFonts w:ascii="Arial" w:cs="Arial" w:eastAsia="Arial" w:hAnsi="Arial"/>
          <w:sz w:val="18"/>
          <w:szCs w:val="18"/>
          <w:i w:val="1"/>
          <w:iCs w:val="1"/>
          <w:color w:val="231F20"/>
        </w:rPr>
        <w:t>might not be available on commercially reasonable terms, or at all.”</w:t>
      </w:r>
    </w:p>
    <w:p>
      <w:pPr>
        <w:spacing w:after="0" w:line="215" w:lineRule="exact"/>
        <w:rPr>
          <w:sz w:val="20"/>
          <w:szCs w:val="20"/>
          <w:color w:val="auto"/>
        </w:rPr>
      </w:pPr>
    </w:p>
    <w:p>
      <w:pPr>
        <w:jc w:val="both"/>
        <w:ind w:right="280"/>
        <w:spacing w:after="0" w:line="381" w:lineRule="auto"/>
        <w:rPr>
          <w:sz w:val="20"/>
          <w:szCs w:val="20"/>
          <w:color w:val="auto"/>
        </w:rPr>
      </w:pPr>
      <w:r>
        <w:rPr>
          <w:rFonts w:ascii="Arial" w:cs="Arial" w:eastAsia="Arial" w:hAnsi="Arial"/>
          <w:sz w:val="15"/>
          <w:szCs w:val="15"/>
          <w:b w:val="1"/>
          <w:bCs w:val="1"/>
          <w:i w:val="1"/>
          <w:iCs w:val="1"/>
          <w:color w:val="231F20"/>
        </w:rPr>
        <w:t>Our ability to continue production and our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10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231F20"/>
        </w:rPr>
        <w:t>Our success, including our ability to continue production of the Lucid Air, will depend on our ability to enter into supplier agreements and maintain our relationships with hundreds of suppliers that are critical to the output and production of our vehicles. To date, we have not secured long-term supply agreements for all of our components and for some components such as battery cells, our supply agreements do not guarantee sufficient quantities of components for our vehicle production ramp curve. We plan to seek opportunities to secure long-term committed supply agreements for certain of these components. The supplier agreements we have or may enter into with key suppliers in the future may not be renewed or may contain provisions under which suppliers may refuse to supply. To the extent that we do not have long-term supply agreements with guaranteed pricing for our parts or components, we will be exposed to fluctuations in prices of components, materials and equipment. In addition, our agreements for the purchase of battery cells and other components often contain pricing provisions that are subject to adjustment based on changes in market prices of key commodities and/or currency values. Substantial increases in the prices for such components, materials and equipment, whether due to supply chain or logistics issues or due to inflation, or increased energy or natural gas costs, would increase our operating costs and could reduce our margins if we cannot recoup the increased costs. Any attempts to increase the announced or expected prices of our vehicles in response to increased costs could be viewed negatively by our potential customers and could adversely affect our business, prospects, financial condition or results of operations.</w:t>
      </w:r>
    </w:p>
    <w:p>
      <w:pPr>
        <w:spacing w:after="0" w:line="195" w:lineRule="exact"/>
        <w:rPr>
          <w:sz w:val="20"/>
          <w:szCs w:val="20"/>
          <w:color w:val="auto"/>
        </w:rPr>
      </w:pPr>
    </w:p>
    <w:p>
      <w:pPr>
        <w:spacing w:after="0" w:line="263" w:lineRule="auto"/>
        <w:rPr>
          <w:sz w:val="20"/>
          <w:szCs w:val="20"/>
          <w:color w:val="auto"/>
        </w:rPr>
      </w:pPr>
      <w:r>
        <w:rPr>
          <w:rFonts w:ascii="Arial" w:cs="Arial" w:eastAsia="Arial" w:hAnsi="Arial"/>
          <w:sz w:val="18"/>
          <w:szCs w:val="18"/>
          <w:color w:val="231F20"/>
        </w:rPr>
        <w:t>We may also be at a disadvantage in negotiating supply agreements for the production of our vehicles due to our limited operating history. In addition, given that in many cases we are an aggregator of automotive parts produced by third party manufacturers, there is the possibility that supply agreements for the parts and components for our vehicles could be at costs that make it difficult for us to operate profitably.</w:t>
      </w:r>
    </w:p>
    <w:p>
      <w:pPr>
        <w:spacing w:after="0" w:line="21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b w:val="1"/>
          <w:bCs w:val="1"/>
          <w:i w:val="1"/>
          <w:iCs w:val="1"/>
          <w:color w:val="231F20"/>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64" w:name="page65"/>
    <w:bookmarkEnd w:id="64"/>
    <w:p>
      <w:pPr>
        <w:ind w:right="100"/>
        <w:spacing w:after="0" w:line="293" w:lineRule="auto"/>
        <w:rPr>
          <w:sz w:val="20"/>
          <w:szCs w:val="20"/>
          <w:color w:val="auto"/>
        </w:rPr>
      </w:pPr>
      <w:r>
        <w:rPr>
          <w:rFonts w:ascii="Arial" w:cs="Arial" w:eastAsia="Arial" w:hAnsi="Arial"/>
          <w:sz w:val="16"/>
          <w:szCs w:val="16"/>
          <w:color w:val="231F20"/>
        </w:rPr>
        <w:t>We rely on hundreds of third-party suppliers for the provision and development of many of the key components and materials used in our vehicles. While we plan to obtain components from multiple sources whenever possible, many of the components used in our vehicles will be custom and purchased by us from a single source. Our limited, and in many cases single-source, supply chain exposes us to multiple potential sources of delivery failure or component shortages for our production. Our third-party suppliers may not be able to meet our required product specifications and performance characteristics, which would impact our ability to achieve our product specifications and performance characteristics as well. Additionally, our third-party suppliers may be unable to obtain required certifications or provide necessary warranties for their products that are necessary for use in our vehicles.</w:t>
      </w:r>
    </w:p>
    <w:p>
      <w:pPr>
        <w:spacing w:after="0" w:line="191"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We have been affected by ongoing, industry-wide challenges in logistics and supply chains, such as increased port congestion, intermittent supplier delays, a shortfall of semiconductor supply, and international travel restrictions preventing supply quality engineers from conducting in-person visits and quality engineering for parts production. We expect that these industry-wide trends may continue to affect the ability of us and our suppliers to obtain parts, components and manufacturing equipment on a timely basis for the foreseeable future, and may result in increased costs. Changes in our supply chain or production needs in order to meet our quality targets and development timelines as well as due to design changes have resulted in cost increases from our suppliers. Any significant increases in our production may in the future require us to procure additional components in a short amount of time and our suppliers may not ultimately be able to sustainably and timely meet our cost, quality and volume needs, requiring us to replace them with other sources. In many cases, our suppliers provide us with custom-designed parts that would require significant lead time to obtain from alternative suppliers, or may not be available from alternative suppliers at all. If we are unable to obtain suitable components and materials used in our vehicles from our suppliers or if our suppliers decide to create or supply a competing product, our business could be adversely affected. Further, if we are unsuccessful in our efforts to control and reduce supplier costs, our results of operations will suffer.</w:t>
      </w:r>
    </w:p>
    <w:p>
      <w:pPr>
        <w:spacing w:after="0" w:line="209" w:lineRule="exact"/>
        <w:rPr>
          <w:sz w:val="20"/>
          <w:szCs w:val="20"/>
          <w:color w:val="auto"/>
        </w:rPr>
      </w:pPr>
    </w:p>
    <w:p>
      <w:pPr>
        <w:spacing w:after="0" w:line="288" w:lineRule="auto"/>
        <w:rPr>
          <w:sz w:val="20"/>
          <w:szCs w:val="20"/>
          <w:color w:val="auto"/>
        </w:rPr>
      </w:pPr>
      <w:r>
        <w:rPr>
          <w:rFonts w:ascii="Arial" w:cs="Arial" w:eastAsia="Arial" w:hAnsi="Arial"/>
          <w:sz w:val="16"/>
          <w:szCs w:val="16"/>
          <w:color w:val="231F20"/>
        </w:rPr>
        <w:t>In addition, we have experienced, and in the future could continue to experience, delays if our suppliers do not meet agreed upon timelines, experience capacity constraints, or deliver components that do not meet our quality standards or other requirements. Any disruption in the supply of components, whether or not from a single source supplier, could temporarily disrupt production of our vehicles until an alternative supplier is able to supply the required material. Any such delay, even if caused by a delay or shortage in only one part, could significantly affect our ability to meet our planned vehicle production targets. Even in cases where we may be able to establish alternate supply relationships and obtain or engineer replacement components for our single source components, we may be unable to do so quickly, or at all, at prices or quality levels that are acceptable to us. This risk is heightened by the fact that we have less negotiating leverage with suppliers than larger and more established automobile manufacturers, which could adversely affect our ability to obtain necessary components and materials on a timely basis, on favorable pricing and other terms, or at all. The industry in which we operate has recently experienced severe supply chain disruptions, and we expect these conditions to continue for the foreseeable future. Any such supply disruption could materially and adversely affect our results of operations, financial condition and prospects.</w:t>
      </w:r>
    </w:p>
    <w:p>
      <w:pPr>
        <w:spacing w:after="0" w:line="19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231F20"/>
        </w:rPr>
        <w:t>Furthermore, as the scale of our vehicle production increases, we will need to accurately forecast, purchase, warehouse and transport components to our manufacturing facilities and servicing locations internationally and at much higher volumes. We are only beginning to scale production in our manufacturing facilities and in the process we have experienced challenges associated with such activities. In addition, we have not yet begun servicing vehicles at significant volumes. Accordingly, our ability to scale production and vehicle servicing and mitigate risks associated with these activities has not been thoroughly tested. In addition, our current systems and processes are not mature, which may affect our ability to timely initiate critical and time sensitive projects and increase project costs. If we continue to experience logistics challenges, are unable to accurately match the timing and quantities of component purchases to our actual needs, successfully recruit and retain personnel with relevant experience, timely comply with applicable regulations, or successfully implement automation, inventory management and other systems or processes to accommodate the increased complexity in our supply chain and manufacturing operations, we may incur unexpected production disruption, storage, transportation and write-off costs, which could have a material adverse effect on our results of operations and financial condition.</w:t>
      </w:r>
    </w:p>
    <w:p>
      <w:pPr>
        <w:spacing w:after="0" w:line="212" w:lineRule="exact"/>
        <w:rPr>
          <w:sz w:val="20"/>
          <w:szCs w:val="20"/>
          <w:color w:val="auto"/>
        </w:rPr>
      </w:pPr>
    </w:p>
    <w:p>
      <w:pPr>
        <w:spacing w:after="0" w:line="288" w:lineRule="auto"/>
        <w:rPr>
          <w:sz w:val="20"/>
          <w:szCs w:val="20"/>
          <w:color w:val="auto"/>
        </w:rPr>
      </w:pPr>
      <w:r>
        <w:rPr>
          <w:rFonts w:ascii="Arial" w:cs="Arial" w:eastAsia="Arial" w:hAnsi="Arial"/>
          <w:sz w:val="16"/>
          <w:szCs w:val="16"/>
          <w:color w:val="231F20"/>
        </w:rPr>
        <w:t>Furthermore, unexpected changes in business conditions, materials pricing, labor issues, wars, governmental changes, tariffs, natural disasters, health epidemics such as the ongoing COVID-19 pandemic, and other factors beyond our and our suppliers’ control could also affect these suppliers’ ability to deliver components to us on a timely basis. We have also identified certain of our suppliers, including certain suppliers we deem critical, as having poor financial health or being at risk of bankruptcy. Although we routinely review our suppliers’ financial health and attempt to identify alternate suppliers where possible, the loss of any supplier, particularly a single- or limited-source supplier, or the disruption in the supply of components from our suppliers, could lead to vehicle design changes, production delays, idle manufacturing facilities and potential loss of access to important technology and parts for producing, servicing and supporting our vehicles, any of which could result in negative publicity, damage to our brand and a material and adverse effect on our business, prospects, results of operations and financial condition. In addition, if our suppliers experience substantial financial difficulties, cease operations or otherwise face business disruptions, including as a result of the effects of the COVID-19 pandemic, we may be required to provide substantial financial support to ensure supply continuity, which could have an additional adverse effect on our liquidity and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Increases in costs, disruption of supply or shortage of materials, in particular for lithium-ion cells or semiconductors, could harm our business.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65" w:name="page66"/>
    <w:bookmarkEnd w:id="65"/>
    <w:p>
      <w:pPr>
        <w:ind w:right="40"/>
        <w:spacing w:after="0" w:line="251" w:lineRule="auto"/>
        <w:rPr>
          <w:sz w:val="20"/>
          <w:szCs w:val="20"/>
          <w:color w:val="auto"/>
        </w:rPr>
      </w:pPr>
      <w:r>
        <w:rPr>
          <w:rFonts w:ascii="Arial" w:cs="Arial" w:eastAsia="Arial" w:hAnsi="Arial"/>
          <w:sz w:val="17"/>
          <w:szCs w:val="17"/>
          <w:color w:val="231F20"/>
        </w:rPr>
        <w:t>As we scale commercial production of our vehicles or any future energy storage systems, we have experienced and may continue to experience increases in the cost of or a sustained interruption in the supply or shortage of materials. Any such increase, supply interruption or shortage could materially and adversely impact our business, results of operations, prospects and financial condition. For example, as we continue our phased construction of our AMP-1 facility, we have experienced increases in steel prices and cost of construction labor. In addition, we use various materials in our business, including aluminum, steel, lithium, nickel, copper, cobalt, neodymium, terbium, praseodymium and manganese, as well as lithium-ion cells and semiconductors from suppliers. The prices for these materials fluctuate, and their available supply may be unstable, depending on market conditions, inflationary pressure and global demand for these materials, including as a result of increased production of electric vehicles, energy storage products by our competitors and the global supply chain crisis, and could adversely affect our business and results of operations. For instance, we are exposed to multiple risks relating to lithium-ion cells. These risks include:</w:t>
      </w:r>
    </w:p>
    <w:p>
      <w:pPr>
        <w:spacing w:after="0" w:line="334" w:lineRule="exact"/>
        <w:rPr>
          <w:sz w:val="20"/>
          <w:szCs w:val="20"/>
          <w:color w:val="auto"/>
        </w:rPr>
      </w:pPr>
    </w:p>
    <w:p>
      <w:pPr>
        <w:ind w:left="660" w:right="500" w:hanging="328"/>
        <w:spacing w:after="0" w:line="277" w:lineRule="auto"/>
        <w:tabs>
          <w:tab w:leader="none" w:pos="655"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the inability or unwillingness of current battery manufacturers to build or operate battery cell manufacturing plants to supply the numbers of lithium-ion cells required to support the growth of the electric vehicle industry as demand for such cells increases;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or unwillingness of current battery manufacturers to reserve production capacity or guarantee pricing;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an increase in the cost, or decrease in the available supply, of materials, such as cobalt, used in lithium-ion cells;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disruption in the supply of cells due to quality issues or recalls by battery cell manufacturers; and</w:t>
      </w:r>
    </w:p>
    <w:p>
      <w:pPr>
        <w:spacing w:after="0" w:line="117" w:lineRule="exact"/>
        <w:rPr>
          <w:rFonts w:ascii="Arial" w:cs="Arial" w:eastAsia="Arial" w:hAnsi="Arial"/>
          <w:sz w:val="18"/>
          <w:szCs w:val="18"/>
          <w:color w:val="231F20"/>
        </w:rPr>
      </w:pPr>
    </w:p>
    <w:p>
      <w:pPr>
        <w:ind w:left="660" w:right="160" w:hanging="328"/>
        <w:spacing w:after="0" w:line="277" w:lineRule="auto"/>
        <w:tabs>
          <w:tab w:leader="none" w:pos="655"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fluctuations in the value of any foreign currencies, and the Korean Won in particular, in which battery cell and related raw material purchases are or may be denominated against the U.S. dollar.</w:t>
      </w:r>
    </w:p>
    <w:p>
      <w:pPr>
        <w:spacing w:after="0" w:line="197" w:lineRule="exact"/>
        <w:rPr>
          <w:sz w:val="20"/>
          <w:szCs w:val="20"/>
          <w:color w:val="auto"/>
        </w:rPr>
      </w:pPr>
    </w:p>
    <w:p>
      <w:pPr>
        <w:spacing w:after="0" w:line="285" w:lineRule="auto"/>
        <w:rPr>
          <w:sz w:val="20"/>
          <w:szCs w:val="20"/>
          <w:color w:val="auto"/>
        </w:rPr>
      </w:pPr>
      <w:r>
        <w:rPr>
          <w:rFonts w:ascii="Arial" w:cs="Arial" w:eastAsia="Arial" w:hAnsi="Arial"/>
          <w:sz w:val="16"/>
          <w:szCs w:val="16"/>
          <w:color w:val="231F20"/>
        </w:rPr>
        <w:t>Our ability to manufacture our vehicles or any future energy storage systems will depend on the continued supply of battery cells for the battery packs used in our products. We have limited flexibility in changing battery cell suppliers, and any disruption in the supply of battery cells from such suppliers could disrupt production of our vehicles until a different supplier is fully qualified. Furthermore, our ability to manufacture our vehicles depends on continuing access to semiconductors and components that incorporate semiconductors. A global semiconductor supply shortage is having wide-ranging effects across multiple industries and the automotive industry in particular, and it has impacted many automotive suppliers and manufacturers, including us, that incorporate semiconductors into the parts they supply or manufacture. We have experienced and may continue to experience an impact on our operations as a result of the semiconductor supply shortage, and such shortage could in the future have a material impact on us or our suppliers, which could delay or reduce planned production levels of the Lucid Air or planned future vehicles, impair our ability to continue production once started or force us or our suppliers to pay exorbitant rates for continued access to semiconductors, any of which could have a material adverse effect on our business, prospects and results of operations. In addition, prices and transportation expenses for these materials fluctuate depending on many factors beyond our control, including fluctuations in supply and demand, foreign currency fluctuations, tariffs and taxes, fluctuations in energy prices and shortages in petroleum or natural gas supply, freight charges and other economic and political factors. These risks could be further magnified by geographical developments such as the conflict between Ukraine and Russia. Substantial increases in the prices for our materials or prices charged to us, such as those charged by battery cell or semiconductor suppliers, would increase our operating costs, and could reduce our margins if we cannot recoup the increased costs through increased prices. Any attempts to increase product prices in response to increased material costs could result in cancellations of orders and reservations and materially and adversely affect our brand, image, business, results of operations, prospects and financial condition.</w:t>
      </w:r>
    </w:p>
    <w:p>
      <w:pPr>
        <w:spacing w:after="0" w:line="203"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Furthermore, foreign currency fluctuations, tariffs or shortages in petroleum or natural gas and other economic or political conditions have contributed to and may continue to result in significant increases in freight charges and raw material costs. Substantial increases in the prices for our raw materials or components would increase our operating costs and could reduce our margins. In addition, a growth in popularity of electric vehicles without a significant expansion in battery cell production capacity could result in shortages which would result in increased materials costs to us, and would impact our expected manufacturing and delivery timelines, and adversely affect our business, prospects, financial condition, results of operations, and cash flows.</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231F20"/>
        </w:rPr>
        <w:t>We must develop complex software and technology systems, including in coordination with vendors and suppliers, in order to produce our electric vehicles, and there can be no assurance such systems will be successfully developed.</w:t>
      </w:r>
    </w:p>
    <w:p>
      <w:pPr>
        <w:spacing w:after="0" w:line="19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231F20"/>
        </w:rPr>
        <w:t>Our vehicles, including the Lucid Air, use a substantial amount of third-party and proprietary software and complex technological hardware to operate, some of which is still subject to further development and testing. The development and implementation of such advanced technologies is inherently complex, and requires coordination with our vendors and suppliers in order to integrate such technology into our electric vehicles and ensure it interoperates with other complex technology as designed and as expected.</w:t>
      </w:r>
    </w:p>
    <w:p>
      <w:pPr>
        <w:spacing w:after="0" w:line="21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231F20"/>
        </w:rPr>
        <w:t>We may fail to detect defects and errors that are subsequently revealed, and our control over the performance of third-party services and systems may be limited. Any defects or errors in, or which are attributed to, our technology, could result in, among other things:</w:t>
      </w:r>
    </w:p>
    <w:p>
      <w:pPr>
        <w:spacing w:after="0" w:line="30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delayed production and delivery of our vehicles, including the Lucid Air;</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delayed market acceptance of our vehicles;</w:t>
      </w:r>
    </w:p>
    <w:p>
      <w:pPr>
        <w:sectPr>
          <w:pgSz w:w="11900" w:h="16838" w:orient="portrait"/>
          <w:cols w:equalWidth="0" w:num="1">
            <w:col w:w="11240"/>
          </w:cols>
          <w:pgMar w:left="320" w:top="760" w:right="339" w:bottom="1440" w:gutter="0" w:footer="0" w:header="0"/>
        </w:sect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66" w:name="page67"/>
    <w:bookmarkEnd w:id="66"/>
    <w:p>
      <w:pPr>
        <w:ind w:left="660" w:hanging="328"/>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loss of customers or inability to attract new customers;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diversion of engineering or other resources for remedying the defect or error;</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damage to our brand or reputation;</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increased service and warranty costs;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legal action by customers or third parties, including product liability claims; and</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penalties imposed by regulatory authorities.</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231F20"/>
        </w:rPr>
        <w:t>In addition, if we are unable to develop the software and technology systems necessary to operate our vehicles, our competitive position will be harmed. We rely on third-party suppliers to develop a number of technologies for use in our products. There can be no assurances that our suppliers will be able to meet the technological requirements, production timing and volume requirements to support our business plan. In addition, such technology may not satisfy the cost, performance useful life and warranty characteristics we anticipate in our business plan, which could materially adversely affect our business, prospects and results of operations.</w:t>
      </w:r>
    </w:p>
    <w:p>
      <w:pPr>
        <w:spacing w:after="0" w:line="21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231F20"/>
        </w:rPr>
        <w:t>If we fail to successfully tool our manufacturing facilities or if our manufacturing facilities become inoperable, we will be unable to produce our vehicles and our business will be harmed.</w:t>
      </w:r>
    </w:p>
    <w:p>
      <w:pPr>
        <w:spacing w:after="0" w:line="19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231F20"/>
        </w:rPr>
        <w:t>While we have completed the initial phase of construction at AMP-1, tooling our facilities for production of our vehicles and our future expansion plans are complicated and present significant challe</w:t>
      </w:r>
      <w:r>
        <w:rPr>
          <w:rFonts w:ascii="Arial" w:cs="Arial" w:eastAsia="Arial" w:hAnsi="Arial"/>
          <w:sz w:val="17"/>
          <w:szCs w:val="17"/>
          <w:color w:val="000000"/>
        </w:rPr>
        <w:t>nges. In addition, certain o</w:t>
      </w:r>
      <w:r>
        <w:rPr>
          <w:rFonts w:ascii="Arial" w:cs="Arial" w:eastAsia="Arial" w:hAnsi="Arial"/>
          <w:sz w:val="17"/>
          <w:szCs w:val="17"/>
          <w:color w:val="231F20"/>
        </w:rPr>
        <w:t>f our suppliers may be unable to complete tooling with respect to finalized components of our vehicles in the planned timeframe after we deliver final component specifications, which could adversely affect our ability to continue commercial production of the Lucid Air on the expected timing and at the quality levels we require. As with any large-scale capital project, these efforts could be subject to delays, cost overruns or other complications. For example, the installation and production readiness of certain general assembly equipment for our Phase 2 expansion of AMP-1 is expected to be delayed by our supplier until early 2023 due to its supply chain impacts and disruption related to the conflict in Ukraine. These risks could be exacerbated because we are building our facilities from the ground up to support our electric vehicle production processes, which differ substantially from traditional automobile production processes for which expertise is more readily available. In connection with the commencement of commercial production at AMP-1, we have hired and trained and continue to hire and train a significant number of employees and integrate a yet-to-be-fully-developed supply chain. Any failure to continue commercial production on schedule would lead to additional costs and would delay our ability to generate meaningful revenues. In addition, it could prevent us from gaining the confidence of potential customers, spur cancellations of reservations for the Lucid Air and open the door to increased competition. All of the foregoing could hinder our ability to successfully launch and grow our business and achieve a competitive position in the market.</w:t>
      </w:r>
    </w:p>
    <w:p>
      <w:pPr>
        <w:spacing w:after="0" w:line="21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231F20"/>
        </w:rPr>
        <w:t>In addition, if any of our manufacturing facilities are not constructed in conformity with our requirements, repair or remediation may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the Project Gravity SUV or other future vehicles, or adversely affect our ability to timely sell and deliver our electric vehicles to customers. Any repair or remediation efforts could also require us to bear substantial additional costs, including both the direct costs of such activities and potentially costly litigation or other legal proceedings related to any identified defect, and there can be no assurance that our insurance policies or other recoveries would be sufficient to cover all or any of such costs. Any of the foregoing consequences could have a material adverse effect on our business, prospects, results of operations and financial condition and could cause our results of operations to differ materially from our current expectations. For example, a portion of our manufacturing facility in Casa Grande, Arizona, was not constructed in accordance with the contractual requirements. The facility is capable of supporting current production volumes, but it will require repair or remediation to support future production volumes. We have begun to repair or remediate these issues where possible without impacting manufacturing, and we plan to address the bulk of such repairs or remediation as part of the phased build-out of our Casa Grande facility. Although we do not currently expect that we will be required to take vehicle production offline or reduce our planned manufacturing volumes, the repairs or remediation are expected to entail significant costs, and we may be unable to recover some or all of such costs from the applicable contractor(s).</w:t>
      </w:r>
    </w:p>
    <w:p>
      <w:pPr>
        <w:spacing w:after="0" w:line="21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rely on complex machinery for our operations, and production involves a significant degree of risk and uncertainty in terms of operational performance, safety, security and costs.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We expect to utilize a number of new manufacturing technologies, techniques and processes for our vehicles, such as motor winding equipment, and we may utilize additional new technologies, techniques and processes in the future. Certain design features in our vehicles present additional manufacturing challenges, such as large display screens and ADAS hardware. There is no guarantee that we will be able to successfully and timely introduce and scale any such new processes or features.</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67" w:name="page68"/>
    <w:bookmarkEnd w:id="67"/>
    <w:p>
      <w:pPr>
        <w:spacing w:after="0" w:line="257" w:lineRule="auto"/>
        <w:rPr>
          <w:sz w:val="20"/>
          <w:szCs w:val="20"/>
          <w:color w:val="auto"/>
        </w:rPr>
      </w:pPr>
      <w:r>
        <w:rPr>
          <w:rFonts w:ascii="Arial" w:cs="Arial" w:eastAsia="Arial" w:hAnsi="Arial"/>
          <w:sz w:val="18"/>
          <w:szCs w:val="18"/>
          <w:color w:val="231F20"/>
        </w:rPr>
        <w:t>We also rely heavily on complex machinery for our operations, and our production involves a significant degree of uncertainty and risk in terms of operational performance and costs. Our manufacturing plant employs large-scale, complex machinery combining many components, which may suffer unexpected malfunctions from time to time and will depend on repairs and spare parts that may not be available when needed. Furthermore, AMP-1 and the equipment we use to manufacture our vehicles will be costly to repair or replace and could require substantial lead-time to repair or replace and qualify for use.</w:t>
      </w:r>
    </w:p>
    <w:p>
      <w:pPr>
        <w:spacing w:after="0" w:line="21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231F20"/>
        </w:rPr>
        <w:t>Unexpected malfunctions of the manufacturing plant components may significantly decrease our operational efficiency, including by forcing manufacturing shutdowns in order to conduct repairs or troubleshoot manufacturing problems. Our facilities may also be harmed or rendered inoperable by natural or man-made disasters, including but not limited to earthquakes, tornadoes, flooding, fire, power outages, environmental hazards and remediation, costs associated with decommissioning of equipment, labor disputes and strikes, difficulty or delays in obtaining governmental permits and licenses, damages or defects in electronic systems, industrial accidents or health epidemics, such as the recent COVID-19 pandemic, which may render it difficult or impossible for us to manufacture our vehicles for some period of time. The inability to produce our vehicles or the backlog that could develop if our manufacturing plant is inoperable for even a short period of time may result in the loss of customers or harm our reputation. Although we maintain insurance for damage to our property and the disruption of our business, this insurance may not be sufficient to cover all of our potential losses and may not continue to be available to us on acceptable terms, if at all. Should operational risks materialize, they may result in the personal injury to or death of our workers, the loss of production equipment, damage to manufacturing facilities, monetary losses, delays and unanticipated fluctuations in production, environmental damage, administrative fines, increased insurance costs and potential legal liabilities, all which could have a material adverse effect on our business, results of operations, cash flows, financial condition or prospects.</w:t>
      </w:r>
    </w:p>
    <w:p>
      <w:pPr>
        <w:spacing w:after="0" w:line="206"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231F20"/>
        </w:rPr>
        <w:t>If we update or discontinue the use of our manufacturing equipment more quickly than expected, we may have to shorten the useful lives of any equipment to be retired as a result of any such update, and the resulting acceleration in our depreciation could negatively affect our financial results.</w:t>
      </w:r>
    </w:p>
    <w:p>
      <w:pPr>
        <w:spacing w:after="0" w:line="1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231F20"/>
        </w:rPr>
        <w:t>We have invested and expect to continue to invest significantly in what we believe is state of the art tooling, machinery and other manufacturing equipment, and we depreciate the cost of such equipment over their expected useful lives. However, manufacturing technology may evolve rapidly, and we may decide to update our manufacturing processes more quickly than expected. Moreover, as we ramp the commercial production of our vehicles, our experience may cause us to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could be negatively impacted.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have no experience to date in high volume manufacture of our vehicles.</w:t>
      </w:r>
    </w:p>
    <w:p>
      <w:pPr>
        <w:spacing w:after="0" w:line="25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231F20"/>
        </w:rPr>
        <w:t>We cannot provide any assurance as to whether we will be able to develop and implement efficient, automated, low-cost logistics and production capabilities and processes and reliable sources of component supply that will enable us to meet the quality, price, engineering, design and production standards, as well as the production volumes, required to successfully mass market our vehicles. Even if we are successful in developing our high volume production capability and processes and reliably source our component supply, no assurance can be given as to whether we will be able to do so in a manner that avoids significant delays and cost overruns, including as a result of factors beyond our control such as problems with suppliers and vendors, or force majeure events, or in time to meet our commercialization schedules, or to store and deliver parts in sufficient quantities to the manufacturing lines in a manner that enables us to maintain our production ramp curve and rates, or to satisfy the requirements of customers and potential customers. Any failure to develop and implement such logistics, production, quality control, and inventory management processes and capabilities within our projected costs and timelines could have a material adverse effect on our business, results of operations, prospects and financial condition. Moreover, we have experienced logistics challenges as we continue to refine our manufacturing, logistics and inventory management processes, and efforts to implement or improve such processes may cause halts or delays in production and result in additional costs. Bottlenecks and other unexpected challenges have and may continue to arise as we ramp production of the Lucid Air, and it will be important that we address them promptly while continuing to control our logistics and manufacturing costs. If we are not successful in doing so, or if we experience issues with our logistics and manufacturing process improvements, we could face further delays in establishing and/or sustaining our production ramps or be unable to meet our related cost and profitability targets.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231F20"/>
        </w:rPr>
        <w:t>If our vehicles fail to perform as expected, our ability to develop, market and sell or lease our products could be harmed.</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231F20"/>
        </w:rPr>
        <w:t>Our vehicles or the components installed therein have in the past and may in the future contain defects in design and manufacture that may cause them not to perform as expected or that may require repairs, recalls, and design changes, any of which would require significant financial and other resources to successfully navigate and resolve. Our vehicles use a substantial amount of software code to operate, and software products are inherently complex and may contain defects and errors when first introduced. If our vehicles contain defects in design and manufacture that cause them not to perform as expected or that require repair, or certain features of our vehicles such as bi-directional charging or ADAS features take longer than expected to become available, are legally restricted or become subject to additional regulation, our ability to develop, market and sell our products and services could be harmed. Although we will attempt to remedy any issues we observe in our products as effectively and rapidly as possible, such efforts could significantly distract management’s attention from other important business objectives, may not be timely, may hamper production or may not be to the satisfaction of our customers. Further, our limited operating history and limited field data reduce our ability to evaluate and predict the long-term quality, reliability, durability and performance characteristics of our battery packs, powertrains and vehicles. There can be no assurance that we will be able to detect and fix any defects in our products prior to their sale or lease to customers.</w:t>
      </w:r>
    </w:p>
    <w:p>
      <w:pPr>
        <w:spacing w:after="0" w:line="18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231F20"/>
        </w:rPr>
        <w:t xml:space="preserve">Any defects, delays or legal restrictions on vehicle features, or other failure of our vehicles to perform as expected, could harm our reputation and result in delivery delays, product recalls, product liability claims, breach of warranty claims and significant warranty and other expenses, and could have a material adverse impact on our business, results of operations, prospects and financial condition. </w:t>
      </w:r>
      <w:r>
        <w:rPr>
          <w:rFonts w:ascii="Arial" w:cs="Arial" w:eastAsia="Arial" w:hAnsi="Arial"/>
          <w:sz w:val="17"/>
          <w:szCs w:val="17"/>
          <w:color w:val="000000"/>
        </w:rPr>
        <w:t>Any such defects or noncompliance with legal requirements could</w:t>
      </w:r>
      <w:r>
        <w:rPr>
          <w:rFonts w:ascii="Arial" w:cs="Arial" w:eastAsia="Arial" w:hAnsi="Arial"/>
          <w:sz w:val="17"/>
          <w:szCs w:val="17"/>
          <w:color w:val="231F20"/>
        </w:rPr>
        <w:t xml:space="preserve"> </w:t>
      </w:r>
      <w:r>
        <w:rPr>
          <w:rFonts w:ascii="Arial" w:cs="Arial" w:eastAsia="Arial" w:hAnsi="Arial"/>
          <w:sz w:val="17"/>
          <w:szCs w:val="17"/>
          <w:color w:val="000000"/>
        </w:rPr>
        <w:t xml:space="preserve">also result in safety recalls. See “— Risks Related to Litigation and Regulation — </w:t>
      </w:r>
      <w:r>
        <w:rPr>
          <w:rFonts w:ascii="Arial" w:cs="Arial" w:eastAsia="Arial" w:hAnsi="Arial"/>
          <w:sz w:val="17"/>
          <w:szCs w:val="17"/>
          <w:i w:val="1"/>
          <w:iCs w:val="1"/>
          <w:color w:val="000000"/>
        </w:rPr>
        <w:t>We have in the past and may choose in the future, or we may be</w:t>
      </w:r>
      <w:r>
        <w:rPr>
          <w:rFonts w:ascii="Arial" w:cs="Arial" w:eastAsia="Arial" w:hAnsi="Arial"/>
          <w:sz w:val="17"/>
          <w:szCs w:val="17"/>
          <w:color w:val="000000"/>
        </w:rPr>
        <w:t xml:space="preserve"> </w:t>
      </w:r>
      <w:r>
        <w:rPr>
          <w:rFonts w:ascii="Arial" w:cs="Arial" w:eastAsia="Arial" w:hAnsi="Arial"/>
          <w:sz w:val="17"/>
          <w:szCs w:val="17"/>
          <w:i w:val="1"/>
          <w:iCs w:val="1"/>
          <w:color w:val="000000"/>
        </w:rPr>
        <w:t xml:space="preserve">compelled, to undertake product recalls or take other actions, which could adversely affect our business, prospects, results of operations, reputation and financial condition.” </w:t>
      </w:r>
      <w:r>
        <w:rPr>
          <w:rFonts w:ascii="Arial" w:cs="Arial" w:eastAsia="Arial" w:hAnsi="Arial"/>
          <w:sz w:val="17"/>
          <w:szCs w:val="17"/>
          <w:color w:val="231F20"/>
        </w:rPr>
        <w:t>As a new entrant to the industry attempting to build customer relationships and earn trust, these effects could be significantly</w:t>
      </w:r>
      <w:r>
        <w:rPr>
          <w:rFonts w:ascii="Arial" w:cs="Arial" w:eastAsia="Arial" w:hAnsi="Arial"/>
          <w:sz w:val="17"/>
          <w:szCs w:val="17"/>
          <w:i w:val="1"/>
          <w:iCs w:val="1"/>
          <w:color w:val="000000"/>
        </w:rPr>
        <w:t xml:space="preserve"> </w:t>
      </w:r>
      <w:r>
        <w:rPr>
          <w:rFonts w:ascii="Arial" w:cs="Arial" w:eastAsia="Arial" w:hAnsi="Arial"/>
          <w:sz w:val="17"/>
          <w:szCs w:val="17"/>
          <w:color w:val="231F20"/>
        </w:rPr>
        <w:t>detrimental to us. Additionally, problems and defects experienced by other electric consumer vehicles could by association have a negative impact on perception and customer demand for our vehicles.</w:t>
      </w:r>
    </w:p>
    <w:p>
      <w:pPr>
        <w:spacing w:after="0" w:line="17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231F20"/>
        </w:rPr>
        <w:t>In addition, even if our vehicles function as designed, we expect that the battery efficiency, and hence the range, of our electric vehicles, like other electric vehicles that use current battery technology, will decline over time. Other factors, such as usage, time and stress patterns, may also impact the battery’s ability to hold a charge, or could require us to limit vehicles’ battery charging capacity, including via over-the-air or other software updates, for safety reasons or to protect battery capacity, which could further decrease our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Further, there can be no assurance that we will be able to improve the performance of our battery packs, or increase our vehicles’ range, in the future. Any such battery deterioration or capacity limitations and related decreases in range may negatively influence potential customers’ willingness to purchase our vehicles and negatively impact our brand and reputation, which could adversely affect our business, prospects,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face challenges providing charging solutions for our vehicles.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231F20"/>
        </w:rPr>
        <w:t>Demand for our vehicles will depend in part on the availability of charging infrastructure both domestically and internationally. While the prevalence of charging stations has been increasing, charging station locations are significantly less widespread than gas stations. Although we have partnered with Electrify America and may partner with other third-party electric vehicle charging providers to offer charging stations to our customers, the charging infrastructure available to our customers may be insufficient to meet their needs or expectations, especially in certain international markets. Some potential customers may choose not to purchase our vehicles because of the lack of more widespread charging infrastructure, and some potential customers may be conditioned to favor or expect proprietary charging solutions, such as Tesla’s Supercharger network. In addition, although the current U.S. presidential administration has proposed a plan to deploy 500,000 additional public charging stations across the United States by 2030, the deployment may not occur at planned levels, which could serve to limit the development of public charging infrastructure and increase the relative attractiveness to potential customers of a proprietary charging solution.</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color w:val="231F20"/>
        </w:rPr>
        <w:t>If we were to pursue development of a proprietary charging solution, we would face significant challenges and barriers, including successfully navigating the complex logistics of rolling out a network and teams in appropriate areas, resolving issues related to inadequate capacity or overcapacity in certain areas, addressing security risks and risks of damage to vehicles, securing agreements with third-party providers to roll out and support a network of charging solutions in appropriate areas, obtaining any required permits and land use rights and filings, and providing sufficient financial resources to successfully roll out the proprietary charging solution, which could require diverting such resources from our other important business initiatives. In addition, our limited experience in providing charging solutions could contribute to additional unanticipated challenges that would hinder our ability to provide such solutions or make the provision of such solutions costlier than anticipated. To the extent we are unable to meet user expectations or experience difficulties in providing charging solutions, demand for our vehicles may suffer, and our reputation and business may be materially and adversely affected.</w:t>
      </w:r>
    </w:p>
    <w:p>
      <w:pPr>
        <w:spacing w:after="0" w:line="16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231F20"/>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sectPr>
          <w:pgSz w:w="11900" w:h="16838" w:orient="portrait"/>
          <w:cols w:equalWidth="0" w:num="1">
            <w:col w:w="11240"/>
          </w:cols>
          <w:pgMar w:left="320" w:top="760"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69" w:name="page70"/>
    <w:bookmarkEnd w:id="69"/>
    <w:p>
      <w:pPr>
        <w:ind w:right="60"/>
        <w:spacing w:after="0" w:line="267" w:lineRule="auto"/>
        <w:rPr>
          <w:sz w:val="20"/>
          <w:szCs w:val="20"/>
          <w:color w:val="auto"/>
        </w:rPr>
      </w:pPr>
      <w:r>
        <w:rPr>
          <w:rFonts w:ascii="Arial" w:cs="Arial" w:eastAsia="Arial" w:hAnsi="Arial"/>
          <w:sz w:val="16"/>
          <w:szCs w:val="16"/>
          <w:color w:val="231F20"/>
        </w:rPr>
        <w:t>Because commercial production of the Lucid Air has recently begun, we have limited experience servicing or repairing our vehicles. Servicing electric vehicles is different than servicing vehicles with internal combustion engines and requires specialized skills, including high voltage training and servicing techniques. Furthermore, some vehicle repairs may be done via over-the-air software updates, which poses additional risks to the vehicles’ software if any issues arise during an update. In addition, we plan to partner with certain third parties to perform some of the service on our vehicles, and there can be no assurance that we will be able to enter into acceptable arrangements with any such third-party providers or develop and implement the necessary information technology infrastructure to support them. Further, although such servicing partners may have experience in servicing other electric vehicles, they will initially have no experience in servicing our vehicles. We also have a limited network of locations to perform service and will also rely upon mobile service vans with Lucid technicians to provide service to customers. There can be no assurance that our service arrangements will adequately address the service requirements of our customers to their satisfaction, or that we and our servicing partners will have sufficient resources, experience or inventory to meet these service requirements in a timely manner as the volume of vehicles we deliver increases. This risk is enhanced by our limited operating history and our limited data regarding our vehicles’ real-world reliability and service requirements. In addition, if we are unable to roll out and establish a widespread service network that provides satisfactory customer service, our customer loyalty, brand and reputation could be adversely affected, which in turn could materially and adversely affect our sales, results of operations, prospects and financial condition.</w:t>
      </w:r>
    </w:p>
    <w:p>
      <w:pPr>
        <w:spacing w:after="0" w:line="201"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231F20"/>
        </w:rPr>
        <w:t>Further, the motor vehicle industry laws in some states require that service facilities be available to service vehicles physically sold from locations in the state. In addition, the motor vehicle franchise laws in some states may preclude us from providing direct warranty service to consumers in that state. While we anticipate developing a service program that would satisfy regulatory requirements in these circumstances, the specifics of our service program are still being refined, and at some point may need to be restructured to comply with state law, which may impact our business, financial condition, results of operations and prospects.</w:t>
      </w:r>
    </w:p>
    <w:p>
      <w:pPr>
        <w:spacing w:after="0" w:line="20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231F20"/>
        </w:rPr>
        <w:t>Our customers will also depend on our customer support team to resolve technical and operational issues relating to the integrated software underlying our vehicles, a large portion of which we have developed in-house. As we grow, additional pressure may be placed on our customer support team or partners, and we may be unable to respond quickly enough to accommodate short-term increases in customer demand for technical support or service.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results of operations. If we are unable to successfully address the service requirements of our customers, or if we establish a market perception that we do not maintain high-quality support, our brand and reputation could be adversely affected, and we may be subject to claims from our customers, which could result in loss of revenue or damages, and our business, results of operations, prospects and financial condition could be materially and adversely affected.</w:t>
      </w:r>
    </w:p>
    <w:p>
      <w:pPr>
        <w:spacing w:after="0" w:line="165"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231F20"/>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124" w:lineRule="exact"/>
        <w:rPr>
          <w:sz w:val="20"/>
          <w:szCs w:val="20"/>
          <w:color w:val="auto"/>
        </w:rPr>
      </w:pPr>
    </w:p>
    <w:p>
      <w:pPr>
        <w:spacing w:after="0" w:line="287" w:lineRule="auto"/>
        <w:rPr>
          <w:sz w:val="20"/>
          <w:szCs w:val="20"/>
          <w:color w:val="auto"/>
        </w:rPr>
      </w:pPr>
      <w:r>
        <w:rPr>
          <w:rFonts w:ascii="Arial" w:cs="Arial" w:eastAsia="Arial" w:hAnsi="Arial"/>
          <w:sz w:val="16"/>
          <w:szCs w:val="16"/>
          <w:color w:val="231F20"/>
        </w:rPr>
        <w:t>We provide a new vehicle limited warranty on all vehicles and powertrain components and systems we sell. Now that our vehicles are in commercial production, we will need to maintain reserves to cover part replacement and other vehicle repair needs, including any potential software upgrades or warranty claims. In addition, we expect to provide a manufacturer’s warranty on any future products, including energy storage systems we sell and may provide additional warranties on installation workmanship or performance guarantees. Warranty reserves will include our management team’s best estimate of the projected costs to repair or to replace items under warranty. Such estimates are inherently uncertain, particularly in light of our limited operating history and the limited field data available to us, and changes to such estimates based on real-world observations may cause material changes to our warranty reserves in the future. If our reserves are inadequate to cover future maintenance requirements on our vehicles, our business, prospects, financial condition and results of operations could be materially and adversely affected. We may become subject to significant and unexpected expenses as well as claims from our customers, including loss of revenue or damages. There can be no assurances that then-existing reserves will be sufficient to cover all claims. In addition, if future laws or regulations impose additional warranty obligations on us that go beyond our manufacturer’s warranty, we may be exposed to materially higher warranty, parts replacement and repair expenses than we expect, and our reserves may be insufficient to cover such expenses.</w:t>
      </w:r>
    </w:p>
    <w:p>
      <w:pPr>
        <w:spacing w:after="0" w:line="17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231F20"/>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18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231F20"/>
        </w:rPr>
        <w:t>It is difficult to predict our future revenues and appropriately budget for our expenses, and we have limited insight into trends that may emerge and affect our business. We will be required to provide forecasts of our demand to our suppliers several months prior to the scheduled delivery of vehicles to our prospective customers. Currently, there is no historical basis for making judgments about the demand for our vehicles or our ability to develop, manufacture, and deliver vehicles, or our profitability in the future. If we overestimate our requirements, our suppliers may have excess inventory, which indirectly would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or fail to establish the delivery processes and infrastructure to make deliveries, the delivery of vehicles to our customers could be delayed, which would harm our business, financial condition and results of operations.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0" w:right="379" w:bottom="1440" w:gutter="0" w:footer="0" w:header="0"/>
        </w:sectPr>
      </w:pPr>
    </w:p>
    <w:bookmarkStart w:id="70" w:name="page71"/>
    <w:bookmarkEnd w:id="70"/>
    <w:p>
      <w:pPr>
        <w:ind w:right="20"/>
        <w:spacing w:after="0" w:line="277" w:lineRule="auto"/>
        <w:rPr>
          <w:sz w:val="20"/>
          <w:szCs w:val="20"/>
          <w:color w:val="auto"/>
        </w:rPr>
      </w:pPr>
      <w:r>
        <w:rPr>
          <w:rFonts w:ascii="Arial" w:cs="Arial" w:eastAsia="Arial" w:hAnsi="Arial"/>
          <w:sz w:val="18"/>
          <w:szCs w:val="18"/>
          <w:b w:val="1"/>
          <w:bCs w:val="1"/>
          <w:i w:val="1"/>
          <w:iCs w:val="1"/>
          <w:color w:val="231F20"/>
        </w:rPr>
        <w:t>Our facilities or operations could be adversely affected by events outside of our control, such as natural disasters, wars, health epidemics or pandemics, or security incidents.</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color w:val="231F20"/>
        </w:rPr>
        <w:t xml:space="preserve">We and our suppliers may be impacted by natural disasters, wars, health epidemics or pandemics, security incidents or other events outside of our control. For example, our corporate headquarters are located in seismically active regions in Northern California, and our manufacturing facilities in Arizona are located in a sandstorm-, flood- and tornado-prone area. If major disasters such as earthquakes, wildfires, floods, tornadoes or other events occur, or our information technology systems or communication networks break down or operate improperly, our headquarters and manufacturing facilities may be seriously damaged, or we may have to stop or delay production and shipment of our products. In addition, the ongoing COVID-19 pandemic has impacted economic markets, manufacturing operations, supply chains, employment and consumer behavior in nearly every geographic region and industry across the world, and we have been, and may in the future be, adversely affected as a result. Furthermore, we could be impacted by physical security incidents at our facilities, which could result in significant damage to such facilities that could require us to delay or discontinue production of our vehicles. In addition, we have established a foreign trade zone with respect to certain of our facilities in Casa Grande, Arizona. To the extent any such physical security incidents are determined to result from insufficient security measures, we could face the risk of loss of our foreign trade zone approval, as well as financial penalties or fines, which could increase the cost of our duties and tariffs. See “— Risks Related to Litigation and Regulation — </w:t>
      </w:r>
      <w:r>
        <w:rPr>
          <w:rFonts w:ascii="Arial" w:cs="Arial" w:eastAsia="Arial" w:hAnsi="Arial"/>
          <w:sz w:val="16"/>
          <w:szCs w:val="16"/>
          <w:i w:val="1"/>
          <w:iCs w:val="1"/>
          <w:color w:val="231F20"/>
        </w:rPr>
        <w:t>A failure to properly comply with</w:t>
      </w:r>
      <w:r>
        <w:rPr>
          <w:rFonts w:ascii="Arial" w:cs="Arial" w:eastAsia="Arial" w:hAnsi="Arial"/>
          <w:sz w:val="16"/>
          <w:szCs w:val="16"/>
          <w:color w:val="231F20"/>
        </w:rPr>
        <w:t xml:space="preserve"> </w:t>
      </w:r>
      <w:r>
        <w:rPr>
          <w:rFonts w:ascii="Arial" w:cs="Arial" w:eastAsia="Arial" w:hAnsi="Arial"/>
          <w:sz w:val="16"/>
          <w:szCs w:val="16"/>
          <w:i w:val="1"/>
          <w:iCs w:val="1"/>
          <w:color w:val="231F20"/>
        </w:rPr>
        <w:t>foreign trade zone laws and regulations could increase the cost of our duties and tariffs.</w:t>
      </w:r>
      <w:r>
        <w:rPr>
          <w:rFonts w:ascii="Arial" w:cs="Arial" w:eastAsia="Arial" w:hAnsi="Arial"/>
          <w:sz w:val="16"/>
          <w:szCs w:val="16"/>
          <w:color w:val="231F20"/>
        </w:rPr>
        <w:t>”</w:t>
      </w:r>
      <w:r>
        <w:rPr>
          <w:rFonts w:ascii="Arial" w:cs="Arial" w:eastAsia="Arial" w:hAnsi="Arial"/>
          <w:sz w:val="16"/>
          <w:szCs w:val="16"/>
          <w:i w:val="1"/>
          <w:iCs w:val="1"/>
          <w:color w:val="231F20"/>
        </w:rPr>
        <w:t xml:space="preserve"> </w:t>
      </w:r>
      <w:r>
        <w:rPr>
          <w:rFonts w:ascii="Arial" w:cs="Arial" w:eastAsia="Arial" w:hAnsi="Arial"/>
          <w:sz w:val="16"/>
          <w:szCs w:val="16"/>
          <w:color w:val="000000"/>
        </w:rPr>
        <w:t>In addition, the military invasion of Ukraine by Russia and the</w:t>
      </w:r>
      <w:r>
        <w:rPr>
          <w:rFonts w:ascii="Arial" w:cs="Arial" w:eastAsia="Arial" w:hAnsi="Arial"/>
          <w:sz w:val="16"/>
          <w:szCs w:val="16"/>
          <w:i w:val="1"/>
          <w:iCs w:val="1"/>
          <w:color w:val="231F20"/>
        </w:rPr>
        <w:t xml:space="preserve"> </w:t>
      </w:r>
      <w:r>
        <w:rPr>
          <w:rFonts w:ascii="Arial" w:cs="Arial" w:eastAsia="Arial" w:hAnsi="Arial"/>
          <w:sz w:val="16"/>
          <w:szCs w:val="16"/>
          <w:color w:val="000000"/>
        </w:rPr>
        <w:t xml:space="preserve">sanctions against Russia resulting from such conflict is expected to delay the installation and production readiness of certain general assembly equipment for our Phase 2 expansion of AMP-1, may increase the likelihood of supply chain interruptions and may impair our ability to compete in current or future markets, or otherwise subject us to potential liability. See “—Risks Related to Manufacturing and Supply Chain — </w:t>
      </w:r>
      <w:r>
        <w:rPr>
          <w:rFonts w:ascii="Arial" w:cs="Arial" w:eastAsia="Arial" w:hAnsi="Arial"/>
          <w:sz w:val="16"/>
          <w:szCs w:val="16"/>
          <w:i w:val="1"/>
          <w:iCs w:val="1"/>
          <w:color w:val="000000"/>
        </w:rPr>
        <w:t>if we fail to successfully tool our</w:t>
      </w:r>
      <w:r>
        <w:rPr>
          <w:rFonts w:ascii="Arial" w:cs="Arial" w:eastAsia="Arial" w:hAnsi="Arial"/>
          <w:sz w:val="16"/>
          <w:szCs w:val="16"/>
          <w:color w:val="000000"/>
        </w:rPr>
        <w:t xml:space="preserve"> </w:t>
      </w:r>
      <w:r>
        <w:rPr>
          <w:rFonts w:ascii="Arial" w:cs="Arial" w:eastAsia="Arial" w:hAnsi="Arial"/>
          <w:sz w:val="16"/>
          <w:szCs w:val="16"/>
          <w:i w:val="1"/>
          <w:iCs w:val="1"/>
          <w:color w:val="000000"/>
        </w:rPr>
        <w:t xml:space="preserve">manufacturing facilities or if our manufacturing facilities become inoperable, we will be unable to produce our vehicles and our business will be harmed.” </w:t>
      </w:r>
      <w:r>
        <w:rPr>
          <w:rFonts w:ascii="Arial" w:cs="Arial" w:eastAsia="Arial" w:hAnsi="Arial"/>
          <w:sz w:val="16"/>
          <w:szCs w:val="16"/>
          <w:color w:val="000000"/>
        </w:rPr>
        <w:t xml:space="preserve">and “— Risks Related to Litigation and Regulation — </w:t>
      </w:r>
      <w:r>
        <w:rPr>
          <w:rFonts w:ascii="Arial" w:cs="Arial" w:eastAsia="Arial" w:hAnsi="Arial"/>
          <w:sz w:val="16"/>
          <w:szCs w:val="16"/>
          <w:i w:val="1"/>
          <w:iCs w:val="1"/>
          <w:color w:val="000000"/>
        </w:rPr>
        <w:t>Changes in U.S. trade policy, including the imposition of tariffs or revocation of normal trade</w:t>
      </w:r>
      <w:r>
        <w:rPr>
          <w:rFonts w:ascii="Arial" w:cs="Arial" w:eastAsia="Arial" w:hAnsi="Arial"/>
          <w:sz w:val="16"/>
          <w:szCs w:val="16"/>
          <w:color w:val="000000"/>
        </w:rPr>
        <w:t xml:space="preserve"> </w:t>
      </w:r>
      <w:r>
        <w:rPr>
          <w:rFonts w:ascii="Arial" w:cs="Arial" w:eastAsia="Arial" w:hAnsi="Arial"/>
          <w:sz w:val="16"/>
          <w:szCs w:val="16"/>
          <w:i w:val="1"/>
          <w:iCs w:val="1"/>
          <w:color w:val="000000"/>
        </w:rPr>
        <w:t>relations and the resulting consequences, could adversely affect our business, prospects, results of operations and financial condition</w:t>
      </w:r>
      <w:r>
        <w:rPr>
          <w:rFonts w:ascii="Arial" w:cs="Arial" w:eastAsia="Arial" w:hAnsi="Arial"/>
          <w:sz w:val="16"/>
          <w:szCs w:val="16"/>
          <w:color w:val="000000"/>
        </w:rPr>
        <w:t>.”</w:t>
      </w:r>
      <w:r>
        <w:rPr>
          <w:rFonts w:ascii="Arial" w:cs="Arial" w:eastAsia="Arial" w:hAnsi="Arial"/>
          <w:sz w:val="16"/>
          <w:szCs w:val="16"/>
          <w:i w:val="1"/>
          <w:iCs w:val="1"/>
          <w:color w:val="000000"/>
        </w:rPr>
        <w:t xml:space="preserve"> </w:t>
      </w:r>
      <w:r>
        <w:rPr>
          <w:rFonts w:ascii="Arial" w:cs="Arial" w:eastAsia="Arial" w:hAnsi="Arial"/>
          <w:sz w:val="16"/>
          <w:szCs w:val="16"/>
          <w:color w:val="231F20"/>
        </w:rPr>
        <w:t>We may incur</w:t>
      </w:r>
      <w:r>
        <w:rPr>
          <w:rFonts w:ascii="Arial" w:cs="Arial" w:eastAsia="Arial" w:hAnsi="Arial"/>
          <w:sz w:val="16"/>
          <w:szCs w:val="16"/>
          <w:i w:val="1"/>
          <w:iCs w:val="1"/>
          <w:color w:val="000000"/>
        </w:rPr>
        <w:t xml:space="preserve"> </w:t>
      </w:r>
      <w:r>
        <w:rPr>
          <w:rFonts w:ascii="Arial" w:cs="Arial" w:eastAsia="Arial" w:hAnsi="Arial"/>
          <w:sz w:val="16"/>
          <w:szCs w:val="16"/>
          <w:color w:val="231F20"/>
        </w:rPr>
        <w:t>significant expenses or delays relating to such events outside of our control, which could have a material adverse impact on our business, results of operations and financial condition.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vehicles make use of lithium-ion battery cells, which have been observed to catch fire or vent smoke and flame.</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The battery packs within our vehicles make use of, and any future energy storage systems will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cells, a field or testing failure of our vehicles or other battery packs that we produce could occur. In addition, although we equip our vehicles with systems designed to detect and warn vehicle occupants of such thermal events, there can be no assurance that such systems will function as designed or will provide vehicle occupants with sufficient, or any, warning in all crashes. Any such events or failures of our vehicles, battery packs or warning systems could subject us to lawsuits, product recalls, or redesign efforts, all of which would be time consuming and expensive. Also, negative public perceptions regarding the suitability of lithium-ion cells for automotive applications or any future incident involving lithium-ion cells, such as a vehicle or other fire, even if such incident does not involve our vehicles, could seriously harm our business and reputation.</w:t>
      </w:r>
    </w:p>
    <w:p>
      <w:pPr>
        <w:spacing w:after="0" w:line="18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231F20"/>
        </w:rPr>
        <w:t>In addition, as we expand our service network and scale the manufacturing of our vehicles and any future energy storage products, we will need to store lithium-ion cells at our facilities and we have, and may in the future, experience thermal events. Any mishandling of battery cells or safety issue or fire related to the cells could disrupt our operations. Such damage or injury could also lead to adverse publicity and potentially a safety recall. In addition, the transportation and effective storage of lithium-ion batteries is also tightly regulated by the U.S. Department of Transportation and other regulatory bodies, and any failure to comply with such regulation could result in fines, loss of permits and licenses or other regulatory consequences, which could limit our ability to manufacture and deliver our vehicles and negatively affect our results of operations and financial condition. Moreover, any failure of a competitor’s electric vehicle or energy storage product may cause indirect adverse publicity for us and our products. Such adverse publicity could negatively affect our brand and harm our business, prospects,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Cybersecurity and Data Privacy</w:t>
      </w:r>
    </w:p>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231F20"/>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231F20"/>
        </w:rPr>
        <w:t>Our products contain complex information technology systems. For example, our vehicles are designed with built-in data connectivity to accept and install periodic remote updates to improve their functionality.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71" w:name="page72"/>
    <w:bookmarkEnd w:id="71"/>
    <w:p>
      <w:pPr>
        <w:ind w:right="200"/>
        <w:spacing w:after="0" w:line="291" w:lineRule="auto"/>
        <w:rPr>
          <w:sz w:val="20"/>
          <w:szCs w:val="20"/>
          <w:color w:val="auto"/>
        </w:rPr>
      </w:pPr>
      <w:r>
        <w:rPr>
          <w:rFonts w:ascii="Arial" w:cs="Arial" w:eastAsia="Arial" w:hAnsi="Arial"/>
          <w:sz w:val="16"/>
          <w:szCs w:val="16"/>
          <w:color w:val="231F20"/>
        </w:rPr>
        <w:t>In addition, we collect, store, transmit and otherwise process data from vehicles, customers, employees and other third parties as part of our business operations, which may include personal data or confidential or proprietary information. We also work with third-party service providers and vendors that collect, store and process such data on our behalf. We have taken certain measures to prevent unauthorized access to our information technology systems and information (including personal data) and plan to continue to deploy additional measures as we grow. Our third-party service providers and vendors also take steps to protect the security and integrity of our and their information technology systems and our and their customers’ information. However, there can be no assurance that such systems and measures will not be compromised, including as a result of intentional misconduct by employees, contractors, or vendors, as well as a result of software bugs, human error, or technical malfunctions.</w:t>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7"/>
          <w:szCs w:val="17"/>
          <w:color w:val="231F20"/>
        </w:rPr>
        <w:t>Furthermore, cyber threat actors may in the future attempt to gain unauthorized access to, modify, alter and/or use our vehicles, products and systems to (i) gain control of, (ii) change the functionality, user interface and performance characteristics of and/or (iii) gain access to data stored in or generated by, our vehicles, products and systems. Advances in technology, new vulnerability discoveries, an increased level of sophistication and diversity of our products and services, an increased level of expertise of cyber threat actors and new discoveries in the field of cryptography could lead to a compromise or breach of the measures that we or our third-party service providers use. Some of our products and information technology systems contain or use open source software, which can create additional risks, including potential security vulnerabilities. We and our third-party service providers’ systems have in the past and may in the future be affected by security incidents. Our systems are also vulnerable to damage or interruption from, among other things, computer viruses, malware, ransomware, killware, wiperware, computer denial or degradation of service attacks, telecommunications failures, social engineering schemes (such as vishing, phishing or smishing), domain name spoofing, insider theft, physical theft, fire, terrorist attacks, natural disasters, power loss, war, or misuse, mistake or other attempts to harm our vehicles, products and systems. Our data center and our third-party service providers’ or vendors’ data centers could be subject to break-ins, sabotage and intentional acts of vandalism causing potential disruptions. We may also be subject to certain laws and regulations, such as “Right to Repair” laws, that could require us to provide third-party access to our vehicle systems. Some of our systems will not be fully redundant, and our disaster recovery planning cannot account for all eventualities. Any problems at our or our third-party service providers’ or vendors’ data centers and/or cloud infrastructure could result in lengthy interruptions in our service and our business operations. There can be no assurance that any security or other operational measures that we or our third-party service providers or vendors have implemented will be effective against any of the foregoing threats or issues.</w:t>
      </w:r>
    </w:p>
    <w:p>
      <w:pPr>
        <w:spacing w:after="0" w:line="18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These risks have been heightened in connection with the ongoing conflict between Russia and Ukraine and we cannot be certain how this new risk landscape will impact our operations. When geopolitical conflicts develop, government systems as well as critical infrastructures such as financial services and utilities may be targeted by state-sponsored cyberattacks even if they are not directly involved in the conflict. There can be no assurance that our business will not become a potential target as adversaries may attack networks and systems indiscriminately. Such cyberattacks may potentially cause unauthorized access to our sensitive data (including personal data or our proprietary software code), products, and systems, resulting in a data breach, or disruption, modification or destruction to our systems and applications. As a result, we may suffer monetary losses, business interruption, and long-lasting operational issues, damage to our reputation and brand or loss of our intellectual property (including trade secrets).</w:t>
      </w:r>
    </w:p>
    <w:p>
      <w:pPr>
        <w:spacing w:after="0" w:line="16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231F20"/>
        </w:rPr>
        <w:t>If we are unable to protect our products and systems (and the information stored in our systems) from unauthorized access, use, disclosure, disruption, modification, destruction or other breach, such problems or security breaches could have negative consequences for our business and future prospects, including compromise of vehicle integrity and physical safety, causing monetary losses, giving rise to liabilities under our contracts or to the owners of the applicable information, subjecting us to substantial fines, penalties, damages and other liabilities under applicable laws and regulations, incurring substantial costs to respond to, investigate and remedy such incidents, reducing customer demand for our products, harming our reputation and brand and compromising or leading to a loss of protection of our intellectual property (including trade secrets). In addition, regardless of their veracity, reports of unauthorized access to our vehicles, systems or data, as well as other factors that may result in the perception that our vehicles, systems or data are vulnerable to being “hacked,” could negatively affect our brand. Some entities within the U.S. federal government, including certain Members of Congress and the National Highway Traffic Safety Administration (“</w:t>
      </w:r>
      <w:r>
        <w:rPr>
          <w:rFonts w:ascii="Arial" w:cs="Arial" w:eastAsia="Arial" w:hAnsi="Arial"/>
          <w:sz w:val="16"/>
          <w:szCs w:val="16"/>
          <w:i w:val="1"/>
          <w:iCs w:val="1"/>
          <w:color w:val="231F20"/>
        </w:rPr>
        <w:t>NHTSA</w:t>
      </w:r>
      <w:r>
        <w:rPr>
          <w:rFonts w:ascii="Arial" w:cs="Arial" w:eastAsia="Arial" w:hAnsi="Arial"/>
          <w:sz w:val="16"/>
          <w:szCs w:val="16"/>
          <w:color w:val="231F20"/>
        </w:rPr>
        <w:t>”)</w:t>
      </w:r>
      <w:r>
        <w:rPr>
          <w:rFonts w:ascii="Arial" w:cs="Arial" w:eastAsia="Arial" w:hAnsi="Arial"/>
          <w:sz w:val="16"/>
          <w:szCs w:val="16"/>
          <w:i w:val="1"/>
          <w:iCs w:val="1"/>
          <w:color w:val="231F20"/>
        </w:rPr>
        <w:t>,</w:t>
      </w:r>
      <w:r>
        <w:rPr>
          <w:rFonts w:ascii="Arial" w:cs="Arial" w:eastAsia="Arial" w:hAnsi="Arial"/>
          <w:sz w:val="16"/>
          <w:szCs w:val="16"/>
          <w:color w:val="231F20"/>
        </w:rPr>
        <w:t xml:space="preserve"> have recently focused attention on automotive cybersecurity issues and may in the future propose or implement regulations specific to automotive cybersecurity. In addition, the United Nations Economic Commission for Europe (</w:t>
      </w:r>
      <w:r>
        <w:rPr>
          <w:rFonts w:ascii="Arial" w:cs="Arial" w:eastAsia="Arial" w:hAnsi="Arial"/>
          <w:sz w:val="16"/>
          <w:szCs w:val="16"/>
          <w:i w:val="1"/>
          <w:iCs w:val="1"/>
          <w:color w:val="231F20"/>
        </w:rPr>
        <w:t>“UNECE”</w:t>
      </w:r>
      <w:r>
        <w:rPr>
          <w:rFonts w:ascii="Arial" w:cs="Arial" w:eastAsia="Arial" w:hAnsi="Arial"/>
          <w:sz w:val="16"/>
          <w:szCs w:val="16"/>
          <w:color w:val="231F20"/>
        </w:rPr>
        <w:t>) has introduced new regulations governing connected vehicle cybersecurity, which became effective in January 2021 and apply in the European Union to all new vehicle types beginning in July 2022 and to all existing architectures/new vehicles from July 2024. Similar regulations are also in effect, or expected to come into effect, in certain other international jurisdictions. These and other regulations could adversely affect the timing of our entry into the European or other markets, and if such regulations or other future regulations are inconsistent with our approach to automotive cybersecurity, we would be required to modify our systems to comply with such regulations, which would impose additional costs and delays and could expose us to potential liability to the extent our automotive cybersecurity systems and practices are inconsistent with such regulation.</w:t>
      </w:r>
    </w:p>
    <w:p>
      <w:pPr>
        <w:spacing w:after="0" w:line="176"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231F20"/>
        </w:rPr>
        <w:t>We may not have adequate insurance coverage to cover losses associated with any of the foregoing, if any.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72" w:name="page73"/>
    <w:bookmarkEnd w:id="72"/>
    <w:p>
      <w:pPr>
        <w:ind w:right="20"/>
        <w:spacing w:after="0" w:line="286" w:lineRule="auto"/>
        <w:rPr>
          <w:sz w:val="20"/>
          <w:szCs w:val="20"/>
          <w:color w:val="auto"/>
        </w:rPr>
      </w:pPr>
      <w:r>
        <w:rPr>
          <w:rFonts w:ascii="Arial" w:cs="Arial" w:eastAsia="Arial" w:hAnsi="Arial"/>
          <w:sz w:val="16"/>
          <w:szCs w:val="16"/>
          <w:color w:val="231F20"/>
        </w:rPr>
        <w:t>Furthermore, we are continuously expanding and improving our information technology systems. In particular, our volume production of the Lucid Air and planned future vehicles will necessitate continued development, maintenance and improvement of our information technology and communication systems in the United States and abroad, such as systems for product data management, vehicle management tools, vehicle security systems, vehicle security management processes, procurement of bill of material items, supply chain management, inventory management, production planning and execution, lean manufacturing, sales, service and logistics, dealer management, financial, tax and regulatory compliance systems. Our ability to operate our business will depend on the availability and effectiveness of these systems. The implementation, maintenance, segregation and improvement of these systems require significant management time, support and cost. Moreover, there are inherent risks associated with developing, improving and expanding our core systems as well as implementing new systems, including the disruption of our data management, procurement, manufacturing execution, finance, supply chain, inventory management, and sales and service processes. We cannot be certain that these systems or their required functionality will be effectively and timely developed, implemented, maintained or expanded as planned. If we are unsuccessful in any of the foregoing, our operations may be disrupted, our ability to accurately or timely report our financial results could be impaired, and deficiencies may arise in our internal control over financial reporting, which may impact our ability to certify our financial results. If these systems or their functionality do not operate as we expect them to, we may be required to expend significant resources to make corrections or find alternative sources for performing these functions. Any of the foregoing could materially adversely affect our business, prospects, results of operations and financial condition.</w:t>
      </w:r>
    </w:p>
    <w:p>
      <w:pPr>
        <w:spacing w:after="0" w:line="19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231F20"/>
        </w:rPr>
        <w:t>In addition, our vehicles depend on the ability of software and hardware to store, retrieve, process and manage immense amounts of data. Our software and hardware, including any over-the-air or other updates, may contain, errors, bugs, design defects or vulnerabilities, and our systems may be subject to technical limitations that may compromise our ability to meet our objectives. Some errors, bugs or vulnerabilities may reside in third-party intellectual property or open source software and/or be inherently difficult to detect and may only be discovered after code has been released for external or internal use. Although we will attempt to remedy any issues we observe in our vehicles as effectively and rapidly as possible, such efforts may not be timely, may hamper production or may not be to the satisfaction of our customers. Additionally, if we are able to deploy updates to the software addressing any issues but our over-the-air update procedures fail to properly update the software, our customers will then be responsible for working with our service personnel to install such updates to the software, and their vehicle will be subject to these vulnerabilities until they do so. Any compromise of our intellectual property, proprietary information, systems or vehicles or inability to prevent or effectively remedy errors, bugs, vulnerabilities or defects in our software and hardware may cause us to suffer lengthy interruptions to our ability to operate our business and our customers’ ability to operate their vehicles, compromise of vehicle integrity and physical safety, damage to our reputation, loss of customers, loss of revenue, governmental fines, investigations or litigation or liability for damages, any of which could materially adversely affect our business, results of operations, prospects and financial condition.</w:t>
      </w:r>
    </w:p>
    <w:p>
      <w:pPr>
        <w:spacing w:after="0" w:line="168"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b w:val="1"/>
          <w:bCs w:val="1"/>
          <w:i w:val="1"/>
          <w:iCs w:val="1"/>
          <w:color w:val="231F20"/>
        </w:rPr>
        <w:t>We are subject to evolving laws, regulations, standards, policies, and contractual obligations related to data privacy and security, and any actual or perceived failure to comply with such obligations could harm our reputation and brand, subject us to significant fines and liability, or otherwise adversely affect our business.</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231F20"/>
        </w:rPr>
        <w:t>In the course of our operations, we collect, use, store, disclose, transfer and otherwise process personal information from our customers, employees and third parties with whom we conduct business, including names, accounts, driver license information, user IDs and passwords, and payment or transaction related information. Additionally, we use our vehicles’ electronic systems to log information about each vehicle’s use, such as charge time, battery usage, geolocation, mileage and driving behavior, in order to aid it in vehicle diagnostics, repair and maintenance, as well as to help us customize and improve the driving and riding experience.</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Accordingly, we are subject to or affected by a number of federal, state, local and international laws and regulations, as well as contractual obligations and industry standards, that impose certain obligations and restrictions with respect to data privacy and security and govern our collection, storage, retention, protection, use, transmission, sharing, disclosure and other processing of personal information including that of our employees, customers and other third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w:t>
      </w:r>
    </w:p>
    <w:p>
      <w:pPr>
        <w:spacing w:after="0" w:line="206"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231F20"/>
        </w:rPr>
        <w:t>The global data protection landscape is rapidly evolving, and implementation standards and enforcement practices are likely to remain uncertain for the foreseeable future. We may not be able to monitor and react to all developments in a timely manner. For example, the European Union adopted the General Data Protection Regulation (“</w:t>
      </w:r>
      <w:r>
        <w:rPr>
          <w:rFonts w:ascii="Arial" w:cs="Arial" w:eastAsia="Arial" w:hAnsi="Arial"/>
          <w:sz w:val="17"/>
          <w:szCs w:val="17"/>
          <w:i w:val="1"/>
          <w:iCs w:val="1"/>
          <w:color w:val="231F20"/>
        </w:rPr>
        <w:t>GDPR</w:t>
      </w:r>
      <w:r>
        <w:rPr>
          <w:rFonts w:ascii="Arial" w:cs="Arial" w:eastAsia="Arial" w:hAnsi="Arial"/>
          <w:sz w:val="17"/>
          <w:szCs w:val="17"/>
          <w:color w:val="231F20"/>
        </w:rPr>
        <w:t>”)</w:t>
      </w:r>
      <w:r>
        <w:rPr>
          <w:rFonts w:ascii="Arial" w:cs="Arial" w:eastAsia="Arial" w:hAnsi="Arial"/>
          <w:sz w:val="17"/>
          <w:szCs w:val="17"/>
          <w:i w:val="1"/>
          <w:iCs w:val="1"/>
          <w:color w:val="231F20"/>
        </w:rPr>
        <w:t>,</w:t>
      </w:r>
      <w:r>
        <w:rPr>
          <w:rFonts w:ascii="Arial" w:cs="Arial" w:eastAsia="Arial" w:hAnsi="Arial"/>
          <w:sz w:val="17"/>
          <w:szCs w:val="17"/>
          <w:color w:val="231F20"/>
        </w:rPr>
        <w:t xml:space="preserve"> which became effective in May 2018, California adopted the California Consumer Privacy Act of 2018 (“</w:t>
      </w:r>
      <w:r>
        <w:rPr>
          <w:rFonts w:ascii="Arial" w:cs="Arial" w:eastAsia="Arial" w:hAnsi="Arial"/>
          <w:sz w:val="17"/>
          <w:szCs w:val="17"/>
          <w:i w:val="1"/>
          <w:iCs w:val="1"/>
          <w:color w:val="231F20"/>
        </w:rPr>
        <w:t>CCPA</w:t>
      </w:r>
      <w:r>
        <w:rPr>
          <w:rFonts w:ascii="Arial" w:cs="Arial" w:eastAsia="Arial" w:hAnsi="Arial"/>
          <w:sz w:val="17"/>
          <w:szCs w:val="17"/>
          <w:color w:val="231F20"/>
        </w:rPr>
        <w:t>”)</w:t>
      </w:r>
      <w:r>
        <w:rPr>
          <w:rFonts w:ascii="Arial" w:cs="Arial" w:eastAsia="Arial" w:hAnsi="Arial"/>
          <w:sz w:val="17"/>
          <w:szCs w:val="17"/>
          <w:i w:val="1"/>
          <w:iCs w:val="1"/>
          <w:color w:val="231F20"/>
        </w:rPr>
        <w:t>,</w:t>
      </w:r>
      <w:r>
        <w:rPr>
          <w:rFonts w:ascii="Arial" w:cs="Arial" w:eastAsia="Arial" w:hAnsi="Arial"/>
          <w:sz w:val="17"/>
          <w:szCs w:val="17"/>
          <w:color w:val="231F20"/>
        </w:rPr>
        <w:t xml:space="preserve"> which became effective in January 2020, Canada adopted the Personal Information Protection and Electronic Documents Act (“</w:t>
      </w:r>
      <w:r>
        <w:rPr>
          <w:rFonts w:ascii="Arial" w:cs="Arial" w:eastAsia="Arial" w:hAnsi="Arial"/>
          <w:sz w:val="17"/>
          <w:szCs w:val="17"/>
          <w:i w:val="1"/>
          <w:iCs w:val="1"/>
          <w:color w:val="231F20"/>
        </w:rPr>
        <w:t>PIPEDA</w:t>
      </w:r>
      <w:r>
        <w:rPr>
          <w:rFonts w:ascii="Arial" w:cs="Arial" w:eastAsia="Arial" w:hAnsi="Arial"/>
          <w:sz w:val="17"/>
          <w:szCs w:val="17"/>
          <w:color w:val="231F20"/>
        </w:rPr>
        <w:t>”) and continues to amend the statute, the United Arab Emirates adopted the Data Protection Law (“</w:t>
      </w:r>
      <w:r>
        <w:rPr>
          <w:rFonts w:ascii="Arial" w:cs="Arial" w:eastAsia="Arial" w:hAnsi="Arial"/>
          <w:sz w:val="17"/>
          <w:szCs w:val="17"/>
          <w:i w:val="1"/>
          <w:iCs w:val="1"/>
          <w:color w:val="231F20"/>
        </w:rPr>
        <w:t>DPL</w:t>
      </w:r>
      <w:r>
        <w:rPr>
          <w:rFonts w:ascii="Arial" w:cs="Arial" w:eastAsia="Arial" w:hAnsi="Arial"/>
          <w:sz w:val="17"/>
          <w:szCs w:val="17"/>
          <w:color w:val="231F20"/>
        </w:rPr>
        <w:t>”), which became effective in January 2022, and the Kingdom of Saudi Arabia enacted the Personal Data Protection Law (“</w:t>
      </w:r>
      <w:r>
        <w:rPr>
          <w:rFonts w:ascii="Arial" w:cs="Arial" w:eastAsia="Arial" w:hAnsi="Arial"/>
          <w:sz w:val="17"/>
          <w:szCs w:val="17"/>
          <w:i w:val="1"/>
          <w:iCs w:val="1"/>
          <w:color w:val="231F20"/>
        </w:rPr>
        <w:t>PDPL</w:t>
      </w:r>
      <w:r>
        <w:rPr>
          <w:rFonts w:ascii="Arial" w:cs="Arial" w:eastAsia="Arial" w:hAnsi="Arial"/>
          <w:sz w:val="17"/>
          <w:szCs w:val="17"/>
          <w:color w:val="231F20"/>
        </w:rPr>
        <w:t>”) which will take effect in March 2023. Each of the GDPR, the CCPA, the PIPEDA, the DPL and the PDPL impose additional obligations on companies regarding the handling of personal data and provide certain individual privacy rights to persons whose data is collected. Compliance with existing, proposed and recently enacted laws and regulations (including implementation of the privacy and process enhancements called for under the GDPR, CCPA, PIPEDA, DPL and PDPL) can be costly, and any failure to comply with these regulatory standards could subject us to legal and reputational risks.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3" w:name="page74"/>
    <w:bookmarkEnd w:id="73"/>
    <w:p>
      <w:pPr>
        <w:spacing w:after="0" w:line="255" w:lineRule="auto"/>
        <w:rPr>
          <w:sz w:val="20"/>
          <w:szCs w:val="20"/>
          <w:color w:val="auto"/>
        </w:rPr>
      </w:pPr>
      <w:r>
        <w:rPr>
          <w:rFonts w:ascii="Arial" w:cs="Arial" w:eastAsia="Arial" w:hAnsi="Arial"/>
          <w:sz w:val="17"/>
          <w:szCs w:val="17"/>
          <w:color w:val="auto"/>
        </w:rPr>
        <w:t>Specifically, failure to comply with the GDPR can result in significant fines and other liability, including, under the GDPR, fines of up to EUR 20 million or four percent (4%) of global revenue, whichever is greater. The cost of compliance, and the potential for fines and penalties for non-compliance, with GDPR may have a significant adverse effect on our business and operations. Recent legal developments in the European Economic Area (“</w:t>
      </w:r>
      <w:r>
        <w:rPr>
          <w:rFonts w:ascii="Arial" w:cs="Arial" w:eastAsia="Arial" w:hAnsi="Arial"/>
          <w:sz w:val="17"/>
          <w:szCs w:val="17"/>
          <w:i w:val="1"/>
          <w:iCs w:val="1"/>
          <w:color w:val="auto"/>
        </w:rPr>
        <w:t>EEA</w:t>
      </w:r>
      <w:r>
        <w:rPr>
          <w:rFonts w:ascii="Arial" w:cs="Arial" w:eastAsia="Arial" w:hAnsi="Arial"/>
          <w:sz w:val="17"/>
          <w:szCs w:val="17"/>
          <w:color w:val="auto"/>
        </w:rPr>
        <w:t>”), including recent rulings from the Court of Justice of the European Union and from various EU member state data protection authorities, have created complexity and uncertainty regarding transfers of personal data from the EEA to the United States and other so-called third countries outside the EEA. Similar complexities and uncertainties also apply to transfers from the United Kingdom to third countries. While we have taken steps to mitigate the impact on us, the efficacy and longevity of these mechanisms remains uncertain.</w:t>
      </w:r>
    </w:p>
    <w:p>
      <w:pPr>
        <w:spacing w:after="0" w:line="20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231F20"/>
        </w:rPr>
        <w:t>At the state level, we are subject to law and regulations such as the CCPA. The CCPA establishes a privacy framework for covered businesses, including an expansive definition of personal information and data privacy rights for California residents. The CCPA includes a framework with potentially severe statutory damages for violations and a private right of action for certain data breaches. The CCPA requires covered businesses to provide California residents with certain privacy-related disclosures and rights related to their personal information. As we expand our operations, the CCPA may increase our compliance costs and potential liability. Some observers have noted that the CCPA marked the beginning of a trend toward more stringent privacy legislation in the United States. Additionally, effective in most material respects starting on January 1, 2023, the California Privacy Rights Act (“</w:t>
      </w:r>
      <w:r>
        <w:rPr>
          <w:rFonts w:ascii="Arial" w:cs="Arial" w:eastAsia="Arial" w:hAnsi="Arial"/>
          <w:sz w:val="17"/>
          <w:szCs w:val="17"/>
          <w:i w:val="1"/>
          <w:iCs w:val="1"/>
          <w:color w:val="231F20"/>
        </w:rPr>
        <w:t>CPRA</w:t>
      </w:r>
      <w:r>
        <w:rPr>
          <w:rFonts w:ascii="Arial" w:cs="Arial" w:eastAsia="Arial" w:hAnsi="Arial"/>
          <w:sz w:val="17"/>
          <w:szCs w:val="17"/>
          <w:color w:val="231F20"/>
        </w:rPr>
        <w:t>”)</w:t>
      </w:r>
      <w:r>
        <w:rPr>
          <w:rFonts w:ascii="Arial" w:cs="Arial" w:eastAsia="Arial" w:hAnsi="Arial"/>
          <w:sz w:val="17"/>
          <w:szCs w:val="17"/>
          <w:i w:val="1"/>
          <w:iCs w:val="1"/>
          <w:color w:val="231F20"/>
        </w:rPr>
        <w:t>,</w:t>
      </w:r>
      <w:r>
        <w:rPr>
          <w:rFonts w:ascii="Arial" w:cs="Arial" w:eastAsia="Arial" w:hAnsi="Arial"/>
          <w:sz w:val="17"/>
          <w:szCs w:val="17"/>
          <w:color w:val="231F20"/>
        </w:rPr>
        <w:t xml:space="preserve"> will significantly modify the CCPA, including by expanding California residents’ rights with respect to certain sensitive personal information. The CPRA also creates a new state agency, the California Privacy Protection Agency (“</w:t>
      </w:r>
      <w:r>
        <w:rPr>
          <w:rFonts w:ascii="Arial" w:cs="Arial" w:eastAsia="Arial" w:hAnsi="Arial"/>
          <w:sz w:val="17"/>
          <w:szCs w:val="17"/>
          <w:i w:val="1"/>
          <w:iCs w:val="1"/>
          <w:color w:val="231F20"/>
        </w:rPr>
        <w:t>CPPA</w:t>
      </w:r>
      <w:r>
        <w:rPr>
          <w:rFonts w:ascii="Arial" w:cs="Arial" w:eastAsia="Arial" w:hAnsi="Arial"/>
          <w:sz w:val="17"/>
          <w:szCs w:val="17"/>
          <w:color w:val="231F20"/>
        </w:rPr>
        <w:t>”), that will be vested with the authority to implement and enforce the CCPA (as modified by CPRA and any related regulations). The CPPA has recently published draft regulations under the CCPA and CPRA that, if enacted, would impose additional regulatory obligations on us.</w:t>
      </w:r>
    </w:p>
    <w:p>
      <w:pPr>
        <w:spacing w:after="0" w:line="199"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231F20"/>
        </w:rPr>
        <w:t>Other states, including Connecticut, Utah, Virginia, and Colorado, have enacted or are in the process of enacting, or considering similar laws. Compliance with these state statutes, other similar state or federal laws that may be enacted in the future, and other applicable privacy and data security laws and regulations is a rigorous and time-intensive process, and we may be required to put in place additional mechanisms to comply with such laws and regulations, which could cause us to incur substantial costs or require us to change our business practices, including our data practices, in a manner adverse to our business. Certain emerging privacy laws are still subject to a high degree of uncertainty as to their interpretation and application.</w:t>
      </w:r>
    </w:p>
    <w:p>
      <w:pPr>
        <w:spacing w:after="0" w:line="20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231F20"/>
        </w:rPr>
        <w:t>Failure to comply with applicable laws or regulations or to secure personal information could result in investigations, enforcement actions and other proceedings against us, which could result in substantial fines, damages and other liability as well as damage to our reputation and credibility, which could have a negative impact on revenues and profits.</w:t>
      </w:r>
    </w:p>
    <w:p>
      <w:pPr>
        <w:spacing w:after="0" w:line="18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231F20"/>
        </w:rPr>
        <w:t>We post public privacy policies and other documentation regarding our collection, use, disclosure and other processing of personal information. Although we endeavor to comply with our published policies and other documentation, we may at times fail to do so or may be perceived to have failed to do so. Moreover, despite our efforts, we may not be successful in achieving compliance if our employees, contractors, service providers, vendors or other third parties fail to comply with our published policies and documentation. Such failures could carry similar consequences or subject us to potential local, state and federal action if they are found to be deceptive, unfair or misrepresentative of our actual practices. Claims that we have violated individuals’ privacy rights or failed to comply with data protection laws or applicable privacy notices could, even if we are not found liable, be expensive and time-consuming to defend and could result in adverse publicity that could harm our business.</w:t>
      </w:r>
    </w:p>
    <w:p>
      <w:pPr>
        <w:spacing w:after="0" w:line="204" w:lineRule="exact"/>
        <w:rPr>
          <w:sz w:val="20"/>
          <w:szCs w:val="20"/>
          <w:color w:val="auto"/>
        </w:rPr>
      </w:pPr>
    </w:p>
    <w:p>
      <w:pPr>
        <w:spacing w:after="0" w:line="291" w:lineRule="auto"/>
        <w:rPr>
          <w:sz w:val="20"/>
          <w:szCs w:val="20"/>
          <w:color w:val="auto"/>
        </w:rPr>
      </w:pPr>
      <w:r>
        <w:rPr>
          <w:rFonts w:ascii="Arial" w:cs="Arial" w:eastAsia="Arial" w:hAnsi="Arial"/>
          <w:sz w:val="16"/>
          <w:szCs w:val="16"/>
          <w:color w:val="231F20"/>
        </w:rPr>
        <w:t>Most jurisdictions have enacted laws requiring companies to notify individuals, regulatory authorities and other third parties of security breaches involving certain types of data. For example, laws in all 50 U.S. states generally require businesses to provide notice under certain circumstances to consumers whose personal information has been disclosed as a result of a breach. Such laws may be inconsistent or may change or additional laws may be adopted. In addition, our agreements with certain customers may require us to notify them in the event of a security breach. Such mandatory disclosures are costly, could lead to negative publicity, penalties or fines, litigation and our customers losing confidence in the effectiveness of our security measures and could require us to expend significant capital and other resources to respond to or alleviate problems caused by the actual or perceived security breach. Any of the foregoing could materially adversely affect our business, prospects, results of operations and financial condition.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0"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231F20"/>
        </w:rPr>
        <w:t>Risks Related to Our Employees and Human Resources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The loss of key personnel or an inability to attract, retain and motivate qualified personnel may impair our ability to expand our business.</w:t>
      </w:r>
    </w:p>
    <w:p>
      <w:pPr>
        <w:spacing w:after="0" w:line="237" w:lineRule="exact"/>
        <w:rPr>
          <w:sz w:val="20"/>
          <w:szCs w:val="20"/>
          <w:color w:val="auto"/>
        </w:rPr>
      </w:pPr>
    </w:p>
    <w:p>
      <w:pPr>
        <w:spacing w:after="0" w:line="285" w:lineRule="auto"/>
        <w:rPr>
          <w:sz w:val="20"/>
          <w:szCs w:val="20"/>
          <w:color w:val="auto"/>
        </w:rPr>
      </w:pPr>
      <w:r>
        <w:rPr>
          <w:rFonts w:ascii="Arial" w:cs="Arial" w:eastAsia="Arial" w:hAnsi="Arial"/>
          <w:sz w:val="16"/>
          <w:szCs w:val="16"/>
          <w:color w:val="231F20"/>
        </w:rPr>
        <w:t>Our success is substantially dependent upon the continued service and performance of our senior management team and key technical and vehicle management personnel. Our employees, including our senior management team, are at-will employees, and therefore may terminate employment with us at any time with no advance notice. Although we do not currently anticipate widespread departure of our senior leadership team or other key employees, it is always possible that we could lose some key personnel, especially if we are unable to grant sufficient equity awards or if the volatility of our stock price increases. The replacement of any members of our senior management team or other key personnel likely would involve significant time and costs and may significantly delay or prevent the achievement of our business objectives. Our future success also depends, in part, on our ability to continue to attract, integrate and retain highly skilled personnel. Competition for personnel is frequently intense, especially in the San Francisco Bay Area, where we have a substantial presence and need for highly skilled personnel, including, in particular, engineers and Arizona, where we have a substantial presence and a need for a large skilled repair, logistics, supply chain, and manufacturing workforce. As with any company with limited resources, there can be no guarantee that we will be able to attract such individuals or that the presence of such individuals will necessarily translate into our profitability. Because we operate in a newly emerging industry, there may also be limited personnel available with relevant business experience, and such individuals may be subject to non-competition and other agreements that restrict their ability to work for us. This challenge may be exacerbated for us as we attempt to transition from start-up to full-scale commercial vehicle manufacturing and sales in a very short period of time under the unforeseeable business conditions which continue to evolve as a result of the impact of COVID-19 and the ongoing conflict in Ukraine. Our inability to attract and retain key personnel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are highly dependent on the services of Peter Rawlinson, our Chief Executive Officer and Chief Technology Officer.</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231F20"/>
        </w:rPr>
        <w:t>We are highly dependent on the services of Peter Rawlinson, our Chief Executive Officer and Chief Technology Officer. Mr. Rawlinson is a significant influence on and driver of our technology development and business plan. If Mr. Rawlinson were to discontinue his service with us due to death, disability or any other reason, we would be significantly disadvantaged.</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231F20"/>
        </w:rPr>
        <w:t>We will need to hire and train a significant number of employees to engage in full-scale commercial manufacturing operations, and our business could be adversely affected by labor and union activities.</w:t>
      </w:r>
    </w:p>
    <w:p>
      <w:pPr>
        <w:spacing w:after="0" w:line="17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231F20"/>
        </w:rPr>
        <w:t>We will need to hire and train a significant number of employees to engage in full capacity commercial manufacturing operations. This needs to be accomplished in a very short period of time in order for us to scale commercial production and sales and service operations. There are various risks and challenges associated with hiring, training and managing a large workforce, such as establishing efficient communication channels, procedures and rules of conduct, hiring an adequate number of experienced manufacturing, supply chain management and logistics managerial personnel and creating an effective company culture, and these risks and challenges may be exacerbated by the short period of time in which we intend to scale up our salary and hourly workforce. Although the area surrounding our Casa Grande, Arizona manufacturing facilities is home to a highly trained workforce with experience in engineering and manufacturing, this workforce does not have significant experience with electric vehicle manufacturing, and related processes such as inventory management, logistics and quality control, and many jobs will require significant training and we may need to spend significant resources to ensure employees adhere to such training. Further, competition for employees in the Casa Grande, Arizona has increased and may continue to increase in the future, which may impact the ability or cost to hire in the area. If we are unsuccessful in hiring and training a workforce in a timely and cost-effective manner, our business, financial condition and results of operations could be adversely affected.</w:t>
      </w:r>
    </w:p>
    <w:p>
      <w:pPr>
        <w:spacing w:after="0" w:line="209" w:lineRule="exact"/>
        <w:rPr>
          <w:sz w:val="20"/>
          <w:szCs w:val="20"/>
          <w:color w:val="auto"/>
        </w:rPr>
      </w:pPr>
    </w:p>
    <w:p>
      <w:pPr>
        <w:spacing w:after="0" w:line="288" w:lineRule="auto"/>
        <w:rPr>
          <w:sz w:val="20"/>
          <w:szCs w:val="20"/>
          <w:color w:val="auto"/>
        </w:rPr>
      </w:pPr>
      <w:r>
        <w:rPr>
          <w:rFonts w:ascii="Arial" w:cs="Arial" w:eastAsia="Arial" w:hAnsi="Arial"/>
          <w:sz w:val="16"/>
          <w:szCs w:val="16"/>
          <w:color w:val="231F20"/>
        </w:rPr>
        <w:t>Furthermore, although none of our United States based employees are currently represented by a labor union and none of our international employees are currently represented by a labor union that we are aware of at this time, it is common throughout the automobile industry generally for many employees at automobile companies to belong to a union, which can result in higher employee costs and increased risk of work stoppages. Moreover, regulations in some jurisdictions outside of the U.S. mandate employee participation in industrial collective bargaining agreements, work councils, or similar activities with certain consultation rights with respect to the relevant companies’ operations. In the event our employees seek to join or form a labor union, we could be subject to risks as we engage in an attempt to finalize negotiations with any such union, including potential work slowdowns or stoppages, delays and increased costs. Furthermore, we may be directly or indirectly dependent upon companies with unionized work forces, such as parts suppliers, construction contractors, and trucking and freight companies, and work stoppages or strikes organized by such unions could have a material adverse impact on our business, financial condition, ability to expand our facilities, or results of operations. If a work stoppage occurs, it could delay the manufacture and sale of our products and have a material adverse effect on our business, prospects, results of operations or financial condition.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75" w:name="page76"/>
    <w:bookmarkEnd w:id="75"/>
    <w:p>
      <w:pPr>
        <w:ind w:right="100"/>
        <w:spacing w:after="0" w:line="277" w:lineRule="auto"/>
        <w:rPr>
          <w:sz w:val="20"/>
          <w:szCs w:val="20"/>
          <w:color w:val="auto"/>
        </w:rPr>
      </w:pPr>
      <w:r>
        <w:rPr>
          <w:rFonts w:ascii="Arial" w:cs="Arial" w:eastAsia="Arial" w:hAnsi="Arial"/>
          <w:sz w:val="18"/>
          <w:szCs w:val="18"/>
          <w:b w:val="1"/>
          <w:bCs w:val="1"/>
          <w:i w:val="1"/>
          <w:iCs w:val="1"/>
          <w:color w:val="231F20"/>
        </w:rPr>
        <w:t>Misconduct by our employees and independent contractors during and before their employment with us could expose us to potentially significant legal liabilities, reputational harm and/or other damages to our business.</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231F20"/>
        </w:rPr>
        <w:t>Many of our employees play critical roles in ensuring the safety and reliability of our vehicles and/or our compliance with relevant laws and regulations. Certain of our employees have access to sensitive information and/or proprietary technologies and know-how. While we have adopted codes of conduct for all of our employees and implemented detailed policies and procedures relating to intellectual property, proprietary information and trade secrets, we cannot assure you that our employees will always abide by these codes, policies and procedures nor that the precautions we take to detect and prevent employee misconduct will always be effective. If any of our employees engage in any misconduct, illegal or suspicious activities, including but not limited to misappropriation or leakage of sensitive customer information or proprietary information, we and such employees could be subject to legal claims and liabilities and our reputation and business could be adversely affected as a result.</w:t>
      </w:r>
    </w:p>
    <w:p>
      <w:pPr>
        <w:spacing w:after="0" w:line="17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231F20"/>
        </w:rPr>
        <w:t>In addition, while we have screening procedures during the recruitment process, we cannot assure you that we will be able to uncover misconduct of job applicants that occurred before we offered them employment, or that we will not be affected by legal proceedings against our existing or former employees as a result of their actual or alleged misconduct. Any negative publicity surrounding such cases, especially in the event that any of our employees is found to have committed any wrongdoing, could negatively affect our reputation and may have an adverse impact on our business.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231F20"/>
        </w:rPr>
        <w:t>Furthermore, we face the risk that our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Litigation and Regulation</w:t>
      </w:r>
    </w:p>
    <w:p>
      <w:pPr>
        <w:spacing w:after="0" w:line="22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b w:val="1"/>
          <w:bCs w:val="1"/>
          <w:i w:val="1"/>
          <w:iCs w:val="1"/>
          <w:color w:val="231F20"/>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231F20"/>
        </w:rPr>
        <w:t>We are or will be subject to complex environmental, manufacturing, health and safety laws and regulations at numerous jurisdictional levels, including laws relating to the use, handling, storage, recycling, disposal and human exposure to hazardous materials and with respect to constructing, expanding and maintaining our facilities. The costs of compliance, including remediating contamination if any is found on our properties and any changes to our operations mandated by new or amended laws, may be significant. We may also face unexpected delays in obtaining permits and approvals required by such laws in connection with our manufacturing facilities, which would hinder our ability to continue our commercial manufacturing operations. Such costs and delays may adversely impact our business prospects and results of operations. Furthermore, any violations of these laws may result in substantial fines and penalties, remediation costs, third party damages, or a suspension or cessation of our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6" w:name="page77"/>
    <w:bookmarkEnd w:id="76"/>
    <w:p>
      <w:pPr>
        <w:ind w:right="40"/>
        <w:spacing w:after="0" w:line="268" w:lineRule="auto"/>
        <w:rPr>
          <w:sz w:val="20"/>
          <w:szCs w:val="20"/>
          <w:color w:val="auto"/>
        </w:rPr>
      </w:pPr>
      <w:r>
        <w:rPr>
          <w:rFonts w:ascii="Arial" w:cs="Arial" w:eastAsia="Arial" w:hAnsi="Arial"/>
          <w:sz w:val="17"/>
          <w:szCs w:val="17"/>
          <w:color w:val="231F20"/>
        </w:rPr>
        <w:t>In addition, motor vehicles are subject to substantial regulation under international, federal, state and local laws. We have incurred, and expect to continue to incur, significant costs in complying with these regulations. Any failures to comply could result in significant expenses, delays or fines. In the United States, vehicles must meet or exceed all federally mandated motor vehicle safety standards to be certified under the federal regulations. Rigorous testing and the use of approved materials and equipment are among the requirements for achieving federal certification. The Lucid Air and any future vehicles will be subject to substantial regulation under federal, state and local laws and standards. These regulations include those promulgated by the U.S. Environmental Protection Agency, NHTSA, other federal agencies, various state agencies and various state boards, and compliance certification is required for each individual vehicle we manufacture for sale. These laws and standards are subject to change from time to time, and we could become subject to additional regulations in the future, which would increase the effort and expense of compliance. In addition, federal, state and local laws and industrial standards for electric vehicles are still developing, and we face risks associated with changes to these regulations, which could have an impact on the acceptance of our electric vehicles, and increased sensitivity by regulators to the needs of established automobile manufacturers with large employment bases, high fixed costs and business models based on the internal combustion engine, which could lead them to pass regulations that could reduce the compliance costs of such established manufacturers or mitigate the effects of government efforts to promote electric vehicles. Compliance with these regulations is challenging, burdensome, time consuming and expensive. If compliance results in delays or substantial expenses, our business could be adversely affected.</w:t>
      </w:r>
    </w:p>
    <w:p>
      <w:pPr>
        <w:spacing w:after="0" w:line="18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231F20"/>
        </w:rPr>
        <w:t>We also expect to become subject to laws and regulations applicable to the supply, manufacture, import, sale and service of automobiles internationally, including in Europe, the Middle East and China. Applicable regulations in countries outside of the U.S., such as standards relating to vehicle safety, transportation of dangerous goods, fuel economy and emissions, among other things, are often materially different from requirements in the United States. Compliance with such regulations will therefore require additional time, effort and expense to ensure regulatory compliance in those countries. This process may include official review and certification of our vehicles by foreign regulatory agencies prior to market entry, as well as compliance with foreign reporting and recall management systems requirements. There can be no assurance that we will be able to achieve foreign regulatory compliance in a timely manner and at our expected cost, or at all, and the costs of achieving international regulatory compliance or the failure to achieve international regulatory compliance could harm our business, prospects,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may face regulatory limitations on our ability to sell vehicles directly, which could materially and adversely affect our ability to sell our vehicles.</w:t>
      </w:r>
    </w:p>
    <w:p>
      <w:pPr>
        <w:spacing w:after="0" w:line="27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231F20"/>
        </w:rPr>
        <w:t>Our business plan includes the direct sale of vehicles to retail consumers, both at retail locations and over the internet. The laws governing licensing of dealers and sales of motor vehicles vary from state to state. Most states require a dealer license to sell new motor vehicles within the state, and many states prohibit manufacturers or their affiliates from becoming licensed dealers and directly selling new motor vehicles to retail consumers from within that state. In addition, most states require that we have a physical dealership location in the state before we can be licensed as a dealer. We are currently licensed as a motor vehicle dealer in several states and anticipate that we can become a licensed dealer in additional states as we open retail locations in those states. In some states, we have also opened or expect to open Lucid studios to educate and inform customers about our vehicles, but those Lucid studios will not actually transact in the sale of vehicles. The application of these state laws to our operations continues to be difficult to predict. Laws in some states have limited our ability to obtain dealer licenses from state motor vehicle regulators and may continue to do so.</w:t>
      </w:r>
    </w:p>
    <w:p>
      <w:pPr>
        <w:spacing w:after="0" w:line="165" w:lineRule="exact"/>
        <w:rPr>
          <w:sz w:val="20"/>
          <w:szCs w:val="20"/>
          <w:color w:val="auto"/>
        </w:rPr>
      </w:pPr>
    </w:p>
    <w:p>
      <w:pPr>
        <w:spacing w:after="0" w:line="288" w:lineRule="auto"/>
        <w:rPr>
          <w:sz w:val="20"/>
          <w:szCs w:val="20"/>
          <w:color w:val="auto"/>
        </w:rPr>
      </w:pPr>
      <w:r>
        <w:rPr>
          <w:rFonts w:ascii="Arial" w:cs="Arial" w:eastAsia="Arial" w:hAnsi="Arial"/>
          <w:sz w:val="16"/>
          <w:szCs w:val="16"/>
          <w:color w:val="231F20"/>
        </w:rPr>
        <w:t>We may face legal challenges to this distribution model. For instance, in states where direct sales are not permitted, dealers and their lobbying organizations may complain to the government or regulatory agencies that we are acting in the capacity of a dealer without a license. Alternatively, we have and may continue to initiate legal action against such states that prohibit direct sales, which may be protracted and expensive, and the results are difficult to predict. In some states, regulators may restrict or prohibit us from directly providing warranty repair service, or from contracting with third parties who are not licensed dealers to provide warranty repair service. Even if regulators decide to permit us to sell vehicles, such decisions may be challenged by dealer associations and others as to whether such decisions comply with applicable state motor vehicle industry laws. Further, even in jurisdictions where we believe applicable laws and regulations do not currently prohibit our direct sales model or where we have reached agreements with regulators, legislatures may impose additional limitations. Because the laws vary from state to state, our distribution model must be carefully established, and our sales and service processes must be continually monitored for compliance with the various state requirements, which change from time to time. Regulatory compliance and likely challenges to the distribution model may add to the cost of our business.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7" w:name="page78"/>
    <w:bookmarkEnd w:id="77"/>
    <w:p>
      <w:pPr>
        <w:ind w:right="240"/>
        <w:spacing w:after="0" w:line="277" w:lineRule="auto"/>
        <w:rPr>
          <w:sz w:val="20"/>
          <w:szCs w:val="20"/>
          <w:color w:val="auto"/>
        </w:rPr>
      </w:pPr>
      <w:r>
        <w:rPr>
          <w:rFonts w:ascii="Arial" w:cs="Arial" w:eastAsia="Arial" w:hAnsi="Arial"/>
          <w:sz w:val="18"/>
          <w:szCs w:val="18"/>
          <w:b w:val="1"/>
          <w:bCs w:val="1"/>
          <w:i w:val="1"/>
          <w:iCs w:val="1"/>
          <w:color w:val="231F20"/>
        </w:rPr>
        <w:t>We have in the past and may choose in the future, or we may be compelled, to undertake product recalls or take other actions, which could adversely affect our business, prospects, results of operations, reputation and financial condition.</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Product recalls may result in adverse publicity, damage our reputation and adversely affect our business, prospects, results of operations and financial condition. For example, in February 2022 we voluntarily recalled certain vehicles due to a potential issue regarding the manufacture of the front strut damper by our supplier, in May 2022 we recalled certain vehicles due to a potential issue regarding the wiring harness connected to in-vehicle displays, and in September 2022 we recalled certain vehicles due to a potential issue regarding the front tow eye bracket attached to the subframe. We may in the future voluntarily or involuntarily initiate additional recalls if any of our electric vehicles or components (including our batteries) prove to be defective or noncompliant with applicable federal motor vehicle safety standards. If a large number of vehicles are the subject of a recall or if needed replacement parts are not in adequate supply, we may be unable to service and repair recalled vehicles for a significant period of time. These types of disruptions could jeopardize our ability to fulfill existing contractual commitments or satisfy demand for our electric vehicles and could also result in the loss of business to our competitors. Such recalls, whether caused by systems or components engineered or manufactured by us or our suppliers, would involve significant expense and diversion of management’s attention and other resources, which could adversely affect our brand image in our target market and our business, prospects, results of operations and financial condition.</w:t>
      </w:r>
    </w:p>
    <w:p>
      <w:pPr>
        <w:spacing w:after="0" w:line="182"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231F20"/>
        </w:rPr>
        <w:t>We are subject to legal proceedings, regulatory disputes and governmental inquiries that could cause us to incur significant expenses, divert our management’s attention, and adversely affect our business, results of operations, cash flows and financial condition.</w:t>
      </w:r>
    </w:p>
    <w:p>
      <w:pPr>
        <w:spacing w:after="0" w:line="12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231F20"/>
        </w:rPr>
        <w:t>From time to time, we may be subject to claims, lawsuits, government investigations and other proceedings involving product liability, consumer protection, competition and antitrust, intellectual property, privacy, securities, tax, labor and employment, health and safety, our direct distribution model, environmental claims, commercial disputes and other matters that could adversely affect our business, results of operations, cash flows and financial condition. In the ordinary course of business, we have been the subject of complaints or litigation, including claims related to shareholders, disability access, and employment matters.</w:t>
      </w:r>
    </w:p>
    <w:p>
      <w:pPr>
        <w:spacing w:after="0" w:line="18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231F20"/>
        </w:rPr>
        <w:t>For example, beginning on April 18, 2021, two individual actions and two putative class actions were filed in federal courts in Alabama, California, New Jersey and Indiana, asserting claims under the federal securities laws against the Company (f/k/a Churchill Capital Corp IV), its wholly 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In re CCIV / Lucid Motors Securities Litigation, Case No. 4:21-cv-09323-YGR (the “Consolidated Class Action”). On December 30, 2021, lead plaintiffs in the Consolidated Class Action filed a revised amended consolidated complaint (the “Complaint”), which asserts claims under Sections 10(b) and 20(a) of the Securities Exchange Act of 1934 on behalf of a putative class of shareholders who purchased stock in CCIV between February 5, 2021 and February 22, 2021. The Complaint names as defendants Lucid Motors and the Company’s chief executive officer, and generally alleges that, prior to the public announcement of the Merger, defendants purportedly made false or misleading statements regarding the expected start of production for the Lucid Air and related matters. The Complaint seeks certification of the action as a class action as well as compensatory damages, interest thereon, and attorneys’ fees and expenses. The Company moved to dismiss the Complaint on February 14, 2022. The Company believes that the plaintiffs’ claims are without merit and intends to defend itself vigorously, but the Company cannot ensure that defendants’ efforts to dismiss the Complaint will be successful or that it will avoid liability in these matters.</w:t>
      </w:r>
    </w:p>
    <w:p>
      <w:pPr>
        <w:spacing w:after="0" w:line="17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231F20"/>
        </w:rPr>
        <w:t>On December 3, 2021, we received a subpoena from the SEC requesting the production of certain documents related to an investigation by the SEC. Although there is no assurance as to the scope or outcome of this matter, the investigation appears to concern the Merger. We are cooperating fully with the SEC in its review.</w:t>
      </w:r>
    </w:p>
    <w:p>
      <w:pPr>
        <w:spacing w:after="0" w:line="18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addition, two separate purported shareholders of the Company filed shareholder derivative actions, purportedly on behalf of the Company, against certain of the Company’s officers and directors in California federal court, captioned Sahr Lebbie v. Peter Rawlinson, et al., Case No. 4:22-cv-00531-YGR (N.D. Cal.) (filed on January 26, 2022) and Zsata Williams-Spinks v. Peter Rawlinson, et al., Case No. 4:22-cv-01115-YGR (N.D. Cal.) (filed on February 23, 2022). The complaint also names the Company as a nominal defendant. Based on allegations that are similar to those in the Consolidated Class Action, the Lebbie complaint asserts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and the Williams-Spinks complaint asserts claims for breach of fiduciary duty, gross mismanagement, abuse of control, unjust enrichment, contribution under Sections 10(b) and 21D of the Exchange Act, and aiding and abetting breach of fiduciary duty in connection with the Consolidated Class Action. The complaints seek compensatory damages, interest thereon, certain corporate governance reforms, and attorneys’ fees and expenses. The Company is advancing defendants’ fees and expenses incurred in their defense of the actions.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78" w:name="page79"/>
    <w:bookmarkEnd w:id="78"/>
    <w:p>
      <w:pPr>
        <w:ind w:right="20"/>
        <w:spacing w:after="0" w:line="289" w:lineRule="auto"/>
        <w:rPr>
          <w:sz w:val="20"/>
          <w:szCs w:val="20"/>
          <w:color w:val="auto"/>
        </w:rPr>
      </w:pPr>
      <w:r>
        <w:rPr>
          <w:rFonts w:ascii="Arial" w:cs="Arial" w:eastAsia="Arial" w:hAnsi="Arial"/>
          <w:sz w:val="16"/>
          <w:szCs w:val="16"/>
          <w:color w:val="auto"/>
        </w:rPr>
        <w:t xml:space="preserve">On April 1, 2022 and May 31, 2022, two alleged shareholders filed putative class actions under the federal securities laws against Lucid Group, Inc. and certain officers of the Company relating to alleged statements, updated projections and guidance provided in the late 2021 to early 2022 timeframe. The complaints, which were filed in the Northern District of California, are captioned </w:t>
      </w:r>
      <w:r>
        <w:rPr>
          <w:rFonts w:ascii="Arial" w:cs="Arial" w:eastAsia="Arial" w:hAnsi="Arial"/>
          <w:sz w:val="16"/>
          <w:szCs w:val="16"/>
          <w:i w:val="1"/>
          <w:iCs w:val="1"/>
          <w:color w:val="auto"/>
        </w:rPr>
        <w:t>Victor W. Mangino v. Lucid Group, Inc., et al.</w:t>
      </w:r>
      <w:r>
        <w:rPr>
          <w:rFonts w:ascii="Arial" w:cs="Arial" w:eastAsia="Arial" w:hAnsi="Arial"/>
          <w:sz w:val="16"/>
          <w:szCs w:val="16"/>
          <w:color w:val="auto"/>
        </w:rPr>
        <w:t xml:space="preserve">, Case No. 3:22-cv-02094-JD, and </w:t>
      </w:r>
      <w:r>
        <w:rPr>
          <w:rFonts w:ascii="Arial" w:cs="Arial" w:eastAsia="Arial" w:hAnsi="Arial"/>
          <w:sz w:val="16"/>
          <w:szCs w:val="16"/>
          <w:i w:val="1"/>
          <w:iCs w:val="1"/>
          <w:color w:val="auto"/>
        </w:rPr>
        <w:t>Anant Goel v. Lucid Group, Inc., et al.</w:t>
      </w:r>
      <w:r>
        <w:rPr>
          <w:rFonts w:ascii="Arial" w:cs="Arial" w:eastAsia="Arial" w:hAnsi="Arial"/>
          <w:sz w:val="16"/>
          <w:szCs w:val="16"/>
          <w:color w:val="auto"/>
        </w:rPr>
        <w:t xml:space="preserve">, Case No. 3:22-cv-03176-JD. The two matters were consolidated into one action, entitled </w:t>
      </w:r>
      <w:r>
        <w:rPr>
          <w:rFonts w:ascii="Arial" w:cs="Arial" w:eastAsia="Arial" w:hAnsi="Arial"/>
          <w:sz w:val="16"/>
          <w:szCs w:val="16"/>
          <w:i w:val="1"/>
          <w:iCs w:val="1"/>
          <w:color w:val="auto"/>
        </w:rPr>
        <w:t>In re Lucid Group,</w:t>
      </w:r>
      <w:r>
        <w:rPr>
          <w:rFonts w:ascii="Arial" w:cs="Arial" w:eastAsia="Arial" w:hAnsi="Arial"/>
          <w:sz w:val="16"/>
          <w:szCs w:val="16"/>
          <w:color w:val="auto"/>
        </w:rPr>
        <w:t xml:space="preserve"> </w:t>
      </w:r>
      <w:r>
        <w:rPr>
          <w:rFonts w:ascii="Arial" w:cs="Arial" w:eastAsia="Arial" w:hAnsi="Arial"/>
          <w:sz w:val="16"/>
          <w:szCs w:val="16"/>
          <w:i w:val="1"/>
          <w:iCs w:val="1"/>
          <w:color w:val="auto"/>
        </w:rPr>
        <w:t>Inc. Securities Litigation</w:t>
      </w:r>
      <w:r>
        <w:rPr>
          <w:rFonts w:ascii="Arial" w:cs="Arial" w:eastAsia="Arial" w:hAnsi="Arial"/>
          <w:sz w:val="16"/>
          <w:szCs w:val="16"/>
          <w:color w:val="auto"/>
        </w:rPr>
        <w:t>, Case No. 22-cv-02094-JD. The complaints name as defendants Lucid Group, Inc. and the Company’s chief executive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chief financial officer, and generally allege that defendants purportedly made false or misleading statements regarding delivery and revenue projections and related matters. The complaints in these actions seek certification of the actions as class actions, as well as compensatory damages, interest thereon, and attorneys’ fees and expenses. The Company believes that the plaintiffs’ claims are without merit and intends to defend itself vigorously, but the Company cannot ensure that defendants’ efforts to dismiss the complaint will be successful or that it will avoid liability in these matters.</w:t>
      </w:r>
    </w:p>
    <w:p>
      <w:pPr>
        <w:spacing w:after="0" w:line="16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In addition, on July 11, 2022, a purported shareholder of the Company filed a shareholder derivative action, purportedly on behalf of the Company, against certain of the Company’s officers and directors in California state court, captioned </w:t>
      </w:r>
      <w:r>
        <w:rPr>
          <w:rFonts w:ascii="Arial" w:cs="Arial" w:eastAsia="Arial" w:hAnsi="Arial"/>
          <w:sz w:val="17"/>
          <w:szCs w:val="17"/>
          <w:i w:val="1"/>
          <w:iCs w:val="1"/>
          <w:color w:val="auto"/>
        </w:rPr>
        <w:t>Floyd Taylor v. Glenn August, et al.</w:t>
      </w:r>
      <w:r>
        <w:rPr>
          <w:rFonts w:ascii="Arial" w:cs="Arial" w:eastAsia="Arial" w:hAnsi="Arial"/>
          <w:sz w:val="17"/>
          <w:szCs w:val="17"/>
          <w:color w:val="auto"/>
        </w:rPr>
        <w:t xml:space="preserve">, Superior Court, Alameda County, Case No. 22CV014130. The complaint also names the Company as a nominal defendant. Based on allegations that are similar to those in the </w:t>
      </w:r>
      <w:r>
        <w:rPr>
          <w:rFonts w:ascii="Arial" w:cs="Arial" w:eastAsia="Arial" w:hAnsi="Arial"/>
          <w:sz w:val="17"/>
          <w:szCs w:val="17"/>
          <w:i w:val="1"/>
          <w:iCs w:val="1"/>
          <w:color w:val="auto"/>
        </w:rPr>
        <w:t>In re Lucid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Group, Inc. Securities Litigation </w:t>
      </w:r>
      <w:r>
        <w:rPr>
          <w:rFonts w:ascii="Arial" w:cs="Arial" w:eastAsia="Arial" w:hAnsi="Arial"/>
          <w:sz w:val="17"/>
          <w:szCs w:val="17"/>
          <w:color w:val="auto"/>
        </w:rPr>
        <w:t>action, the</w:t>
      </w:r>
      <w:r>
        <w:rPr>
          <w:rFonts w:ascii="Arial" w:cs="Arial" w:eastAsia="Arial" w:hAnsi="Arial"/>
          <w:sz w:val="17"/>
          <w:szCs w:val="17"/>
          <w:i w:val="1"/>
          <w:iCs w:val="1"/>
          <w:color w:val="auto"/>
        </w:rPr>
        <w:t xml:space="preserve"> Taylor </w:t>
      </w:r>
      <w:r>
        <w:rPr>
          <w:rFonts w:ascii="Arial" w:cs="Arial" w:eastAsia="Arial" w:hAnsi="Arial"/>
          <w:sz w:val="17"/>
          <w:szCs w:val="17"/>
          <w:color w:val="auto"/>
        </w:rPr>
        <w:t>complaint asserts claims for breach of fiduciary duty, unjust enrichment, waste of corporate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aiding and abetting breach of fiduciary duty. The complaint seeks compensatory damages, punitive damages, interest, and attorneys’ fees and expenses. The Company is advancing defendants’ fees and expenses incurred in their defense of the actions.</w:t>
      </w:r>
    </w:p>
    <w:p>
      <w:pPr>
        <w:spacing w:after="0" w:line="17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231F20"/>
        </w:rPr>
        <w:t>Litigation and regulatory proceedings may be protracted and expensive, and the results are difficult to predict. Additionally, our litigation costs could be significant, even if we achieve favorable outcomes. Adverse outcomes with respect to litigation or any of these legal proceedings may result in significant settlement costs or judgments, penalties and fines, or require us to modify, make temporarily unavailable or stop manufacturing or selling our vehicles in some or all markets, all of which could negatively affect our sales and revenue growth and adversely affect our business, prospects, results of operations, cash flows and financial condition.</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231F20"/>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results of operations, cash flows and financial condition. In addition, the threat or announcement of litigation or investigations by governmental authorities or other parties, irrespective of the merits of the underlying claims, may itself have an adverse impact on the trading price of our common stock.</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231F20"/>
        </w:rPr>
        <w:t>We may become subject to product liability claims, which could harm our financial condition and liquidity if we are not able to successfully defend or insure against such claims.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 xml:space="preserve">We may become subject to product liability claims, which could harm our business, prospects, results of operations and financial condition. The automotive industry experiences significant product liability claims, and we face inherent risks of exposure to claims in the event our production vehicles do not perform or are claimed not to perform as expected or malfunction, resulting in property damage, personal injury or death. We also expect that, as is true for other automakers, our vehicles will be involved in crashes resulting in death or personal injury, and even if not caused by the failure of our vehicles, we may face product liability claims and adverse publicity in connection with such incidents. In addition, we may face claims arising from or related to failures, claimed failures or misuse of new technologies that we expect to offer, including </w:t>
      </w:r>
      <w:r>
        <w:rPr>
          <w:rFonts w:ascii="Arial" w:cs="Arial" w:eastAsia="Arial" w:hAnsi="Arial"/>
          <w:sz w:val="16"/>
          <w:szCs w:val="16"/>
          <w:i w:val="1"/>
          <w:iCs w:val="1"/>
          <w:color w:val="231F20"/>
        </w:rPr>
        <w:t>ADAS</w:t>
      </w:r>
      <w:r>
        <w:rPr>
          <w:rFonts w:ascii="Arial" w:cs="Arial" w:eastAsia="Arial" w:hAnsi="Arial"/>
          <w:sz w:val="16"/>
          <w:szCs w:val="16"/>
          <w:color w:val="231F20"/>
        </w:rPr>
        <w:t xml:space="preserve"> features in our vehicles. See “— Risks Related to Litigation and Regulation — </w:t>
      </w:r>
      <w:r>
        <w:rPr>
          <w:rFonts w:ascii="Arial" w:cs="Arial" w:eastAsia="Arial" w:hAnsi="Arial"/>
          <w:sz w:val="16"/>
          <w:szCs w:val="16"/>
          <w:i w:val="1"/>
          <w:iCs w:val="1"/>
          <w:color w:val="231F20"/>
        </w:rPr>
        <w:t>ADAS technology is subject to uncertain and evolving regulations</w:t>
      </w:r>
      <w:r>
        <w:rPr>
          <w:rFonts w:ascii="Arial" w:cs="Arial" w:eastAsia="Arial" w:hAnsi="Arial"/>
          <w:sz w:val="16"/>
          <w:szCs w:val="16"/>
          <w:color w:val="231F20"/>
        </w:rPr>
        <w:t>.” In addition, the battery packs that we produce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modules, there can be no assurance that a field or testing failure of our vehicles or other battery packs that we produce will not occur, in particular due to a high-speed crash. In addition, although we equip our vehicles with systems designed to detect and warn vehicle occupants of such thermal events, there can be no assurance that such systems will function as designed or will provide vehicle occupants with sufficient, or any, warning in all circumstances. Any such events or failures of our vehicles, battery packs or warning systems could subject us to lawsuits, product recalls or redesign efforts, all of which would be time consuming and expensive.</w:t>
      </w:r>
    </w:p>
    <w:p>
      <w:pPr>
        <w:spacing w:after="0" w:line="17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231F20"/>
        </w:rPr>
        <w:t>A successful product liability claim against us could require us to pay a substantial monetary award. Our risks in this area are particularly pronounced in light of the limited field experience of our vehicles. Moreover, a product liability claim against us or our competitors could generate substantial negative publicity about our vehicles and business and inhibit or prevent commercialization of our future vehicles, which would have material adverse effect on our brand, business, prospects and results of operations. Our insurance coverage might not be sufficient to cover all potential product liability claims, and insurance coverage may not continue to be available to us or, if available, may be at a significantly higher cost. Any lawsuit seeking significant monetary damages or other product liability claims may have a material adverse effect on our reputation, business and financial condition.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9" w:name="page80"/>
    <w:bookmarkEnd w:id="79"/>
    <w:p>
      <w:pPr>
        <w:ind w:right="860"/>
        <w:spacing w:after="0" w:line="277" w:lineRule="auto"/>
        <w:rPr>
          <w:sz w:val="20"/>
          <w:szCs w:val="20"/>
          <w:color w:val="auto"/>
        </w:rPr>
      </w:pPr>
      <w:r>
        <w:rPr>
          <w:rFonts w:ascii="Arial" w:cs="Arial" w:eastAsia="Arial" w:hAnsi="Arial"/>
          <w:sz w:val="18"/>
          <w:szCs w:val="18"/>
          <w:b w:val="1"/>
          <w:bCs w:val="1"/>
          <w:i w:val="1"/>
          <w:iCs w:val="1"/>
          <w:color w:val="231F20"/>
        </w:rPr>
        <w:t>We may be exposed to delays, limitations and risks related to the environmental permits and other operating permits required to operate our manufacturing facilities.</w:t>
      </w:r>
    </w:p>
    <w:p>
      <w:pPr>
        <w:spacing w:after="0" w:line="17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231F20"/>
        </w:rPr>
        <w:t xml:space="preserve">Operation of an automobile manufacturing facility requires land use and environmental permits and other operating permits from federal, state and local government entities. While we believe that we have the permits necessary to carry out and perform our current plans and operations at our Casa Grande, Arizona manufacturing facilities based on our current target production capacity, we plan to expand our manufacturing facilities and construct additional manufacturing facilities over time to achieve a future target production capacity and will be required to apply for and secure various environmental, wastewater, hazardous materials, and land use permits and certificates of occupancy necessary for the commercial operation of such expanded and additional facilities. Delays, denials or restrictions on any of the applications for or assignment of the permits to operate our manufacturing facilities could adversely affect our ability to execute on our business plans and objectives based on our current target production capacity or our future target production capacity. See “— Risks Related to Manufacturing and Supply Chain — </w:t>
      </w:r>
      <w:r>
        <w:rPr>
          <w:rFonts w:ascii="Arial" w:cs="Arial" w:eastAsia="Arial" w:hAnsi="Arial"/>
          <w:sz w:val="16"/>
          <w:szCs w:val="16"/>
          <w:i w:val="1"/>
          <w:iCs w:val="1"/>
          <w:color w:val="231F20"/>
        </w:rPr>
        <w:t>We have experienced and may in the future experience significant delays in the</w:t>
      </w:r>
      <w:r>
        <w:rPr>
          <w:rFonts w:ascii="Arial" w:cs="Arial" w:eastAsia="Arial" w:hAnsi="Arial"/>
          <w:sz w:val="16"/>
          <w:szCs w:val="16"/>
          <w:color w:val="231F20"/>
        </w:rPr>
        <w:t xml:space="preserve"> </w:t>
      </w:r>
      <w:r>
        <w:rPr>
          <w:rFonts w:ascii="Arial" w:cs="Arial" w:eastAsia="Arial" w:hAnsi="Arial"/>
          <w:sz w:val="16"/>
          <w:szCs w:val="16"/>
          <w:i w:val="1"/>
          <w:iCs w:val="1"/>
          <w:color w:val="231F20"/>
        </w:rPr>
        <w:t>design, manufacture, launch and financing of our vehicles, including the Lucid Air and Project Gravity, which could harm our business and prospects.</w:t>
      </w:r>
      <w:r>
        <w:rPr>
          <w:rFonts w:ascii="Arial" w:cs="Arial" w:eastAsia="Arial" w:hAnsi="Arial"/>
          <w:sz w:val="16"/>
          <w:szCs w:val="16"/>
          <w:color w:val="231F20"/>
        </w:rPr>
        <w:t>”</w:t>
      </w:r>
    </w:p>
    <w:p>
      <w:pPr>
        <w:spacing w:after="0" w:line="16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231F20"/>
        </w:rPr>
        <w:t>We are subject to various environmental, health and safety laws and regulations that could impose substantial costs on us and cause delays in expanding our production facilities.</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231F20"/>
        </w:rPr>
        <w:t>Our operations are subject to federal, state and local environmental laws and regulations and will be subject to international environmental laws, including laws relating to the use, handling, storage, disposal of and human exposure to hazardous materials. Environmental, health and safety laws and regulations are complex, and we have limited experience and resources to comply with them. Moreover, we may be affected by future amendments to such laws or other new environmental, health and safety laws and regulations which may require us to change our operations, potentially resulting in a material adverse effect on our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substantial fines and penalties, third-party damages, suspension of production or a cessation of our operations.</w:t>
      </w:r>
    </w:p>
    <w:p>
      <w:pPr>
        <w:spacing w:after="0" w:line="19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231F20"/>
        </w:rPr>
        <w:t>Contamination at properties we own or operate, properties we formerly owned or operated or properties to which we sent hazardous substances may result in liability for us under environmental laws and regulations, including, but not limited to, the Comprehensive Environmental Response, Compensation and Liability Act, which can impose liability for the full amount of remediation-related costs without regard to fault, for the investigation and cleanup of contaminated soil and ground water, for building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results of operations.</w:t>
      </w:r>
    </w:p>
    <w:p>
      <w:pPr>
        <w:spacing w:after="0" w:line="178"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231F20"/>
        </w:rPr>
        <w:t>Our operations are also subject to federal, state, and local workplace safety laws and regulations, including, but not limited to, the Occupational Health and Safety Act, which require compliance with various workplace safety requirements, including requirements related to environmental safety. These laws and regulations can give rise to liability for oversight costs, compliance costs, bodily injury (including workers’ compensation), fines, and penalties.</w:t>
      </w:r>
    </w:p>
    <w:p>
      <w:pPr>
        <w:spacing w:after="0" w:line="2" w:lineRule="exact"/>
        <w:rPr>
          <w:sz w:val="20"/>
          <w:szCs w:val="20"/>
          <w:color w:val="auto"/>
        </w:rPr>
      </w:pPr>
    </w:p>
    <w:p>
      <w:pPr>
        <w:jc w:val="both"/>
        <w:ind w:right="220"/>
        <w:spacing w:after="0" w:line="277" w:lineRule="auto"/>
        <w:rPr>
          <w:sz w:val="20"/>
          <w:szCs w:val="20"/>
          <w:color w:val="auto"/>
        </w:rPr>
      </w:pPr>
      <w:r>
        <w:rPr>
          <w:rFonts w:ascii="Arial" w:cs="Arial" w:eastAsia="Arial" w:hAnsi="Arial"/>
          <w:sz w:val="17"/>
          <w:szCs w:val="17"/>
          <w:color w:val="231F20"/>
        </w:rPr>
        <w:t>Additionally, non-compliance could result in delay or suspension of production or cessation of operations. The costs required to comply with workplace safety laws can be significant, and non-compliance could adversely affect our production or other operations, including with respect to the production of the Lucid Air, which could have a material adverse effect on our business, prospects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ADAS technology is subject to uncertain and evolving regulations.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231F20"/>
        </w:rPr>
        <w:t>We expect to introduce certain ADAS technologies into our vehicles over time. ADAS technology is subject to considerable regulatory uncertainty as the law evolves to catch up with the rapidly evolving nature of the technology itself, all of which is beyond our control. There is a variety of international, federal and state regulations that may apply to self-driving and driver-assisted vehicles, which include many existing vehicle standards that assume a human driver will be controlling the vehicle at all times. There are currently no federal U.S. regulations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United States and foreign countries, which increases the likelihood of a patchwork of complex or conflicting regulations or may delay products or restrict self-driving features and availability, which could adversely affect our business. Our vehicles may not achieve compliance with the regulatory requirements in some countries or jurisdictions for certification and rollout to consumers or satisfy changing regulatory requirements which could require us to redesign, modify or update our ADAS hardware and related software systems. Any such requirements or limitations could impose significant expense or delays and could harm our competitive position, which could adversely affect our business, prospects, results of operations and financial condition.</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80" w:name="page81"/>
    <w:bookmarkEnd w:id="80"/>
    <w:p>
      <w:pPr>
        <w:ind w:right="300"/>
        <w:spacing w:after="0" w:line="277" w:lineRule="auto"/>
        <w:rPr>
          <w:sz w:val="20"/>
          <w:szCs w:val="20"/>
          <w:color w:val="auto"/>
        </w:rPr>
      </w:pPr>
      <w:r>
        <w:rPr>
          <w:rFonts w:ascii="Arial" w:cs="Arial" w:eastAsia="Arial" w:hAnsi="Arial"/>
          <w:sz w:val="18"/>
          <w:szCs w:val="18"/>
          <w:b w:val="1"/>
          <w:bCs w:val="1"/>
          <w:i w:val="1"/>
          <w:iCs w:val="1"/>
          <w:color w:val="231F20"/>
        </w:rPr>
        <w:t>We are subject to U.S. and foreign anti-corruption, anti-money laundering and anti-boycott laws and regulations. We can face criminal liability and other serious consequences for violations, which can harm our business.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We are subject to the U.S. Foreign Corrupt Practices Act of 1977, as amended, the U.S. domestic bribery statute contained in 18 U.S.C. § 201, the U.S. Travel Act, the USA PATRIOT Act and possibly other anti-bribery and anti-money laundering laws in countries in which we expect to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are subject to governmental export and import controls and laws that could subject us to liability if we are not in compliance with such laws.</w:t>
      </w:r>
    </w:p>
    <w:p>
      <w:pPr>
        <w:spacing w:after="0" w:line="24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231F20"/>
        </w:rPr>
        <w:t>Our vehicles and the equipment we use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vehicles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In addition, we may in the future establish international operations for the reassembly or manufacture of our vehicles, which could subject us to additional constraints under applicable export and import controls and laws.</w:t>
      </w:r>
    </w:p>
    <w:p>
      <w:pPr>
        <w:spacing w:after="0" w:line="17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231F20"/>
        </w:rPr>
        <w:t>In addition, changes to our vehicles, or changes in applicable export control, import or economic sanctions laws and regulations, may create delays in the introduction and sale of our vehicles and solutions or, in some cases, prevent the export or import of our vehicles to certain countries, governments, or persons altogether.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vehicles, as well decreasing our ability to export or market our vehicles to potential customers. Any decreased use of our vehicles or limitation on our ability to export or market our vehicles could adversely affect our business, prospects, results of operations and financial condition.</w:t>
      </w:r>
    </w:p>
    <w:p>
      <w:pPr>
        <w:spacing w:after="0" w:line="16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31F20"/>
        </w:rPr>
        <w:t>Changes in U.S. trade policy, including the imposition of tariffs or revocation of normal trade relations and the resulting consequences, could adversely affect our business, prospects, results of operations and financial condition.</w:t>
      </w:r>
    </w:p>
    <w:p>
      <w:pPr>
        <w:spacing w:after="0" w:line="17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231F20"/>
        </w:rPr>
        <w:t>The U.S. government has adopted a new approach to trade policy and in some cases has attempted to renegotiate or terminate certain existing bilateral or multi-lateral trade agreements. It has also imposed tariffs on certain foreign goods, including steel and certain vehicle parts, which have begun to result in increased costs for goods imported into the United States. In response to these tariffs, a number of U.S. trading partners have imposed retaliatory tariffs on a wide range of U.S. products, which could make it costlier for us to export our vehicles to those countries. If we are unable to pass the costs of such tariffs on to our customer base or otherwise mitigate such costs, or if demand for our exported vehicles decreases due to the higher cost, our results of operations could be materially adversely affected. In addition, further tariffs have been proposed by the United States and its trading partners, and additional trade restrictions could be implemented on a broad range of products or raw materials. The resulting environment of retaliatory trade or other practices could harm our ability to obtain necessary inputs or sell our vehicles at prices customers are willing to pay, which could have a material adverse effect on our business, prospects, results of operations and financial condition.</w:t>
      </w:r>
    </w:p>
    <w:p>
      <w:pPr>
        <w:spacing w:after="0" w:line="181"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 xml:space="preserve">In December, the United States adopted the Uyghur Forced Labor Prevention Act (“UFLPA”) which creates a rebuttable presumption that any goods, wares, articles, and merchandise mined, produced, or manufactured in whole or in part in the Xinjiang Uyghur Administrative Region of China or that are produced by certain entities are prohibited from importation into the United States and are not entitled to entry. These import restrictions come into effect on June 21, 2022. While we are not presently aware of any direct impacts these restrictions will have on its supply chain, the UFLPA may materially and negatively impact our ability to import the goods and products we rely on to manufacture our products and operate our business. The UFLPA may further impact our supply chain and costs of goods as it may restrict the available supply of goods and products eligible for importation into the United States, including among other things, electronics assemblies, extractives (including coal, copper, hydrocarbons, oil, uranium, and zinc), textiles and fabrics (in particular, cotton) and renewable energy products (including polysilicon, ingots, wafers, crystalline silicon solar cells, and crystalline silicon solar photovoltaic modules). The full potential impact to us of the UFLPA remains uncertain </w:t>
      </w:r>
      <w:r>
        <w:rPr>
          <w:rFonts w:ascii="Arial" w:cs="Arial" w:eastAsia="Arial" w:hAnsi="Arial"/>
          <w:sz w:val="17"/>
          <w:szCs w:val="17"/>
          <w:color w:val="231F20"/>
        </w:rPr>
        <w:t>and could have an adverse effect on our business and results of</w:t>
      </w:r>
      <w:r>
        <w:rPr>
          <w:rFonts w:ascii="Arial" w:cs="Arial" w:eastAsia="Arial" w:hAnsi="Arial"/>
          <w:sz w:val="17"/>
          <w:szCs w:val="17"/>
          <w:color w:val="auto"/>
        </w:rPr>
        <w:t xml:space="preserve"> </w:t>
      </w:r>
      <w:r>
        <w:rPr>
          <w:rFonts w:ascii="Arial" w:cs="Arial" w:eastAsia="Arial" w:hAnsi="Arial"/>
          <w:sz w:val="17"/>
          <w:szCs w:val="17"/>
          <w:color w:val="231F20"/>
        </w:rPr>
        <w:t>operations</w:t>
      </w:r>
      <w:r>
        <w:rPr>
          <w:rFonts w:ascii="Arial" w:cs="Arial" w:eastAsia="Arial" w:hAnsi="Arial"/>
          <w:sz w:val="17"/>
          <w:szCs w:val="17"/>
          <w:color w:val="000000"/>
        </w:rPr>
        <w:t>.</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2022, in response to actions taken by the Russia against Ukraine, the United States and other countries around the world undertook rapidly evolving and escalating campaigns targeting Russia and Belarus, and Russian and Belarussian entities and persons, with significant new economic sanctions designations and embargoes, financial restrictions, trade controls and other government restrictions.</w:t>
      </w:r>
    </w:p>
    <w:p>
      <w:pPr>
        <w:sectPr>
          <w:pgSz w:w="11900" w:h="16838" w:orient="portrait"/>
          <w:cols w:equalWidth="0" w:num="1">
            <w:col w:w="11240"/>
          </w:cols>
          <w:pgMar w:left="320" w:top="989" w:right="33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81" w:name="page82"/>
    <w:bookmarkEnd w:id="81"/>
    <w:p>
      <w:pPr>
        <w:ind w:right="80"/>
        <w:spacing w:after="0" w:line="271" w:lineRule="auto"/>
        <w:rPr>
          <w:sz w:val="20"/>
          <w:szCs w:val="20"/>
          <w:color w:val="auto"/>
        </w:rPr>
      </w:pPr>
      <w:r>
        <w:rPr>
          <w:rFonts w:ascii="Arial" w:cs="Arial" w:eastAsia="Arial" w:hAnsi="Arial"/>
          <w:sz w:val="17"/>
          <w:szCs w:val="17"/>
          <w:color w:val="auto"/>
        </w:rPr>
        <w:t>Although we are not aware of any company-related operations or activities in these jurisdictions, these economic sanctions and other laws and regulations could disrupt our supply chains, impair our ability to compete in current or future markets, or otherwise subject us to potential liability. While we have implemented certain procedures to facilitate compliance with applicable laws and regulations in connection with the growing sanctions and trade control programs around the globe related to Russia and Belarus, we cannot be assured that these procedures are always effective or that we, or third parties, many of whom we do not control, have complied with all laws or regulations in this regard. Failure by our employees, representatives, contractors, agents, intermediaries, or other third parties to comply with applicable laws and regulations could also have negative consequences for us, including reputational harm, government investigations, loss of export privileges, and penalties or fines. These economic sanctions and other restrictions continue to evolve, and the long-term potential impact on our operations and business is still unclear.</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the United States recently enacted federal legislation that revokes normal trade relations between Russia and Belarus. As a result of this and recent executive action increasing import duty rates on certain Russia-origin products, imports of merchandise that is of Russian- or Belarussian-origin are subject to potentially higher import duty rates. To the extent such merchandise is found in our cross-border supply chains and subject to higher duties, the suspension of normal trade relations with Russian and Belarus could increase our input costs, which could have adverse impacts on our business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failure to properly comply with foreign trade zone laws and regulations could increase the cost of our duties and tariffs.</w:t>
      </w:r>
    </w:p>
    <w:p>
      <w:pPr>
        <w:spacing w:after="0" w:line="22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231F20"/>
        </w:rPr>
        <w:t>We have established a foreign trade zone with respect to certain of our facilities in Casa Grande, Arizona, through qualification with U.S. Customs and Border Protection. Materials received in a foreign trade zone are not subject to certain U.S. duties or tariffs until the material enters U.S. commerce. We expect to benefit from the adoption of a foreign trade zone by reduced duties, deferral of certain duties and tariffs, and reduced processing fees, which we expect to help us realize a reduction in duty and tariff costs. However, the operation of our foreign trade zone requires compliance with applicable regulations, including with respect to the physical security of the foreign trade zone, and continued support of U.S. Customs and Border Protection with respect to the foreign trade zone program. If we are unable to maintain the qualification of our foreign trade zone, or if foreign trade zones are limited or unavailable to us in the future, our duty and tariff costs could increase, which could have an adverse effect on our business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Intellectual Property</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231F20"/>
        </w:rPr>
        <w:t>We may fail to adequately obtain, maintain, enforce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Our ability to compete effectively is dependent in part upon our ability to obtain, maintain, enforce and protect our intellectual property and proprietary technology, but we may not be able to prevent third parties from unauthorized use of our intellectual property and proprietary technology, which could harm our business and competitive position. We establish and protect our intellectual property and proprietary technology through a combination of licensing agreements, third-party nondisclosure and confidentiality agreements and other contractual provisions, as well as through patent, trademark, copyright and trade secret laws in the United States and other jurisdictions. Despite our efforts to obtain and protect intellectual property rights, there can be no assurance that these protections will be available in all cases or will be adequate to prevent our competitors or other third parties from copying, reverse engineering or otherwise obtaining and using our technology or products or seeking court declarations that they do not infringe, misappropriate or otherwise violate our intellectual property. Failure to adequately obtain, maintain, enforce and protect our intellectual property could result in our competitors offering identical or similar products, potentially resulting in the loss of our competitive advantage and a decrease in our revenue which would adversely affect our business, prospects, financial condition and results of operations.</w:t>
      </w:r>
    </w:p>
    <w:p>
      <w:pPr>
        <w:spacing w:after="0" w:line="1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231F20"/>
        </w:rPr>
        <w:t>The measures we take to obtain, maintain, protect and enforce our intellectual property, including preventing unauthorized use by third parties, may not be effective for various reasons, including the following:</w:t>
      </w:r>
    </w:p>
    <w:p>
      <w:pPr>
        <w:spacing w:after="0" w:line="62"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any patent applications we file may not result in the issuance of patents;</w:t>
      </w:r>
    </w:p>
    <w:p>
      <w:pPr>
        <w:spacing w:after="0" w:line="117" w:lineRule="exact"/>
        <w:rPr>
          <w:rFonts w:ascii="Arial" w:cs="Arial" w:eastAsia="Arial" w:hAnsi="Arial"/>
          <w:sz w:val="18"/>
          <w:szCs w:val="18"/>
          <w:color w:val="231F20"/>
        </w:rPr>
      </w:pPr>
    </w:p>
    <w:p>
      <w:pPr>
        <w:ind w:left="660" w:right="260" w:hanging="328"/>
        <w:spacing w:after="0" w:line="277" w:lineRule="auto"/>
        <w:tabs>
          <w:tab w:leader="none" w:pos="655"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we may not be the first inventor of the subject matter to which we have filed a particular patent application, and we may not be the first party to file such a patent application;</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the scope of our issued patents may not be broad enough to protect our inventions and proprietary technology;</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our issued patents may be challenged or invalidated by our competitors or other third parties;</w:t>
      </w:r>
    </w:p>
    <w:p>
      <w:pPr>
        <w:spacing w:after="0" w:line="117" w:lineRule="exact"/>
        <w:rPr>
          <w:rFonts w:ascii="Arial" w:cs="Arial" w:eastAsia="Arial" w:hAnsi="Arial"/>
          <w:sz w:val="18"/>
          <w:szCs w:val="18"/>
          <w:color w:val="231F20"/>
        </w:rPr>
      </w:pPr>
    </w:p>
    <w:p>
      <w:pPr>
        <w:ind w:left="660" w:right="320" w:hanging="328"/>
        <w:spacing w:after="0" w:line="277" w:lineRule="auto"/>
        <w:tabs>
          <w:tab w:leader="none" w:pos="655"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patents have a finite term, and competitors and other third parties may offer identical or similar products after the expiration of our patents that cover such products;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our employees, contractors or business partners may breach their confidentiality, non-disclosure and non-use obligations;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competitors and other third parties may independently develop technologies that are the same or similar to ours;</w:t>
      </w:r>
    </w:p>
    <w:p>
      <w:pPr>
        <w:sectPr>
          <w:pgSz w:w="11900" w:h="16838" w:orient="portrait"/>
          <w:cols w:equalWidth="0" w:num="1">
            <w:col w:w="11240"/>
          </w:cols>
          <w:pgMar w:left="320" w:top="989"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82" w:name="page83"/>
    <w:bookmarkEnd w:id="82"/>
    <w:p>
      <w:pPr>
        <w:ind w:left="660" w:right="100" w:hanging="328"/>
        <w:spacing w:after="0" w:line="277" w:lineRule="auto"/>
        <w:tabs>
          <w:tab w:leader="none" w:pos="655"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the costs associated with enforcing patents or other intellectual property rights, or confidentiality and invention assignment agreements may make enforcement impracticable; and</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competitors and other third parties may circumvent or otherwise design around our patents or other intellectual property.</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231F20"/>
        </w:rPr>
        <w:t>Patent, trademark, copyright and trade secret laws vary significantly throughout the world. The laws of some foreign countries, including countries in which our products are sold, may not be as protective of intellectual property rights as those in the United States, and mechanisms for obtaining and enforcing intellectual property rights may be inadequate. Therefore, our intellectual property may not be as strong or as easily obtained or enforced outside of the United States. Further, policing the unauthorized use of our intellectual property in foreign jurisdictions may be difficult. In addition, third parties may seek to challenge, invalidate or circumvent our patents, trademarks, copyrights, trade secrets or other intellectual property, or applications for any of the foregoing, which could permit our competitors or other third parties to develop and commercialize products and technologies that are the same or similar to ours.</w:t>
      </w:r>
    </w:p>
    <w:p>
      <w:pPr>
        <w:spacing w:after="0" w:line="19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231F20"/>
        </w:rPr>
        <w:t>While we have registered and applied for trademarks in an effort to protect our brand and goodwill with customers, competitors or other third parties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rights if we are unable to submit specimens of use by the applicable deadline to perfect such trademark rights.</w:t>
      </w:r>
    </w:p>
    <w:p>
      <w:pPr>
        <w:spacing w:after="0" w:line="18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231F20"/>
        </w:rPr>
        <w:t>It is our policy to enter into confidentiality and invention assignment agreements with our employees and contractors that have developed material intellectual property for us, but these agreements may not be self-executing and may not otherwise adequately protect our intellectual property, particularly with respect to conflicts of ownership relating to work product generated by the employees and contractors. Furthermore, we cannot be certain that these agreements will not be breached and that third parties will not gain access to our trade secrets, know-how and other proprietary technology. Third parties may also independently develop the same or substantially similar proprietary technology. Monitoring unauthorized use of our intellectual property is difficult and costly, as are the steps we have taken or will take to prevent misappropriation.</w:t>
      </w:r>
    </w:p>
    <w:p>
      <w:pPr>
        <w:spacing w:after="0" w:line="17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231F20"/>
        </w:rPr>
        <w:t>We have licensed and plan to further license patents and other intellectual property from third parties, including, but not limited to, suppliers and service providers, and we may face claims that our use of this in-licensed technology infringes, misappropriates or otherwise violates the intellectual property rights of third parties. In such cases, we will seek indemnification from our licensors. However, our rights to indemnification may be unavailable or insufficient to cover our costs and losses. Furthermore, disputes may arise with our licensors regarding the intellectual property subject to, and any of our rights and obligations under, any license or other commercial agreement.</w:t>
      </w:r>
    </w:p>
    <w:p>
      <w:pPr>
        <w:spacing w:after="0" w:line="18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231F20"/>
        </w:rPr>
        <w:t>To prevent unauthorized use of our intellectual property, it may be necessary to prosecute actions for infringement, misappropriation or other violation of our intellectual property against third parties. Any such action could result in significant costs and diversion of our resources and management’s attention, and there can be no assurance that we will be successful in any such action. Furthermore, many of our current and potential competitors have the ability to dedicate substantially greater resources to enforce their intellectual property rights than we do. Accordingly, despite our efforts, we may not be able to prevent third parties from infringing, misappropriating or otherwise violating our intellectual property. Any of the foregoing could adversely affect our business, prospects, financial condition and results of operations.</w:t>
      </w:r>
    </w:p>
    <w:p>
      <w:pPr>
        <w:spacing w:after="0" w:line="1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231F20"/>
        </w:rPr>
        <w:t>We may be sued by third parties for alleged infringement, misappropriation or other violation of their intellectual property, which could be time-consuming and costly and result in significant legal liability.</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There is considerable patent and other intellectual property development activity in our industry. Companies, organizations and individuals, including our competitors, may hold or obtain patents, trademarks or other intellectual property that would prevent, limit or interfere with our ability to make, use, develop, sell, lease, market or otherwise exploit our vehicles, components or other technology, which could make it more difficult for us to operate our business. Our success depends in part on not infringing, misappropriating or otherwise violating the intellectual property of third parties. From time to time, we may receive communications from third parties, including our competitors, alleging that we are infringing, misappropriating or otherwise violating their intellectual property or otherwise asserting their rights and urging us to take licenses, and we may be found to be infringing, misappropriating or otherwise violating such rights. There can be no assurance that we can adequately mitigate the risk of potential suits or other legal demands by our competitors or other third parties. Accordingly, we may consider entering into licensing agreements with respect to such rights, although no assurance can be given that such licenses can be obtained on acceptable terms or at all or that litigation will not occur, and such licenses and associated litigation could significantly increase our operating expenses. We may be unaware of the intellectual property and other proprietary rights of third parties that may cover some or all of our products or technologies. Any claims or litigation could cause us to incur significant expenses and, if successfully asserted against it, could have adverse effects on our business, including requiring that it:</w:t>
      </w:r>
    </w:p>
    <w:p>
      <w:pPr>
        <w:spacing w:after="0" w:line="7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231F20"/>
        </w:rPr>
      </w:pPr>
      <w:r>
        <w:rPr>
          <w:rFonts w:ascii="Arial" w:cs="Arial" w:eastAsia="Arial" w:hAnsi="Arial"/>
          <w:sz w:val="18"/>
          <w:szCs w:val="18"/>
          <w:color w:val="231F20"/>
        </w:rPr>
        <w:t>pay substantial damages, including treble damages for willful infringement, or ongoing royalty payments;</w:t>
      </w:r>
    </w:p>
    <w:p>
      <w:pPr>
        <w:spacing w:after="0" w:line="117" w:lineRule="exact"/>
        <w:rPr>
          <w:rFonts w:ascii="Arial" w:cs="Arial" w:eastAsia="Arial" w:hAnsi="Arial"/>
          <w:sz w:val="18"/>
          <w:szCs w:val="18"/>
          <w:color w:val="231F20"/>
        </w:rPr>
      </w:pPr>
    </w:p>
    <w:p>
      <w:pPr>
        <w:ind w:left="660" w:right="60" w:hanging="328"/>
        <w:spacing w:after="0" w:line="277" w:lineRule="auto"/>
        <w:tabs>
          <w:tab w:leader="none" w:pos="655" w:val="left"/>
        </w:tabs>
        <w:numPr>
          <w:ilvl w:val="0"/>
          <w:numId w:val="38"/>
        </w:numPr>
        <w:rPr>
          <w:rFonts w:ascii="Arial" w:cs="Arial" w:eastAsia="Arial" w:hAnsi="Arial"/>
          <w:sz w:val="18"/>
          <w:szCs w:val="18"/>
          <w:color w:val="231F20"/>
        </w:rPr>
      </w:pPr>
      <w:r>
        <w:rPr>
          <w:rFonts w:ascii="Arial" w:cs="Arial" w:eastAsia="Arial" w:hAnsi="Arial"/>
          <w:sz w:val="18"/>
          <w:szCs w:val="18"/>
          <w:color w:val="231F20"/>
        </w:rPr>
        <w:t>cease developing, selling, leasing, using or incorporating certain components into vehicles or offering goods or services that incorporate or use the asserted intellectual property;</w:t>
      </w:r>
    </w:p>
    <w:p>
      <w:pPr>
        <w:sectPr>
          <w:pgSz w:w="11900" w:h="16838" w:orient="portrait"/>
          <w:cols w:equalWidth="0" w:num="1">
            <w:col w:w="11240"/>
          </w:cols>
          <w:pgMar w:left="320" w:top="881" w:right="33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83" w:name="page84"/>
    <w:bookmarkEnd w:id="83"/>
    <w:p>
      <w:pPr>
        <w:ind w:left="660" w:hanging="328"/>
        <w:spacing w:after="0"/>
        <w:tabs>
          <w:tab w:leader="none" w:pos="66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seek a license from the owner of the asserted intellectual property, which license may not be available on reasonable terms, or at all;</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comply with other unfavorable terms; or</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establish and maintain alternative branding for our products and services.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231F20"/>
        </w:rPr>
        <w:t>If any of our customers or indemnitees are alleged to have infringed, misappropriated or otherwise violated any third-party intellectual property, we would in general be required to defend or settle the litigation on their behalf. In addition, if we are unable to obtain licenses or modify our products or technologies to make them non-infringing, we might have to refund a portion of license fees paid to us and terminate those agreements, which could further exhaust our resources. In addition, we may pay substantial settlement amounts or royalties on future product sales to resolve claims or litigation, whether or not legitimately or successfully asserted against us. Even if we were to prevail in the actual or potential claims or litigation against us, any claim or litigation regarding our intellectual property could be costly and time-consuming and divert the attention and resources of our management and key personnel from our business operations. Such disputes, with or without merit, could also cause potential customers to refrain from purchasing our products or otherwise cause us reputational harm and negative publicity.</w:t>
      </w:r>
    </w:p>
    <w:p>
      <w:pPr>
        <w:spacing w:after="0" w:line="17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231F20"/>
        </w:rPr>
        <w:t>Furthermore, many of our employees were previously employed by other automotive companies or by suppliers to automotive companies. We may be subject to claims that we or our employees have inadvertently or otherwise used or disclosed trade secrets or other proprietary information of these employees’ former employers. Litigation may be necessary to defend against these claims. If we fail in defending such claims, in addition to paying monetary damages, we may lose valuable intellectual property or personnel. A loss of key personnel, our trade secrets, or our other work product could hamper or prevent our ability to commercialize our products, which could severely harm our business. Even if we are successful in defending against these claims, litigation could result in substantial costs and demand on management resources. Any of the foregoing could materially adversely affect our business, prospects, results of operations and financial condition.</w:t>
      </w:r>
    </w:p>
    <w:p>
      <w:pPr>
        <w:spacing w:after="0" w:line="17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231F20"/>
        </w:rPr>
        <w:t>Some of our products contain open source software, which may pose particular risks to our proprietary software, products and services in a manner that could harm our business.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We use open source software in our products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may be subject to such terms.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Any actual or claimed requirement to disclose our proprietary source code or pay damages for breach of contract could harm our business and could help third parties, including our competitors, develop products and services that are similar to or better than ours. While we monitor our use of open source software, compliance with open source licenses by us and third party suppliers of software to us, and try to ensure that none is used in a manner that would require us to disclose our proprietary source code or that would otherwise breach the terms of an open source agreement, such use could inadvertently occur, or could be claimed to have occurred. Additionally,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which may be a costly and time-consuming process, and we may not be able to complete the re-engineering process successfully.</w:t>
      </w:r>
    </w:p>
    <w:p>
      <w:pPr>
        <w:spacing w:after="0" w:line="18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231F20"/>
        </w:rPr>
        <w:t>Additionally, the use of certain open source software can lead to greater risks than use of third-party commercial software, as open source licensors generally do not provide warranties or controls on the origin of software or other contractual protections regarding infringement claims or the quality of the code, including with respect to security vulnerabilities. Moreover, some open source projects have known security and other vulnerabilities and architectural instabilities, or are otherwise subject to security attacks due to their wide availability, and are provided on an “ as-is” basis.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Any of these risks could be difficult to eliminate or manage and, if not addressed, could have a material adverse effect on our business, financial condition and results of operations.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231F20"/>
        </w:rPr>
        <w:t>Risks Related to Financing and Strategic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will require additional capital to support business growth, and this capital might not be available on commercially reasonable terms, or at all.</w:t>
      </w:r>
    </w:p>
    <w:p>
      <w:pPr>
        <w:spacing w:after="0" w:line="275"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231F20"/>
        </w:rPr>
        <w:t>We have funded our operations since inception primarily through equity and debt financings. For example, we issued approximately $2 billion of 1.25% convertible senior notes due 2026 in December 2021 (the “2026 Notes”) and we entered into a credit agreement that provides for a $1.0 billion senior secured asset-based revolving credit facility in June 2022 (the “ABL Credit Facility”). In addition, we have, through our subsidiary, entered into a loan agreement with the Saudi Industrial Development Fund for an aggregate principal amount of up to SAR 5.19 billion in February 2022 (the “SIDF Loan Agreement”) and also entered into a revolving credit facility agreement with Gulf International Bank for an aggregate principal amount of SAR 1 billion in April 2022 (the “GIB Facility Agreement”). We anticipate that we will need to raise additional funds through equity, equity-linked or debt financings. Our business is capital-intensive, and we expect the costs and expenses associated with our planned operations will continue to increase in the near term. We do not expect to achieve positive cash flow from operations for several years, if at all. In addition, during fiscal year 2022, we have and we expect to settle tax withholding obligations in connection with vesting of the restricted stock units granted to Peter Rawlinson, our Chief Executive Officer and Chief Technology Officer, that were previously granted to him in March 2021 through “net settlement,” i.e., by remitting cash to satisfy the tax withholding obligation and withholding a number of the vested shares on each vesting date. The amount of the tax withholding due on each vesting date will be based on the fair value of our common stock on such vesting date. Depending on the fair value of our common stock and the number of restricted stock units vesting on any applicable vesting date, such net settlement could require us to expend substantial funds to satisfy tax withholding. Our plan to continue the commercial production of our vehicles and grow our business is dependent upon the timely availability of funds and further investment in design, engineering, component procurement, testing, and the build-out of manufacturing capabilities. In addition, the fact that we have a limited operating history means that we have limited historical data on the demand for our vehicles. As a result, our future capital requirements are uncertain, and actual capital requirements may be greater than what we currently anticipate.</w:t>
      </w:r>
    </w:p>
    <w:p>
      <w:pPr>
        <w:spacing w:after="0" w:line="19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231F20"/>
        </w:rPr>
        <w:t>If we raise additional funds through further issuances of equity or convertible debt securities, our stockholders could suffer significant dilution, and any new equity securities we issue could have rights, preferences and privileges superior to those of holders of our common stock. Any debt financing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1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231F20"/>
        </w:rPr>
        <w:t>We may not be able to obtain additional financing on terms favorable to us, if at all. Our ability to obtain such financing could be adversely affected by a number of factors, including general conditions in the global economy and in the global financial markets, including recent volatility and disruptions in the capital and credit markets, including as a result of the ongoing COVID-19 pandemic, inflation, interest rate changes and the ongoing conflict between Ukraine and Russia, or investor acceptance of our business model. These factors may make the timing, amount, terms and conditions of such financing unattractive or unavailable to us.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w:t>
      </w:r>
    </w:p>
    <w:p>
      <w:pPr>
        <w:spacing w:after="0" w:line="219"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The accounting method for reflecting the 2026 Notes on our consolidated balance sheet, accruing interest expense for the 2026 Notes and reflecting the underlying shares of our common stock in our reported diluted earnings per share may adversely affect our reported earnings and financial condition.</w:t>
      </w:r>
    </w:p>
    <w:p>
      <w:pPr>
        <w:spacing w:after="0" w:line="127"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In August 2020, the Financial Accounting Standards Board published an Accounting Standards Update, which we refer to as ASU 2020-06, which simplifies certain of the accounting standards that apply to convertible notes. ASU 2020-06 will be effective for SEC-reporting entities for fiscal years beginning after December 15, 2021 (or, in the case of smaller reporting companies, December 15, 2023), including interim periods within those fiscal years. However, early adoption is permitted in certain circumstances for fiscal years beginning after December 15, 2020, including interim periods within those fiscal years. We adopted ASU 2020-06 for the year ended December 31, 2021, including interim periods within that fiscal year.</w:t>
      </w:r>
    </w:p>
    <w:p>
      <w:pPr>
        <w:spacing w:after="0" w:line="18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accordance with ASU 2020-06, we expect that the 2026 Notes we issued will be reflected as a liability on our balance sheets, with the initial carrying amount equal to the principal amount of the 2026 Notes, net of issuance costs. The issuance costs will be treated as a debt discount for accounting purposes, which will be amortized into interest expense over the term of the 2026 Notes. As a result of this amortization, the interest expense that we expect to recognize for the 2026 Notes for accounting purposes will be greater than the cash interest payments we will pay on the 2026 Notes, which will result in higher reported loss.</w:t>
      </w:r>
    </w:p>
    <w:p>
      <w:pPr>
        <w:spacing w:after="0" w:line="21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addition, the shares underlying the 2026 Notes will be reflected in our diluted earnings per share using the “if converted” method, in accordance with ASU 2020-06. Under that method, diluted earnings per share would generally be calculated assuming that all the 2026 Notes were converted solely into shares of common stock at the beginning of the reporting period, unless the result would be anti-dilutive. The application of the if-converted method may reduce our reported diluted earnings per share, and accounting standards may change in the future in a manner that may adversely affect our diluted earnings per share.</w:t>
      </w:r>
    </w:p>
    <w:p>
      <w:pPr>
        <w:sectPr>
          <w:pgSz w:w="11900" w:h="16838" w:orient="portrait"/>
          <w:cols w:equalWidth="0" w:num="1">
            <w:col w:w="11240"/>
          </w:cols>
          <w:pgMar w:left="320" w:top="985" w:right="339" w:bottom="1440" w:gutter="0" w:footer="0" w:header="0"/>
        </w:sect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85" w:name="page86"/>
    <w:bookmarkEnd w:id="85"/>
    <w:p>
      <w:pPr>
        <w:ind w:right="120"/>
        <w:spacing w:after="0" w:line="263" w:lineRule="auto"/>
        <w:rPr>
          <w:sz w:val="20"/>
          <w:szCs w:val="20"/>
          <w:color w:val="auto"/>
        </w:rPr>
      </w:pPr>
      <w:r>
        <w:rPr>
          <w:rFonts w:ascii="Arial" w:cs="Arial" w:eastAsia="Arial" w:hAnsi="Arial"/>
          <w:sz w:val="18"/>
          <w:szCs w:val="18"/>
          <w:color w:val="auto"/>
        </w:rPr>
        <w:t>Furthermore, if any of the conditions to the convertibility of the 2026 Notes is satisfied, then we may be required under applicable accounting standards to reclassify the liability carrying value of the 2026 Notes as a current, rather than a long-term liability. This reclassification could be required even if no noteholders convert their 2026 Notes and could materially reduce our reported working capital.</w:t>
      </w:r>
    </w:p>
    <w:p>
      <w:pPr>
        <w:spacing w:after="0" w:line="211"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b w:val="1"/>
          <w:bCs w:val="1"/>
          <w:i w:val="1"/>
          <w:iCs w:val="1"/>
          <w:color w:val="auto"/>
        </w:rPr>
        <w:t>Servicing our current and future debt may require a significant amount of cash, and we may not have sufficient cash flow from our business to pay our indebtedness. Our payment obligations under such indebtedness may limit the funds available to us, and the terms of our debt agreements may restrict our flexibility in operating our business or otherwise adversely affect our results of operations.</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December 2021, we issued approximately $2.0 billion principal amount of 2026 Notes and have entered into several credit facilities in 2022. See Note 6 “Debt” to our condensed consolidated financial statements included elsewhere in this Quarterly Report for further information on our outstanding debt obligations. Our ability to make scheduled payments of the principal of, to pay interest on or to refinance our indebtedness from time to time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our existing debt agreements contain, and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20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addition, our indebtedness, combined with our other existing and future financial obligations and contractual commitments, could have other important consequences. For example, it could:</w:t>
      </w:r>
    </w:p>
    <w:p>
      <w:pPr>
        <w:spacing w:after="0" w:line="62" w:lineRule="exact"/>
        <w:rPr>
          <w:sz w:val="20"/>
          <w:szCs w:val="20"/>
          <w:color w:val="auto"/>
        </w:rPr>
      </w:pPr>
    </w:p>
    <w:p>
      <w:pPr>
        <w:ind w:left="660" w:right="220" w:hanging="328"/>
        <w:spacing w:after="0" w:line="261" w:lineRule="auto"/>
        <w:tabs>
          <w:tab w:leader="none" w:pos="444"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us more vulnerable to adverse changes in general U.S. and worldwide economic, industry and competitive conditions and adverse changes in government regulation;</w:t>
      </w:r>
    </w:p>
    <w:p>
      <w:pPr>
        <w:spacing w:after="0" w:line="76" w:lineRule="exact"/>
        <w:rPr>
          <w:rFonts w:ascii="Arial" w:cs="Arial" w:eastAsia="Arial" w:hAnsi="Arial"/>
          <w:sz w:val="18"/>
          <w:szCs w:val="18"/>
          <w:color w:val="auto"/>
        </w:rPr>
      </w:pPr>
    </w:p>
    <w:p>
      <w:pPr>
        <w:ind w:left="440" w:hanging="108"/>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117" w:lineRule="exact"/>
        <w:rPr>
          <w:rFonts w:ascii="Arial" w:cs="Arial" w:eastAsia="Arial" w:hAnsi="Arial"/>
          <w:sz w:val="18"/>
          <w:szCs w:val="18"/>
          <w:color w:val="auto"/>
        </w:rPr>
      </w:pPr>
    </w:p>
    <w:p>
      <w:pPr>
        <w:ind w:left="440" w:hanging="108"/>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who have less debt;</w:t>
      </w:r>
    </w:p>
    <w:p>
      <w:pPr>
        <w:spacing w:after="0" w:line="117" w:lineRule="exact"/>
        <w:rPr>
          <w:rFonts w:ascii="Arial" w:cs="Arial" w:eastAsia="Arial" w:hAnsi="Arial"/>
          <w:sz w:val="18"/>
          <w:szCs w:val="18"/>
          <w:color w:val="auto"/>
        </w:rPr>
      </w:pPr>
    </w:p>
    <w:p>
      <w:pPr>
        <w:ind w:left="440" w:hanging="108"/>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 our ability to borrow additional amounts to fund acquisitions, for working capital and for other general corporate purposes; and</w:t>
      </w:r>
    </w:p>
    <w:p>
      <w:pPr>
        <w:spacing w:after="0" w:line="117" w:lineRule="exact"/>
        <w:rPr>
          <w:rFonts w:ascii="Arial" w:cs="Arial" w:eastAsia="Arial" w:hAnsi="Arial"/>
          <w:sz w:val="18"/>
          <w:szCs w:val="18"/>
          <w:color w:val="auto"/>
        </w:rPr>
      </w:pPr>
    </w:p>
    <w:p>
      <w:pPr>
        <w:ind w:left="440" w:hanging="108"/>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an acquisition of our company less attractive or more difficult.</w:t>
      </w:r>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under the SIDF Loan Agreement, the GIB Facility Agreement, and the ABL Credit Facility, we are subject to customary affirmative and negative covenants regarding our business and operations, including limitations on our ability to, among other things, pay dividends, incur debt, create liens and encumbrances, redeem or repurchase stock, dispose of assets (including dispositions of material intellectual property), consummate acquisitions or other investments, prepay certain debt, engage in transactions with affiliates, engage in sale and leaseback transactions, consummate mergers and other fundamental changes, enter in to restrictive agreements or modify their organizational documents. Any debt financing secured by us in the future could also involve such covenants as well as additional restrictive covenants relating to our capital-raising activities and other financial and operational matters, which may make it more difficult for us to obtain additional capital to pursue business opportunities, including potential acquisitions or divestitures. Any default under our debt arrangements could require that we repay our indebtedness immediately, and may limit our ability to obtain additional financing, which in turn may have an adverse effect on our cash flows and liquidity.</w:t>
      </w:r>
    </w:p>
    <w:p>
      <w:pPr>
        <w:spacing w:after="0" w:line="20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Further, shares of our common stock are subordinate in right of payment to all of our current and future debt. We cannot assure that there would be any remaining funds after the payment of all of our debt for any distribution to our stockholders.</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of these factors could harm our business, results of operations and financial condition. In addition, if we incur additional indebtedness, the risks related to our business and our ability to service or repay our indebtedness would increase.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and may still incur substantially more debt</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and our subsidiaries have incurred and may be able to incur substantial additional debt in the future, subject to the restrictions contained in our debt instruments, some of which may be secured debt. The ABL Credit Facility imposes certain restrictions on our ability to incur additional debt, but we are not restricted under the terms of the indenture governing our 2026 Notes from incurring additional debt, securing existing or future debt, recapitalizing our debt or taking a number of other actions that are not limited by the terms of such indenture governing our 2026 Notes that could have the effect of diminishing our ability to make payments on our 2026 Notes when due.</w:t>
      </w:r>
    </w:p>
    <w:p>
      <w:pPr>
        <w:sectPr>
          <w:pgSz w:w="11900" w:h="16838" w:orient="portrait"/>
          <w:cols w:equalWidth="0" w:num="1">
            <w:col w:w="11240"/>
          </w:cols>
          <w:pgMar w:left="320" w:top="1016"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7"/>
          <w:szCs w:val="17"/>
          <w:b w:val="1"/>
          <w:bCs w:val="1"/>
          <w:i w:val="1"/>
          <w:iCs w:val="1"/>
          <w:color w:val="auto"/>
        </w:rPr>
        <w:t>The conditional conversion feature of the 2026 Notes, if triggered, may adversely affect our financial condition and operating results.</w:t>
      </w:r>
    </w:p>
    <w:p>
      <w:pPr>
        <w:spacing w:after="0" w:line="26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From and after September 15, 2026, noteholders may convert their 2026 Notes at any time at their election until the close of business on the second scheduled trading day immediately before the maturity date. In the event the conditional conversion feature of the 2026 Notes is triggered, holders of such 2026 Notes will be entitled under the indenture governing such 2026 Notes to convert their 2026 Notes at any time during specified periods at their option. If one or more holders of 2026 Notes elect to convert such 2026 Notes, unless we elect to satisfy our conversion obligation by delivering solely shares of our common stock, we would be required to settle a portion or all of our conversion obligation through the payment of cash, which could adversely affect our liquidity. In addition, in certain circumstances, such as conversion by holders or redemption, we could be required under applicable accounting rules to reclassify all or a portion of the outstanding principal of the 2026 Notes as a current rather than long-term liability, which would result in a material reduction of our net working capital.</w:t>
      </w:r>
    </w:p>
    <w:p>
      <w:pPr>
        <w:spacing w:after="0" w:line="21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We may be unable to raise the funds necessary to repurchase the notes for cash following a fundamental change, or to pay any cash amounts due upon conversion, and our other indebtedness may limit our ability to repurchase the notes or pay cash upon their conversion.</w:t>
      </w:r>
    </w:p>
    <w:p>
      <w:pPr>
        <w:spacing w:after="0" w:line="15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Noteholders may, subject to a limited exception, require us to repurchase their notes following a fundamental change at a cash repurchase price generally equal to the principal amount of the 2026 Notes to be repurchased, plus accrued and unpaid interest, if any.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2026 Notes or pay any cash amounts due upon conversion. In addition, applicable law, regulatory authorities and the agreements governing our other indebtedness, such as the covenants in the ABL Credit Facility, may restrict our ability to repurchase the 2026 Notes or pay any cash amounts due upon conversion. Our failure to repurchase 2026 Notes or pay any cash amounts due upon conversion when required will constitute a default under the indenture. 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2026 Notes.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rating agency may not rate the 2026 Notes or may assign a rating that is lower than expected.</w:t>
      </w:r>
    </w:p>
    <w:p>
      <w:pPr>
        <w:spacing w:after="0" w:line="25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do not intend to seek to have the 2026 Notes rated by any rating agency. However, if one or more rating agencies rate the 2026 Notes and assign a rating that is lower than the rating that investors expect, or reduce their rating in the future, then the trading price of our common stock and the 2026 Notes could significantly decline.</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addition, market perceptions of our creditworthiness will directly affect the trading price of the 2026 Notes. Accordingly, if a ratings agency rates any of our indebtedness in the future or downgrades or withdraws the rating, or puts us on credit watch, then the trading price of the 2026 Notes will likely decline.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draw down the full amounts available under the ABL Credit Facility, the SIDF Loan Agreement and the GIB Facility Agreement.</w:t>
      </w:r>
    </w:p>
    <w:p>
      <w:pPr>
        <w:spacing w:after="0" w:line="24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The ABL Credit Facility has an initial aggregate principal commitment amount of up to $1.0 billion. However, availability of the committed amounts under the ABL Credit Facility is subject to the value of the eligible borrowing base and we are currently able to draw down only a portion of the full amount available under the ABL Credit Facility. In addition, there is no guarantee that we will have sufficient eligible borrowing base in the future to be able to draw down the full amount available under the ABL Credit Facility. In addition, amounts committed under the SIDF Loan Agreement and the GIB Facility Agreement are only available for certain specific purposes and subject to conditions on drawdowns. Any inability to draw down the full amounts committed under these facilities, should the need arise, may have an </w:t>
      </w:r>
      <w:r>
        <w:rPr>
          <w:rFonts w:ascii="Arial" w:cs="Arial" w:eastAsia="Arial" w:hAnsi="Arial"/>
          <w:sz w:val="17"/>
          <w:szCs w:val="17"/>
          <w:color w:val="231F20"/>
        </w:rPr>
        <w:t>adverse effect on our cash flows and liquidity.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able to identify adequate strategic relationship opportunities or form strategic relationships, in the future.</w:t>
      </w:r>
    </w:p>
    <w:p>
      <w:pPr>
        <w:spacing w:after="0" w:line="21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231F20"/>
        </w:rPr>
        <w:t xml:space="preserve">We expect that strategic business relationships will be an important factor in the growth and success of our business. From time to time, we explore opportunities to enter into strategic relationships, including partnerships with original equipment manufacturers. However, there are no assurances that we will be able to identify or secure suitable business relationship opportunities in the future or that </w:t>
      </w:r>
      <w:r>
        <w:rPr>
          <w:rFonts w:ascii="Arial" w:cs="Arial" w:eastAsia="Arial" w:hAnsi="Arial"/>
          <w:sz w:val="17"/>
          <w:szCs w:val="17"/>
          <w:color w:val="000000"/>
        </w:rPr>
        <w:t>we will be able to maintain such relationships. In addition,</w:t>
      </w:r>
      <w:r>
        <w:rPr>
          <w:rFonts w:ascii="Arial" w:cs="Arial" w:eastAsia="Arial" w:hAnsi="Arial"/>
          <w:sz w:val="17"/>
          <w:szCs w:val="17"/>
          <w:color w:val="231F20"/>
        </w:rPr>
        <w:t xml:space="preserve"> our competitors may capitalize on such opportunities before we do and we may not be able to offer similar benefits to other companies with which we would like to establish and maintain strategic relationships, which could impair our ability to establish such relationships. For example, we have partnered with Electrify America to provide our customers with access to Electrify America’s charging infrastructure, and we will rely on ongoing access to such infrastructure to provide our customers with charging solutions. If Electrify America terminates this partnership or otherwise fails to deliver the anticipated benefits of this partnership, our ability to provide a satisfactory customer experience will be harmed, and we will be required to identify alternate charging partners or invest in our own charging network. Our current and future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w:t>
      </w:r>
    </w:p>
    <w:p>
      <w:pPr>
        <w:sectPr>
          <w:pgSz w:w="11900" w:h="16838" w:orient="portrait"/>
          <w:cols w:equalWidth="0" w:num="1">
            <w:col w:w="11240"/>
          </w:cols>
          <w:pgMar w:left="320" w:top="773" w:right="339" w:bottom="144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87" w:name="page88"/>
    <w:bookmarkEnd w:id="87"/>
    <w:p>
      <w:pPr>
        <w:ind w:right="20"/>
        <w:spacing w:after="0" w:line="277" w:lineRule="auto"/>
        <w:rPr>
          <w:sz w:val="20"/>
          <w:szCs w:val="20"/>
          <w:color w:val="auto"/>
        </w:rPr>
      </w:pPr>
      <w:r>
        <w:rPr>
          <w:rFonts w:ascii="Arial" w:cs="Arial" w:eastAsia="Arial" w:hAnsi="Arial"/>
          <w:sz w:val="18"/>
          <w:szCs w:val="18"/>
          <w:color w:val="231F20"/>
        </w:rPr>
        <w:t>third parties suffer negative publicity or harm to their reputation from events relating to their business, we may also suffer negative publicity or harm to our reputation by virtue of our association with any such third party.</w:t>
      </w:r>
    </w:p>
    <w:p>
      <w:pPr>
        <w:spacing w:after="0" w:line="170"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231F20"/>
        </w:rPr>
        <w:t>Moreover, identifying and executing on such opportunities could demand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and results of operations could be materially adversely affected.</w:t>
      </w:r>
    </w:p>
    <w:p>
      <w:pPr>
        <w:spacing w:after="0" w:line="1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31F20"/>
        </w:rPr>
        <w:t>We may acquire other businesses, which could require significant management attention, disrupt our business, dilute stockholder value and adversely affect our results of operations.</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231F20"/>
        </w:rPr>
        <w:t>As part of our business strategy, we may make investments in complementary companies, solutions or technologies. We may not be able to find suitable acquisition candidates, and we may not be able to complete such acquisitions on favorable terms, if at all.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If we do complete acquisitions, we may not ultimately strengthen our competitive position or achieve our goals. In addition, if we are unsuccessful at integrating such acquisitions or developing the acquired technologies, the revenue and results of operations of the combined company could be adversely affected. Further, the integration of acquired businesses or assets typically requires significant time and resources, which could result in a diversion of resources from our existing business, which could have an adverse effect on our operations,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common stock. The sale of equity or issuance of debt to finance any such acquisitions could result in dilution to our stockholders. The incurrence of indebtedness could result in increased fixed obligations and exposure to potential unknown liabilities of the acquired business and could also include covenants or other restrictions that could impede our ability to manage our operations.</w:t>
      </w:r>
    </w:p>
    <w:p>
      <w:pPr>
        <w:spacing w:after="0" w:line="17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231F20"/>
        </w:rPr>
        <w:t>Our financial results may vary significantly from period to period due to fluctuations in our production levels, operating costs, product demand and other factors.</w:t>
      </w:r>
    </w:p>
    <w:p>
      <w:pPr>
        <w:spacing w:after="0" w:line="184"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231F20"/>
        </w:rPr>
        <w:t>We expect our period-to-period financial results to vary based on our production levels, operating costs and product demand, which we anticipate will fluctuate as we continue to design, develop and manufacture new vehicles, increase production capacity and establish or expand design, research and development, production, sales and service facilities. Our revenues from period to period may fluctuate as we identify and investigate areas of demand, adjust volumes and add new product derivatives based on market demand and margin opportunities, develop and introduce new vehicles or introduce existing vehicles to new markets for the first time. Our production levels also depend on our ability to obtain vehicle components from our suppliers, the effective operation of our manufacturing facilities, our ability to expand our production capacity, and our ability to timely deliver finished vehicles to customers. In addition, automotive manufacturers typically experience significant seasonality, with comparatively low sales in the first quarter and comparatively high sales in the fourth quarter, and we expect to experience similar seasonality as we scale commercial production and sale of the Lucid Air and future vehicles. Our period-to-period results of operations may also fluctuate because of other factors including labor availability and costs for hourly and management personnel; profitability of our vehicles, especially in new markets; changes in interest rates; impairment of long-lived assets; macroeconomic conditions, both nationally and locally; negative publicity relating to our vehicles; changes in consumer preferences and competitive conditions; or investment in expansion to new markets. As a result of these factors, we believe that quarter-to-quarter comparisons of our financial results, especially in the short term, may have limited utility as an indicator of future performance. Significant variation in our quarterly performance could significantly and adversely affect the trading price of our common stock.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Tax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ability to use net operating loss carryforwards and certain other tax attributes may be limited.</w:t>
      </w:r>
    </w:p>
    <w:p>
      <w:pPr>
        <w:spacing w:after="0" w:line="212" w:lineRule="exact"/>
        <w:rPr>
          <w:sz w:val="20"/>
          <w:szCs w:val="20"/>
          <w:color w:val="auto"/>
        </w:rPr>
      </w:pPr>
    </w:p>
    <w:p>
      <w:pPr>
        <w:spacing w:after="0" w:line="279" w:lineRule="auto"/>
        <w:rPr>
          <w:sz w:val="20"/>
          <w:szCs w:val="20"/>
          <w:color w:val="auto"/>
        </w:rPr>
      </w:pPr>
      <w:r>
        <w:rPr>
          <w:rFonts w:ascii="Arial" w:cs="Arial" w:eastAsia="Arial" w:hAnsi="Arial"/>
          <w:sz w:val="16"/>
          <w:szCs w:val="16"/>
          <w:color w:val="231F20"/>
        </w:rPr>
        <w:t>We have accumulated U.S. federal and state net operating loss (“</w:t>
      </w:r>
      <w:r>
        <w:rPr>
          <w:rFonts w:ascii="Arial" w:cs="Arial" w:eastAsia="Arial" w:hAnsi="Arial"/>
          <w:sz w:val="16"/>
          <w:szCs w:val="16"/>
          <w:i w:val="1"/>
          <w:iCs w:val="1"/>
          <w:color w:val="231F20"/>
        </w:rPr>
        <w:t>NOL</w:t>
      </w:r>
      <w:r>
        <w:rPr>
          <w:rFonts w:ascii="Arial" w:cs="Arial" w:eastAsia="Arial" w:hAnsi="Arial"/>
          <w:sz w:val="16"/>
          <w:szCs w:val="16"/>
          <w:color w:val="231F20"/>
        </w:rPr>
        <w:t xml:space="preserve">”) carryforwards and research and development credits which may be available to offset and reduce future taxable income. While our U.S. federal NOL carryforwards arising in taxable years beginning after December 31, 2017, will </w:t>
      </w:r>
      <w:r>
        <w:rPr>
          <w:rFonts w:ascii="Arial" w:cs="Arial" w:eastAsia="Arial" w:hAnsi="Arial"/>
          <w:sz w:val="16"/>
          <w:szCs w:val="16"/>
          <w:color w:val="000000"/>
        </w:rPr>
        <w:t>not be</w:t>
      </w:r>
      <w:r>
        <w:rPr>
          <w:rFonts w:ascii="Arial" w:cs="Arial" w:eastAsia="Arial" w:hAnsi="Arial"/>
          <w:sz w:val="16"/>
          <w:szCs w:val="16"/>
          <w:color w:val="231F20"/>
        </w:rPr>
        <w:t xml:space="preserve"> </w:t>
      </w:r>
      <w:r>
        <w:rPr>
          <w:rFonts w:ascii="Arial" w:cs="Arial" w:eastAsia="Arial" w:hAnsi="Arial"/>
          <w:sz w:val="16"/>
          <w:szCs w:val="16"/>
          <w:color w:val="000000"/>
        </w:rPr>
        <w:t>subject to expiration, some of our U.S. federal and state NOL carryforwards from taxable years prior to 2018 will begin to expire in 2028. As of September 30, 2022, we also had U.S. federal research and development credit carryforwards which will begin to expire in 2034 and state research and development credit carryforwards with no expiration. As of September 30, 2022, we maintain a full valuation allowance for our net deferred tax assets.</w:t>
      </w:r>
    </w:p>
    <w:p>
      <w:pPr>
        <w:spacing w:after="0" w:line="1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U.S. federal and state NOL carryforwa</w:t>
      </w:r>
      <w:r>
        <w:rPr>
          <w:rFonts w:ascii="Arial" w:cs="Arial" w:eastAsia="Arial" w:hAnsi="Arial"/>
          <w:sz w:val="18"/>
          <w:szCs w:val="18"/>
          <w:color w:val="231F20"/>
        </w:rPr>
        <w:t>rds and certain tax credits may be subject to significant limitations under Section 382 and Section 383 of the</w:t>
      </w:r>
      <w:r>
        <w:rPr>
          <w:rFonts w:ascii="Arial" w:cs="Arial" w:eastAsia="Arial" w:hAnsi="Arial"/>
          <w:sz w:val="18"/>
          <w:szCs w:val="18"/>
          <w:color w:val="auto"/>
        </w:rPr>
        <w:t xml:space="preserve"> </w:t>
      </w:r>
      <w:r>
        <w:rPr>
          <w:rFonts w:ascii="Arial" w:cs="Arial" w:eastAsia="Arial" w:hAnsi="Arial"/>
          <w:sz w:val="18"/>
          <w:szCs w:val="18"/>
          <w:color w:val="231F20"/>
        </w:rPr>
        <w:t>U.S. tax code, respectively, and similar provisions of state law. Under those sections of the U.S. tax code, if a corporation undergoes an “ownership change,” the corporation’s ability to use its pre-change NOL carryforwards and other pre-change attributes, such as research tax credits, to offset its post-change income or tax may be limited.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88" w:name="page89"/>
    <w:bookmarkEnd w:id="88"/>
    <w:p>
      <w:pPr>
        <w:ind w:right="240"/>
        <w:spacing w:after="0" w:line="296" w:lineRule="auto"/>
        <w:rPr>
          <w:sz w:val="20"/>
          <w:szCs w:val="20"/>
          <w:color w:val="auto"/>
        </w:rPr>
      </w:pPr>
      <w:r>
        <w:rPr>
          <w:rFonts w:ascii="Arial" w:cs="Arial" w:eastAsia="Arial" w:hAnsi="Arial"/>
          <w:sz w:val="16"/>
          <w:szCs w:val="16"/>
          <w:color w:val="231F20"/>
        </w:rPr>
        <w:t>In general, an “ownership change” will occur if there is a cumulative change in our ownership by “5-percent shareholders” that exceeds 50 percentage poin</w:t>
      </w:r>
      <w:r>
        <w:rPr>
          <w:rFonts w:ascii="Arial" w:cs="Arial" w:eastAsia="Arial" w:hAnsi="Arial"/>
          <w:sz w:val="16"/>
          <w:szCs w:val="16"/>
          <w:color w:val="000000"/>
        </w:rPr>
        <w:t>ts over a rolling three-year period. Similar rules may apply under state tax laws. We have completed a formal Section 382 study of our equity</w:t>
      </w:r>
      <w:r>
        <w:rPr>
          <w:rFonts w:ascii="Arial" w:cs="Arial" w:eastAsia="Arial" w:hAnsi="Arial"/>
          <w:sz w:val="16"/>
          <w:szCs w:val="16"/>
          <w:color w:val="231F20"/>
        </w:rPr>
        <w:t xml:space="preserve"> </w:t>
      </w:r>
      <w:r>
        <w:rPr>
          <w:rFonts w:ascii="Arial" w:cs="Arial" w:eastAsia="Arial" w:hAnsi="Arial"/>
          <w:sz w:val="16"/>
          <w:szCs w:val="16"/>
          <w:color w:val="000000"/>
        </w:rPr>
        <w:t>transactions through December 31, 2020. The study determined that we experienced an “ownership change” in 2016, and we will not be able to utilize approximately $12 million of our gross U.S. federal NOL and $15 million of gross U.S. federal research and development tax credit (or $3 million in net credit) carryforwards. Similar provisions of state law may also apply to limit our use of accumulated state tax attributes from the same period.</w:t>
      </w:r>
    </w:p>
    <w:p>
      <w:pPr>
        <w:spacing w:after="0" w:line="16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not yet completed an analysis of whether the busin</w:t>
      </w:r>
      <w:r>
        <w:rPr>
          <w:rFonts w:ascii="Arial" w:cs="Arial" w:eastAsia="Arial" w:hAnsi="Arial"/>
          <w:sz w:val="18"/>
          <w:szCs w:val="18"/>
          <w:color w:val="231F20"/>
        </w:rPr>
        <w:t>ess combination also caused an “ownership change.” In addition, future changes in our stock</w:t>
      </w:r>
      <w:r>
        <w:rPr>
          <w:rFonts w:ascii="Arial" w:cs="Arial" w:eastAsia="Arial" w:hAnsi="Arial"/>
          <w:sz w:val="18"/>
          <w:szCs w:val="18"/>
          <w:color w:val="auto"/>
        </w:rPr>
        <w:t xml:space="preserve"> </w:t>
      </w:r>
      <w:r>
        <w:rPr>
          <w:rFonts w:ascii="Arial" w:cs="Arial" w:eastAsia="Arial" w:hAnsi="Arial"/>
          <w:sz w:val="18"/>
          <w:szCs w:val="18"/>
          <w:color w:val="231F20"/>
        </w:rPr>
        <w:t>ownership may be outside of our control. If we undergo an ownership change, we may be prevented from fully utilizing the NOL carryforwards and tax credits existing at the time of the ownership change prior to their expiration. Future regulatory changes could also limit our ability to utilize NOL carryforwards and tax credits. To the extent we are not able to offset future taxable income with our NOL carryforwards and tax credits, our net income and cash flows may be adversely affected.</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231F20"/>
        </w:rPr>
        <w:t>It is possible that we will not generate taxable income in time to use any of our NOL carryforwards and research and development credits before their expiration.</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231F20"/>
        </w:rPr>
        <w:t>Unanticipated tax laws or any change in the application of existing tax laws to us or our customers or any change to our corporate structure may adversely impact our profitability and business.</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231F20"/>
        </w:rPr>
        <w:t>We are subject to income and other taxes in the United States and a growing number of foreign jurisdictions. Existing domestic and foreign tax laws, statutes, rules, regulations, or ordinances could be interpreted, changed, modified, or applied adversely to us (possibly with retroactive effect), which could require us to change our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our customers (possibly with retroactive effect) and, if our customers are required to pay additional surcharges, it could adversely affect demand for our vehicles.</w:t>
      </w:r>
    </w:p>
    <w:p>
      <w:pPr>
        <w:spacing w:after="0" w:line="19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231F20"/>
        </w:rPr>
        <w:t>Furthermore, changes to federal, state, local, or international tax laws on income, sales, use, import/export, indirect, or other tax laws, statutes, rules, regulations, or ordinances on multinational corporations continue to be considered by the United States and other countries where we currently operate or plan to operate.</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231F20"/>
        </w:rPr>
        <w:t>These contemplated tax initiatives, if finalized and adopted by the United States or other countries where we do business, and the other tax issues described above may materially and adversely impact our operating activities, transfer pricing policies, effective tax rate, deferred tax assets, operating income,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231F20"/>
        </w:rPr>
        <w:t>We may change our corporate structure, our business operations or certain agreements that we have entered into relating to taxes in a particular jurisdiction.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These changes may materially and adversely impact our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Our warrants are accounted for as liabilities and the changes in value of our warrants could have a material effect on our financial results.</w:t>
      </w:r>
    </w:p>
    <w:p>
      <w:pPr>
        <w:spacing w:after="0" w:line="237" w:lineRule="exact"/>
        <w:rPr>
          <w:sz w:val="20"/>
          <w:szCs w:val="20"/>
          <w:color w:val="auto"/>
        </w:rPr>
      </w:pPr>
    </w:p>
    <w:p>
      <w:pPr>
        <w:spacing w:after="0" w:line="268" w:lineRule="auto"/>
        <w:rPr>
          <w:sz w:val="20"/>
          <w:szCs w:val="20"/>
          <w:color w:val="auto"/>
        </w:rPr>
      </w:pPr>
      <w:r>
        <w:rPr>
          <w:rFonts w:ascii="Arial" w:cs="Arial" w:eastAsia="Arial" w:hAnsi="Arial"/>
          <w:sz w:val="17"/>
          <w:szCs w:val="17"/>
          <w:color w:val="231F20"/>
        </w:rPr>
        <w:t>On April 12, 2021, the Acting Director of the Division of Corporation Finance and Acting Chief Accountant of the SEC together issued a public statement (the “SEC Warrant Accounting Statement”) on accounting and reporting considerations for warrants issued by special purpose acquisition companies (“SPACs”). The SEC Warrant Accounting Statement discussed “certain features of warrants issued in SPAC transactions” that “may be common across many entities.” The SEC Warrant Accounting Statement indicated that when one or more of such features is included in a warrant, the warrant “should be classified as a liability measured at fair value, with changes in fair value each period reported in earnings.” In light of the SEC Warrant Accounting Statement and guidance in Accounting Standards Codification (“ASC”) 815-40, “Derivatives and Hedging — Contracts in Entity’s Own Equity,” Churchill’s management evaluated the terms of the Warrant Agreement entered into in connection with the Churchill IPO and concluded that the warrants include provisions that, based on the SEC Warrant Accounting Statement, preclude the warrants from being classified as components of equity. As a result, Churchill classified the warrants as liabilities. Under this accounting treatment, we are required to measure the fair value of the Private Placement Warrants at the end of each reporting period and recognize changes in the fair value from the prior period in our operating results for the current period. As a result of the recurring fair value measurement, our financial statements and results of operations may fluctuate quarterly based on factors which are outside our control. We expect that we will recognize non-cash gains or losses due to the quarterly fair valuation of the warrants and that such gains or losses could be material.</w:t>
      </w:r>
    </w:p>
    <w:p>
      <w:pPr>
        <w:spacing w:after="0" w:line="186"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231F20"/>
        </w:rPr>
        <w:t>In addition, following the issuance of the SEC Warrant Accounting Statement, and after consultation with Churchill’s independent registered public accounting firm and Churchill’s management team, Churchill concluded that, in light of the SEC Warrant Accounting Statement, it was appropriate to restate its financial statements for the period ended December 31, 2020, and the financial statements as of August 3, 2020 and as of and for the period ended September 30, 2020, in the financial statements accompanying Churchill’s Annual Report on Form 10-K/A.</w:t>
      </w:r>
    </w:p>
    <w:p>
      <w:pPr>
        <w:sectPr>
          <w:pgSz w:w="11900" w:h="16838" w:orient="portrait"/>
          <w:cols w:equalWidth="0" w:num="1">
            <w:col w:w="11240"/>
          </w:cols>
          <w:pgMar w:left="320" w:top="989" w:right="33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b w:val="1"/>
          <w:bCs w:val="1"/>
          <w:color w:val="231F20"/>
        </w:rPr>
        <w:t>Risks Related to Public Company Requirements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231F20"/>
        </w:rPr>
        <w:t>The requirements of being a public company may strain our resources and distract our management, which could make it difficult to manage our business.</w:t>
      </w:r>
    </w:p>
    <w:p>
      <w:pPr>
        <w:spacing w:after="0" w:line="19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231F20"/>
        </w:rPr>
        <w:t>We are required to comply with various regulatory and reporting requirements, including those required by the SEC and Nasdaq. Complying with these reporting and other regulatory requirements is time-consuming and will result in increased costs to us and could have a negative effect on our results of operations, financial condition or business. Those requirements and their interpretation and application may also change from time to time and those changes could have a material adverse effect on our results of operations, financial condition or business. A failure to comply with such requirements, as interpreted and applied, could also have a material adverse effect on our results of operations, financial condition or business. In addition, most members of our management team have limited experience managing a publicly traded company, interacting with public company investors, and complying with the increasingly complex laws pertaining to public companies. These new obligations and constituents will require significant attention from our senior management and could divert their attention away from the day-to-day management of our business, which could adversely affect our business, results of operations, cash flows, and financial condition.</w:t>
      </w:r>
    </w:p>
    <w:p>
      <w:pPr>
        <w:spacing w:after="0" w:line="20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231F20"/>
        </w:rPr>
        <w:t xml:space="preserve">As a public company, we are subject to the reporting requirements of the Exchange Act and the requirements of the Sarbanes-Oxley Act. These requirements may place a strain on our systems and resources. The Exchange Act requires that we file annual, quarterly and current reports with respect to our business and financial condition. The Sarbanes-Oxley Act requires that we implement and maintain effective disclosure controls and procedures and internal controls over financial reporting. </w:t>
      </w:r>
      <w:r>
        <w:rPr>
          <w:rFonts w:ascii="Arial" w:cs="Arial" w:eastAsia="Arial" w:hAnsi="Arial"/>
          <w:sz w:val="16"/>
          <w:szCs w:val="16"/>
          <w:color w:val="000000"/>
        </w:rPr>
        <w:t>In addition, changing laws, regulations, and standards related to corporate governance and public disclosure are</w:t>
      </w:r>
      <w:r>
        <w:rPr>
          <w:rFonts w:ascii="Arial" w:cs="Arial" w:eastAsia="Arial" w:hAnsi="Arial"/>
          <w:sz w:val="16"/>
          <w:szCs w:val="16"/>
          <w:color w:val="231F20"/>
        </w:rPr>
        <w:t xml:space="preserve"> </w:t>
      </w:r>
      <w:r>
        <w:rPr>
          <w:rFonts w:ascii="Arial" w:cs="Arial" w:eastAsia="Arial" w:hAnsi="Arial"/>
          <w:sz w:val="16"/>
          <w:szCs w:val="16"/>
          <w:color w:val="000000"/>
        </w:rPr>
        <w:t>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color w:val="231F20"/>
        </w:rPr>
        <w:t xml:space="preserve">To implement, maintain and improve the effectiveness of our disclosure controls and procedures, we will need to commit significant resources, hire additional staff and provide additional management oversight. </w:t>
      </w:r>
      <w:r>
        <w:rPr>
          <w:rFonts w:ascii="Arial" w:cs="Arial" w:eastAsia="Arial" w:hAnsi="Arial"/>
          <w:sz w:val="17"/>
          <w:szCs w:val="17"/>
          <w:color w:val="000000"/>
        </w:rPr>
        <w:t>To comply with the requirements of being a public company, we have undertaken, and</w:t>
      </w:r>
      <w:r>
        <w:rPr>
          <w:rFonts w:ascii="Arial" w:cs="Arial" w:eastAsia="Arial" w:hAnsi="Arial"/>
          <w:sz w:val="17"/>
          <w:szCs w:val="17"/>
          <w:color w:val="231F20"/>
        </w:rPr>
        <w:t xml:space="preserve"> </w:t>
      </w:r>
      <w:r>
        <w:rPr>
          <w:rFonts w:ascii="Arial" w:cs="Arial" w:eastAsia="Arial" w:hAnsi="Arial"/>
          <w:sz w:val="17"/>
          <w:szCs w:val="17"/>
          <w:color w:val="000000"/>
        </w:rPr>
        <w:t xml:space="preserve">expect to continue to further undertake in the future, various actions, such as, hiring additional accounting staff and implementing new internal controls and procedures </w:t>
      </w:r>
      <w:r>
        <w:rPr>
          <w:rFonts w:ascii="Arial" w:cs="Arial" w:eastAsia="Arial" w:hAnsi="Arial"/>
          <w:sz w:val="17"/>
          <w:szCs w:val="17"/>
          <w:color w:val="231F20"/>
        </w:rPr>
        <w:t>for the purpose of addressing the standards and requirements applicable to public companies. Sustaining our growth also will require us to</w:t>
      </w:r>
      <w:r>
        <w:rPr>
          <w:rFonts w:ascii="Arial" w:cs="Arial" w:eastAsia="Arial" w:hAnsi="Arial"/>
          <w:sz w:val="17"/>
          <w:szCs w:val="17"/>
          <w:color w:val="000000"/>
        </w:rPr>
        <w:t xml:space="preserve"> </w:t>
      </w:r>
      <w:r>
        <w:rPr>
          <w:rFonts w:ascii="Arial" w:cs="Arial" w:eastAsia="Arial" w:hAnsi="Arial"/>
          <w:sz w:val="17"/>
          <w:szCs w:val="17"/>
          <w:color w:val="231F20"/>
        </w:rPr>
        <w:t>commit additional management, operational and financial resources to identify new professionals to join us and to maintain appropriate operational and financial systems to adequately support expansion. These activities may divert management’s attention from other business concerns, which could have a material adverse effect on our results of operations, financial condition or business.</w:t>
      </w:r>
    </w:p>
    <w:p>
      <w:pPr>
        <w:spacing w:after="0" w:line="20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231F20"/>
        </w:rPr>
        <w:t>We recently ceased to be an emerging growth company, and now are required to comply with certain heightened reporting requirements, including those relating to auditing standards and disclosure about our executive compensation.</w:t>
      </w:r>
    </w:p>
    <w:p>
      <w:pPr>
        <w:spacing w:after="0" w:line="19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231F20"/>
        </w:rPr>
        <w:t>The Jumpstart Our Business Startups Act of 2012, (the “JOBS Act”), contains provisions that, among other things, relax certain reporting requirements for “emerging growth companies,” including certain requirements relating to auditing standards and compensation disclosure. Prior to December 31, 2021, we were classified as an emerging growth company. As an emerging growth company, we were not required to, among other things, (i) provide an auditor’s attestation report on management’s assessment of the effectiveness of our system of internal control over financial reporting pursuant to Section 404(b) of the Sarbanes-Oxley Act and (ii) comply with any new requirements adopted by the PCAOB requiring mandatory audit firm rotation or a supplement to the auditor’s report in which the auditor would be required to provide additional information about the audit and the financial statements of the issuer, (iii) provide certain disclosures regarding executive compensation required of larger public companies or (iv) hold nonbinding advisory votes on executive compensation. When we were an emerging growth company, we followed the exemptions described above. We also elected to use the extended transition period provided in Section 7(a)(2)(B) of the Securities Act for complying with new or revised accounting standards under Section 102(b)(2) of the JOBS Act. This election allowed us to delay the adoption of new or revised accounting standards that have different effective dates for public and private companies until those standards apply to private companies. As a result, our financial statements may not have been comparable to companies that comply with public company effective dates, and our stockholders and potential investors may have difficulty in analyzing our historical operating results if comparing us to such companies. In addition, because we relied on exemptions available to emerging growth companies, our historical public filings contained less information about our executive compensation and internal control over financial reporting than issuers that are not emerging growth companies.</w:t>
      </w:r>
    </w:p>
    <w:p>
      <w:pPr>
        <w:spacing w:after="0" w:line="20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231F20"/>
        </w:rPr>
        <w:t>We expect to incur additional costs associated with the heightened reporting requirements described above, including the requirement to provide auditor’s attestation report on our system of internal controls over financial reporting pursuant to Section 404(b) of the Sarbanes-Oxley Act, as well as additional audit costs resulting from PCAOB requirements. In addition, our auditors may identify control deficiencies of varying degrees of severity, and we may incur significant costs to remediate those deficiencies or otherwise improve our internal controls.</w:t>
      </w:r>
    </w:p>
    <w:p>
      <w:pPr>
        <w:sectPr>
          <w:pgSz w:w="11900" w:h="16838" w:orient="portrait"/>
          <w:cols w:equalWidth="0" w:num="1">
            <w:col w:w="11220"/>
          </w:cols>
          <w:pgMar w:left="320" w:top="985"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type w:val="continuous"/>
        </w:sectPr>
      </w:pPr>
    </w:p>
    <w:bookmarkStart w:id="90" w:name="page91"/>
    <w:bookmarkEnd w:id="90"/>
    <w:p>
      <w:pPr>
        <w:jc w:val="both"/>
        <w:ind w:right="200"/>
        <w:spacing w:after="0"/>
        <w:rPr>
          <w:sz w:val="20"/>
          <w:szCs w:val="20"/>
          <w:color w:val="auto"/>
        </w:rPr>
      </w:pPr>
      <w:r>
        <w:rPr>
          <w:rFonts w:ascii="Arial" w:cs="Arial" w:eastAsia="Arial" w:hAnsi="Arial"/>
          <w:sz w:val="18"/>
          <w:szCs w:val="18"/>
          <w:b w:val="1"/>
          <w:bCs w:val="1"/>
          <w:i w:val="1"/>
          <w:iCs w:val="1"/>
          <w:color w:val="auto"/>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17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We are subject to the SEC’s internal control over financial reporting requirements. Internal control over financial reporting is complex and may be revised over time to adapt to changes in our business, or changes in applicable accounting rules.</w:t>
      </w:r>
    </w:p>
    <w:p>
      <w:pPr>
        <w:spacing w:after="0" w:line="18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As part of such requirements, we are required to provide management’s attestation on the report on internal control over financial reporting by our independent registered public accounting firm. The design of internal controls over financial reporting for our business has required and will continue to require significant time and resources from management and other personnel.</w:t>
      </w:r>
    </w:p>
    <w:p>
      <w:pPr>
        <w:spacing w:after="0" w:line="18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In addition, we are required to report any control deficiencies that constitute a “material weakness” in our internal control over financial reporting. We had previously identified material weaknesses in our internal control over financial reporting in 2020, which has since been remediated. However, we cannot assure you that our internal control over financial reporting will be effective in the future or that a material weakness will not be discovered with respect to a prior period for which we had previously believed that our internal control over financial reporting was effective. If we are not able to maintain or document effective internal control over financial reporting, our independent registered public accounting firm will not be able to certify as to the effectiveness of our internal control over financial reporting. Matters impacting our internal control over financial reporting may result in material misstatements of our consolidated financial statements, cause us to be unable to report our financial information on a timely basis, or may cause us to restate previously issued financial information, and thereby subject us to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This could materially adversely affect us by, for example, leading to a decline in our stock price and impairing our ability to raise capital.</w:t>
      </w:r>
    </w:p>
    <w:p>
      <w:pPr>
        <w:spacing w:after="0" w:line="182" w:lineRule="exact"/>
        <w:rPr>
          <w:sz w:val="20"/>
          <w:szCs w:val="20"/>
          <w:color w:val="auto"/>
        </w:rPr>
      </w:pPr>
    </w:p>
    <w:p>
      <w:pPr>
        <w:ind w:right="260"/>
        <w:spacing w:after="0" w:line="324" w:lineRule="auto"/>
        <w:rPr>
          <w:sz w:val="20"/>
          <w:szCs w:val="20"/>
          <w:color w:val="auto"/>
        </w:rPr>
      </w:pPr>
      <w:r>
        <w:rPr>
          <w:rFonts w:ascii="Arial" w:cs="Arial" w:eastAsia="Arial" w:hAnsi="Arial"/>
          <w:sz w:val="16"/>
          <w:szCs w:val="16"/>
          <w:b w:val="1"/>
          <w:bCs w:val="1"/>
          <w:i w:val="1"/>
          <w:iCs w:val="1"/>
          <w:color w:val="231F20"/>
        </w:rPr>
        <w:t>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spacing w:after="0" w:line="12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231F20"/>
        </w:rPr>
        <w:t>We may be forced to later write-down or write-off assets, restructure operations, or incur impairment or other charges that could result in losses. Even though these charges may be non-cash items and not have an immediate impact on our liquidity, charges of this nature could contribute to negative market perceptions about us or our securities. Accordingly, any of our stockholders could suffer a reduction in the value of their shares.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There is no guarantee that an active and liquid public market for our securities will be sustained.</w:t>
      </w:r>
    </w:p>
    <w:p>
      <w:pPr>
        <w:spacing w:after="0" w:line="225"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231F20"/>
        </w:rPr>
        <w:t>Prior to the Merger, Churchill was a blank check company and there was no public market for Legacy Lucid Common Shares since Legacy Lucid was a private company. A liquid trading market for our common stock may not be sustained. In the absence of a liquid public trading market for our common stock:</w:t>
      </w:r>
    </w:p>
    <w:p>
      <w:pPr>
        <w:spacing w:after="0" w:line="76"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holders of our common stock may not be able to liquidate their investment in shares of our common stock;</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holders of our common stock may not be able to resell their shares of our common stock at favorable prices, or at all;</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the market price of shares of our common stock may experience significant price volatility; and</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there may be less efficiency in carrying out purchase and sale orders with respect to our common stock.</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231F20"/>
        </w:rPr>
        <w:t>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1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231F20"/>
        </w:rPr>
        <w:t>The price of our common stock is volatile, and this volatility may negatively impact the market price of our common stock and the trading price of the 2026 Notes.</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231F20"/>
        </w:rPr>
        <w:t>The trading price of our common stock has fluctuated substantially. The trading price of our securities depends on many factors, including those described elsewhere in this “Risk Factors” section, many of which are beyond our control and may not be related to our operating performance. These fluctuations could cause investors to lose all or part of the investment in our securities since investors might be unable to sell them at or above the price the investor paid for them.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231F20"/>
        </w:rPr>
        <w:t>Factors affecting the trading price of our securities may include:</w:t>
      </w:r>
    </w:p>
    <w:p>
      <w:pPr>
        <w:spacing w:after="0" w:line="117"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market conditions in the broader stock market in general, or in our industry in particular;</w:t>
      </w:r>
    </w:p>
    <w:p>
      <w:pPr>
        <w:spacing w:after="0" w:line="117" w:lineRule="exact"/>
        <w:rPr>
          <w:rFonts w:ascii="Arial" w:cs="Arial" w:eastAsia="Arial" w:hAnsi="Arial"/>
          <w:sz w:val="18"/>
          <w:szCs w:val="18"/>
          <w:color w:val="231F20"/>
        </w:rPr>
      </w:pPr>
    </w:p>
    <w:p>
      <w:pPr>
        <w:ind w:left="660" w:right="680" w:hanging="328"/>
        <w:spacing w:after="0" w:line="277" w:lineRule="auto"/>
        <w:tabs>
          <w:tab w:leader="none" w:pos="655"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actual or anticipated fluctuations in our quarterly financial or operating results or the quarterly financial or operating results of companies perceived to be similar to ours;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changes in the market’s expectations about our operating results;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the public’s reaction to our press releases, other public announcements and filings with the SEC;</w:t>
      </w:r>
    </w:p>
    <w:p>
      <w:pPr>
        <w:spacing w:after="0" w:line="117"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the public’s reaction to the number of unit reservations, financial projections and any other guidance or metrics that we may publicly disclose from time to time;</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speculation in the press or investment community;</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actual or anticipated developments in our business, competitors’ businesses or the competitive landscape generally;</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the operating results failing to meet the expectation of securities analysts or investors in a particular period;</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42"/>
        </w:numPr>
        <w:rPr>
          <w:rFonts w:ascii="Arial" w:cs="Arial" w:eastAsia="Arial" w:hAnsi="Arial"/>
          <w:sz w:val="17"/>
          <w:szCs w:val="17"/>
          <w:color w:val="231F20"/>
        </w:rPr>
      </w:pPr>
      <w:r>
        <w:rPr>
          <w:rFonts w:ascii="Arial" w:cs="Arial" w:eastAsia="Arial" w:hAnsi="Arial"/>
          <w:sz w:val="17"/>
          <w:szCs w:val="17"/>
          <w:color w:val="231F20"/>
        </w:rPr>
        <w:t>the timing of the achievement of objectives under our business plan and the timing and amount of costs we incur in connection therewith;</w:t>
      </w:r>
    </w:p>
    <w:p>
      <w:pPr>
        <w:spacing w:after="0" w:line="128" w:lineRule="exact"/>
        <w:rPr>
          <w:rFonts w:ascii="Arial" w:cs="Arial" w:eastAsia="Arial" w:hAnsi="Arial"/>
          <w:sz w:val="17"/>
          <w:szCs w:val="17"/>
          <w:color w:val="231F20"/>
        </w:rPr>
      </w:pPr>
    </w:p>
    <w:p>
      <w:pPr>
        <w:ind w:left="660" w:hanging="328"/>
        <w:spacing w:after="0"/>
        <w:tabs>
          <w:tab w:leader="none" w:pos="66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changes in financial estimates and recommendations by securities analysts concerning us or the market in general;</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operating and stock price performance of other companies that investors deem comparable to ours;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changes in laws and regulations affecting our business;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commencement of, or involvement in, litigation or investigations involving us;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changes in our capital structure, such as future issuances of securities or the incurrence of additional debt;</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the volume of our common stock available for public sale;</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any major change in our Board or management;</w:t>
      </w:r>
    </w:p>
    <w:p>
      <w:pPr>
        <w:spacing w:after="0" w:line="117" w:lineRule="exact"/>
        <w:rPr>
          <w:rFonts w:ascii="Arial" w:cs="Arial" w:eastAsia="Arial" w:hAnsi="Arial"/>
          <w:sz w:val="18"/>
          <w:szCs w:val="18"/>
          <w:color w:val="231F20"/>
        </w:rPr>
      </w:pPr>
    </w:p>
    <w:p>
      <w:pPr>
        <w:jc w:val="both"/>
        <w:ind w:left="660" w:right="400" w:hanging="328"/>
        <w:spacing w:after="0" w:line="342" w:lineRule="auto"/>
        <w:tabs>
          <w:tab w:leader="none" w:pos="655" w:val="left"/>
        </w:tabs>
        <w:numPr>
          <w:ilvl w:val="0"/>
          <w:numId w:val="42"/>
        </w:numPr>
        <w:rPr>
          <w:rFonts w:ascii="Arial" w:cs="Arial" w:eastAsia="Arial" w:hAnsi="Arial"/>
          <w:sz w:val="16"/>
          <w:szCs w:val="16"/>
          <w:color w:val="231F20"/>
        </w:rPr>
      </w:pPr>
      <w:r>
        <w:rPr>
          <w:rFonts w:ascii="Arial" w:cs="Arial" w:eastAsia="Arial" w:hAnsi="Arial"/>
          <w:sz w:val="16"/>
          <w:szCs w:val="16"/>
          <w:color w:val="231F20"/>
        </w:rPr>
        <w:t>sales of substantial amounts of our common stock by our directors, officers or significant stockholders or the perception that such sales could occur, including the expiration of the lock-up periods applicable to certain holders of our common stock pursuant to the Sponsor Agreement;</w:t>
      </w:r>
    </w:p>
    <w:p>
      <w:pPr>
        <w:spacing w:after="0" w:line="15" w:lineRule="exact"/>
        <w:rPr>
          <w:rFonts w:ascii="Arial" w:cs="Arial" w:eastAsia="Arial" w:hAnsi="Arial"/>
          <w:sz w:val="16"/>
          <w:szCs w:val="16"/>
          <w:color w:val="231F20"/>
        </w:rPr>
      </w:pPr>
    </w:p>
    <w:p>
      <w:pPr>
        <w:ind w:left="660" w:right="80" w:hanging="328"/>
        <w:spacing w:after="0" w:line="308" w:lineRule="auto"/>
        <w:tabs>
          <w:tab w:leader="none" w:pos="655" w:val="left"/>
        </w:tabs>
        <w:numPr>
          <w:ilvl w:val="0"/>
          <w:numId w:val="42"/>
        </w:numPr>
        <w:rPr>
          <w:rFonts w:ascii="Arial" w:cs="Arial" w:eastAsia="Arial" w:hAnsi="Arial"/>
          <w:sz w:val="17"/>
          <w:szCs w:val="17"/>
          <w:color w:val="231F20"/>
        </w:rPr>
      </w:pPr>
      <w:r>
        <w:rPr>
          <w:rFonts w:ascii="Arial" w:cs="Arial" w:eastAsia="Arial" w:hAnsi="Arial"/>
          <w:sz w:val="17"/>
          <w:szCs w:val="17"/>
          <w:color w:val="231F20"/>
        </w:rPr>
        <w:t>general economic and political conditions, such as recessions, interest rates, pandemics (such as COVID-19), inflation, changes in diplomatic and trade relationships, fluctuations in foreign currency exchange rates, acts of war or terrorism, and natural disasters; and</w:t>
      </w:r>
    </w:p>
    <w:p>
      <w:pPr>
        <w:spacing w:after="0" w:line="38" w:lineRule="exact"/>
        <w:rPr>
          <w:rFonts w:ascii="Arial" w:cs="Arial" w:eastAsia="Arial" w:hAnsi="Arial"/>
          <w:sz w:val="17"/>
          <w:szCs w:val="17"/>
          <w:color w:val="231F20"/>
        </w:rPr>
      </w:pPr>
    </w:p>
    <w:p>
      <w:pPr>
        <w:ind w:left="660" w:hanging="328"/>
        <w:spacing w:after="0"/>
        <w:tabs>
          <w:tab w:leader="none" w:pos="66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other risk factors listed in this section “Risk Factors.”</w:t>
      </w:r>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231F20"/>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and the trading price of the 2026 Notes regardless of our business, prospects, financial conditions or results of operations. Broad market and industry factors, including, most recently, the impact of the conflict between Ukraine and Russia, natural disasters, the novel coronavirus, COVID-19, and any other global pandemics, as well as general economic, political and market conditions such as recessions, inflation, or interest rate changes, may seriously affect the market price of our common stock and other securities, regardless of our actual operating performance. These fluctuations may be even more pronounced in the trading market for our stock shortly following the Transactions. A decline in the market price of our securities also could adversely affect our ability to issue additional securities and our ability to obtain additional financing in the future.</w:t>
      </w:r>
    </w:p>
    <w:p>
      <w:pPr>
        <w:spacing w:after="0" w:line="16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231F20"/>
        </w:rPr>
        <w:t>Furthermore, the stock markets in general, and the markets for technology and electric vehicle stocks in particular, have experienced extreme volatility, including as a result of the COVID-19 pandemic,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2026 Notes may impact the market price of our common stock, in particular during any redemption conversion period in connection with a redemption of the 2026 Notes or any observation period for a conversion of the 2026 Notes.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92" w:name="page93"/>
    <w:bookmarkEnd w:id="92"/>
    <w:p>
      <w:pPr>
        <w:ind w:right="20"/>
        <w:spacing w:after="0" w:line="259" w:lineRule="auto"/>
        <w:rPr>
          <w:sz w:val="20"/>
          <w:szCs w:val="20"/>
          <w:color w:val="auto"/>
        </w:rPr>
      </w:pPr>
      <w:r>
        <w:rPr>
          <w:rFonts w:ascii="Arial" w:cs="Arial" w:eastAsia="Arial" w:hAnsi="Arial"/>
          <w:sz w:val="18"/>
          <w:szCs w:val="18"/>
          <w:color w:val="231F20"/>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21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231F20"/>
        </w:rPr>
        <w:t>The issuance of additional shares of our common stock or other equity or equity-linked securities, or sales of a significant portion of our common stock, could depress the market price of our common stock.</w:t>
      </w:r>
    </w:p>
    <w:p>
      <w:pPr>
        <w:spacing w:after="0" w:line="184"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231F20"/>
        </w:rPr>
        <w:t>Future issuances of shares of our common stock, or of securities convertible into or exercisable for our common stock, could depress the market price of our common stock and result in significant dilution for holders of our common stock. The exercise of our outstanding warrants and options, the vesting and settlement of our restricted stock units, or the conversion of our 2026 Notes would result in additional dilution to holders of our common stock. In the future, we may issue additional shares of our common stock, or securities convertible into or exercisable for common stock, in connection with generating additional capital, future acquisitions, repayment of outstanding indebtedness, under our stock incentive plan, or for other reasons.</w:t>
      </w:r>
    </w:p>
    <w:p>
      <w:pPr>
        <w:spacing w:after="0" w:line="173"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231F20"/>
        </w:rPr>
        <w:t>The market price of shares of our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spacing w:after="0" w:line="22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231F20"/>
        </w:rPr>
        <w:t>Pursuant to the Investor Rights Agreement, the Sponsor has agreed to restrictions on the sale or transfer of shares of common stock, Private Placement Warrants and Working Capital Warrants held by it for a period of 18 months after the Closing of the Transactions. However, following the expiration of this lock-up period, the Sponsor will not be restricted from selling our securities held by it, other than by applicable securities laws. In addition, pursuant to the Investor Rights Agreement, Ayar, the Sponsor, and certain other parties thereto are entitled to, among other things, certain registration rights, including demand, piggy-back and shelf registration rights. If one or more of these stockholders were to sell a substantial portion of the shares they hold, it could cause the trading price of our common stock to decline.</w:t>
      </w:r>
    </w:p>
    <w:p>
      <w:pPr>
        <w:spacing w:after="0" w:line="192"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b w:val="1"/>
          <w:bCs w:val="1"/>
          <w:i w:val="1"/>
          <w:iCs w:val="1"/>
          <w:color w:val="231F20"/>
        </w:rPr>
        <w:t>We are a “controlled company” within the meaning of the applicable Nasdaq rules and, as a result, qualify for exemptions from certain corporate governance requirements. Our stockholders will not have the same protections afforded to stockholders of companies that are not controlled companies.</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As of September 30, 2022, Ayar held approximate</w:t>
      </w:r>
      <w:r>
        <w:rPr>
          <w:rFonts w:ascii="Arial" w:cs="Arial" w:eastAsia="Arial" w:hAnsi="Arial"/>
          <w:sz w:val="17"/>
          <w:szCs w:val="17"/>
          <w:color w:val="000000"/>
        </w:rPr>
        <w:t>ly 60.4% of</w:t>
      </w:r>
      <w:r>
        <w:rPr>
          <w:rFonts w:ascii="Arial" w:cs="Arial" w:eastAsia="Arial" w:hAnsi="Arial"/>
          <w:sz w:val="17"/>
          <w:szCs w:val="17"/>
          <w:color w:val="231F20"/>
        </w:rPr>
        <w:t xml:space="preserve"> our common stock. As a result, we are a “controlled company” within the meaning of the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w:t>
      </w:r>
    </w:p>
    <w:p>
      <w:pPr>
        <w:spacing w:after="0" w:line="1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231F20"/>
        </w:rPr>
        <w:t>Further, this concentration of ownership and voting power allows Ayar to control our decisions,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 and the trading price of the 2026 Notes.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Sponsor and Ayar beneficially own a significant equity interest in us and may take actions that conflict with your interests.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231F20"/>
        </w:rPr>
        <w:t>The interests of the Sponsor and Ayar may not align with our interests and the interests of our other stockholders or securityholders. The Sponsor and Ayar are each in the business of making investments in companies and may acquire and hold interests in businesses that compete directly or indirectly with us. The Sponsor and Ayar and their respective affiliates, may also pursue acquisition opportunities that may be complementary to our business and, as a result, those acquisition opportunities may not be available to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anticipate paying any cash dividends for the foreseeable future.</w:t>
      </w:r>
    </w:p>
    <w:p>
      <w:pPr>
        <w:spacing w:after="0" w:line="22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231F20"/>
        </w:rPr>
        <w:t>We have never declared or paid cash dividends on our capital stock, and we do not anticipate paying any cash dividends in the foreseeable future. In addition, the ABL Credit Facility limits our and certain of our subsidiaries’ ability to pay dividends. We currently intend to retain our future earnings, if any, for the foreseeable future, to fund the development and growth of our business.</w:t>
      </w:r>
    </w:p>
    <w:p>
      <w:pPr>
        <w:sectPr>
          <w:pgSz w:w="11900" w:h="16838" w:orient="portrait"/>
          <w:cols w:equalWidth="0" w:num="1">
            <w:col w:w="11240"/>
          </w:cols>
          <w:pgMar w:left="320" w:top="989" w:right="33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93" w:name="page94"/>
    <w:bookmarkEnd w:id="93"/>
    <w:p>
      <w:pPr>
        <w:ind w:right="40"/>
        <w:spacing w:after="0" w:line="263" w:lineRule="auto"/>
        <w:rPr>
          <w:sz w:val="20"/>
          <w:szCs w:val="20"/>
          <w:color w:val="auto"/>
        </w:rPr>
      </w:pPr>
      <w:r>
        <w:rPr>
          <w:rFonts w:ascii="Arial" w:cs="Arial" w:eastAsia="Arial" w:hAnsi="Arial"/>
          <w:sz w:val="18"/>
          <w:szCs w:val="18"/>
          <w:color w:val="231F20"/>
        </w:rPr>
        <w:t>Any future determination to pay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common stock, if any, will be your only source of gain on an investment in our common stock.</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231F20"/>
        </w:rPr>
        <w:t>See the section titled “Management’s Discussion and Analysis of Financial Condition and Results of Operations — Liquidity and Capital Resources” in this Quarterly Report.</w:t>
      </w:r>
    </w:p>
    <w:p>
      <w:pPr>
        <w:spacing w:after="0" w:line="170" w:lineRule="exact"/>
        <w:rPr>
          <w:sz w:val="20"/>
          <w:szCs w:val="20"/>
          <w:color w:val="auto"/>
        </w:rPr>
      </w:pPr>
    </w:p>
    <w:p>
      <w:pPr>
        <w:spacing w:after="0" w:line="340" w:lineRule="auto"/>
        <w:rPr>
          <w:sz w:val="20"/>
          <w:szCs w:val="20"/>
          <w:color w:val="auto"/>
        </w:rPr>
      </w:pPr>
      <w:r>
        <w:rPr>
          <w:rFonts w:ascii="Arial" w:cs="Arial" w:eastAsia="Arial" w:hAnsi="Arial"/>
          <w:sz w:val="15"/>
          <w:szCs w:val="15"/>
          <w:b w:val="1"/>
          <w:bCs w:val="1"/>
          <w:i w:val="1"/>
          <w:iCs w:val="1"/>
          <w:color w:val="231F20"/>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for disputes with us or with our directors, officers or employees and may discourage stockholders from bringing such claims.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231F20"/>
        </w:rPr>
        <w:t>Under our current bylaws, unless we consent in writing to the selection of an alternative forum, the sole and exclusive forum will be a state court within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231F20"/>
        </w:rPr>
        <w:t>State of Delaware (or, if no state court located within the State of Delaware has jurisdiction, the federal district court for the District of Delaware) for:</w:t>
      </w:r>
    </w:p>
    <w:p>
      <w:pPr>
        <w:spacing w:after="0" w:line="114"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231F20"/>
        </w:rPr>
      </w:pPr>
      <w:r>
        <w:rPr>
          <w:rFonts w:ascii="Arial" w:cs="Arial" w:eastAsia="Arial" w:hAnsi="Arial"/>
          <w:sz w:val="18"/>
          <w:szCs w:val="18"/>
          <w:color w:val="231F20"/>
        </w:rPr>
        <w:t>any derivative action or proceeding brought on our behalf;</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43"/>
        </w:numPr>
        <w:rPr>
          <w:rFonts w:ascii="Arial" w:cs="Arial" w:eastAsia="Arial" w:hAnsi="Arial"/>
          <w:sz w:val="17"/>
          <w:szCs w:val="17"/>
          <w:color w:val="231F20"/>
        </w:rPr>
      </w:pPr>
      <w:r>
        <w:rPr>
          <w:rFonts w:ascii="Arial" w:cs="Arial" w:eastAsia="Arial" w:hAnsi="Arial"/>
          <w:sz w:val="17"/>
          <w:szCs w:val="17"/>
          <w:color w:val="231F20"/>
        </w:rPr>
        <w:t>any action asserting a claim of breach of a fiduciary duty owed by any of our directors, officers or employees to us or our stockholders;</w:t>
      </w:r>
    </w:p>
    <w:p>
      <w:pPr>
        <w:spacing w:after="0" w:line="128" w:lineRule="exact"/>
        <w:rPr>
          <w:rFonts w:ascii="Arial" w:cs="Arial" w:eastAsia="Arial" w:hAnsi="Arial"/>
          <w:sz w:val="17"/>
          <w:szCs w:val="17"/>
          <w:color w:val="231F20"/>
        </w:rPr>
      </w:pPr>
    </w:p>
    <w:p>
      <w:pPr>
        <w:ind w:left="660" w:right="80" w:hanging="328"/>
        <w:spacing w:after="0" w:line="308" w:lineRule="auto"/>
        <w:tabs>
          <w:tab w:leader="none" w:pos="655" w:val="left"/>
        </w:tabs>
        <w:numPr>
          <w:ilvl w:val="0"/>
          <w:numId w:val="43"/>
        </w:numPr>
        <w:rPr>
          <w:rFonts w:ascii="Arial" w:cs="Arial" w:eastAsia="Arial" w:hAnsi="Arial"/>
          <w:sz w:val="17"/>
          <w:szCs w:val="17"/>
          <w:color w:val="231F20"/>
        </w:rPr>
      </w:pPr>
      <w:r>
        <w:rPr>
          <w:rFonts w:ascii="Arial" w:cs="Arial" w:eastAsia="Arial" w:hAnsi="Arial"/>
          <w:sz w:val="17"/>
          <w:szCs w:val="17"/>
          <w:color w:val="231F20"/>
        </w:rPr>
        <w:t>any action asserting a claim against us or any of our directors or officers or other employees arising pursuant to any provision of the DGCL or our certificate of incorporation or bylaws (as either may be amended, restated, modified, supplemented or waived from time to time); or</w:t>
      </w:r>
    </w:p>
    <w:p>
      <w:pPr>
        <w:spacing w:after="0" w:line="38" w:lineRule="exact"/>
        <w:rPr>
          <w:rFonts w:ascii="Arial" w:cs="Arial" w:eastAsia="Arial" w:hAnsi="Arial"/>
          <w:sz w:val="17"/>
          <w:szCs w:val="17"/>
          <w:color w:val="231F20"/>
        </w:rPr>
      </w:pPr>
    </w:p>
    <w:p>
      <w:pPr>
        <w:ind w:left="660" w:hanging="328"/>
        <w:spacing w:after="0"/>
        <w:tabs>
          <w:tab w:leader="none" w:pos="660" w:val="left"/>
        </w:tabs>
        <w:numPr>
          <w:ilvl w:val="0"/>
          <w:numId w:val="43"/>
        </w:numPr>
        <w:rPr>
          <w:rFonts w:ascii="Arial" w:cs="Arial" w:eastAsia="Arial" w:hAnsi="Arial"/>
          <w:sz w:val="17"/>
          <w:szCs w:val="17"/>
          <w:color w:val="231F20"/>
        </w:rPr>
      </w:pPr>
      <w:r>
        <w:rPr>
          <w:rFonts w:ascii="Arial" w:cs="Arial" w:eastAsia="Arial" w:hAnsi="Arial"/>
          <w:sz w:val="17"/>
          <w:szCs w:val="17"/>
          <w:color w:val="231F20"/>
        </w:rPr>
        <w:t>any action asserting a claim against us or any of our directors or officers or other employees governed by the internal affairs doctrine.</w:t>
      </w:r>
    </w:p>
    <w:p>
      <w:pPr>
        <w:spacing w:after="0" w:line="23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231F20"/>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w:t>
      </w:r>
    </w:p>
    <w:p>
      <w:pPr>
        <w:spacing w:after="0" w:line="16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231F20"/>
        </w:rPr>
        <w:t>Some provisions of Delaware law and our current certificate of incorporation and our current bylaws may deter third parties from acquiring us and diminish the value of our common stock and the 2026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231F20"/>
        </w:rPr>
        <w:t>Our current certificate of incorporation and our current bylaws provide for, among other things:</w:t>
      </w:r>
    </w:p>
    <w:p>
      <w:pPr>
        <w:spacing w:after="0" w:line="117" w:lineRule="exact"/>
        <w:rPr>
          <w:sz w:val="20"/>
          <w:szCs w:val="20"/>
          <w:color w:val="auto"/>
        </w:rPr>
      </w:pPr>
    </w:p>
    <w:p>
      <w:pPr>
        <w:ind w:left="660" w:right="560" w:hanging="328"/>
        <w:spacing w:after="0" w:line="277" w:lineRule="auto"/>
        <w:tabs>
          <w:tab w:leader="none" w:pos="655" w:val="left"/>
        </w:tabs>
        <w:numPr>
          <w:ilvl w:val="0"/>
          <w:numId w:val="44"/>
        </w:numPr>
        <w:rPr>
          <w:rFonts w:ascii="Arial" w:cs="Arial" w:eastAsia="Arial" w:hAnsi="Arial"/>
          <w:sz w:val="18"/>
          <w:szCs w:val="18"/>
          <w:color w:val="231F20"/>
        </w:rPr>
      </w:pPr>
      <w:r>
        <w:rPr>
          <w:rFonts w:ascii="Arial" w:cs="Arial" w:eastAsia="Arial" w:hAnsi="Arial"/>
          <w:sz w:val="18"/>
          <w:szCs w:val="18"/>
          <w:color w:val="231F20"/>
        </w:rPr>
        <w:t>the ability of our Board to issue one or more series of preferred stock with voting or other rights or preferences that could have the effect of impeding the success of an attempt to acquire us or otherwise effect a change in control;</w:t>
      </w:r>
    </w:p>
    <w:p>
      <w:pPr>
        <w:spacing w:after="0" w:line="62" w:lineRule="exact"/>
        <w:rPr>
          <w:rFonts w:ascii="Arial" w:cs="Arial" w:eastAsia="Arial" w:hAnsi="Arial"/>
          <w:sz w:val="18"/>
          <w:szCs w:val="18"/>
          <w:color w:val="231F20"/>
        </w:rPr>
      </w:pPr>
    </w:p>
    <w:p>
      <w:pPr>
        <w:ind w:left="660" w:right="200" w:hanging="328"/>
        <w:spacing w:after="0" w:line="277" w:lineRule="auto"/>
        <w:tabs>
          <w:tab w:leader="none" w:pos="655" w:val="left"/>
        </w:tabs>
        <w:numPr>
          <w:ilvl w:val="0"/>
          <w:numId w:val="44"/>
        </w:numPr>
        <w:rPr>
          <w:rFonts w:ascii="Arial" w:cs="Arial" w:eastAsia="Arial" w:hAnsi="Arial"/>
          <w:sz w:val="18"/>
          <w:szCs w:val="18"/>
          <w:color w:val="231F20"/>
        </w:rPr>
      </w:pPr>
      <w:r>
        <w:rPr>
          <w:rFonts w:ascii="Arial" w:cs="Arial" w:eastAsia="Arial" w:hAnsi="Arial"/>
          <w:sz w:val="18"/>
          <w:szCs w:val="18"/>
          <w:color w:val="231F20"/>
        </w:rPr>
        <w:t>subject to the Investor Rights Agreement, advance notice for nominations of directors by stockholders and for stockholders to include matters to be considered at stockholder meetings; and</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44"/>
        </w:numPr>
        <w:rPr>
          <w:rFonts w:ascii="Arial" w:cs="Arial" w:eastAsia="Arial" w:hAnsi="Arial"/>
          <w:sz w:val="18"/>
          <w:szCs w:val="18"/>
          <w:color w:val="231F20"/>
        </w:rPr>
      </w:pPr>
      <w:r>
        <w:rPr>
          <w:rFonts w:ascii="Arial" w:cs="Arial" w:eastAsia="Arial" w:hAnsi="Arial"/>
          <w:sz w:val="18"/>
          <w:szCs w:val="18"/>
          <w:color w:val="231F20"/>
        </w:rPr>
        <w:t>certain limitations on convening special stockholder meetings.</w:t>
      </w:r>
    </w:p>
    <w:p>
      <w:pPr>
        <w:spacing w:after="0" w:line="22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231F20"/>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76" w:lineRule="exact"/>
        <w:rPr>
          <w:sz w:val="20"/>
          <w:szCs w:val="20"/>
          <w:color w:val="auto"/>
        </w:rPr>
      </w:pPr>
    </w:p>
    <w:p>
      <w:pPr>
        <w:ind w:left="660" w:right="220" w:hanging="328"/>
        <w:spacing w:after="0" w:line="277" w:lineRule="auto"/>
        <w:tabs>
          <w:tab w:leader="none" w:pos="655"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prior to such time, the Board approved either the business combination or the transaction that resulted in the stockholder becoming an interested stockholder;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94" w:name="page95"/>
    <w:bookmarkEnd w:id="94"/>
    <w:p>
      <w:pPr>
        <w:ind w:left="660" w:right="320" w:hanging="328"/>
        <w:spacing w:after="0" w:line="277" w:lineRule="auto"/>
        <w:tabs>
          <w:tab w:leader="none" w:pos="655"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62"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231F20"/>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spacing w:after="0" w:line="18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231F20"/>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spacing w:after="0" w:line="17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231F20"/>
        </w:rPr>
        <w:t>These provisions in our current certificate of incorporation and our current bylaws, as well as Delaware law, may discourage, delay or prevent a transaction involving a change in our control that is in the best interest of our minority stockholders. Even in the absence of a takeover attempt, the existence of these provisions may adversely affect the prevailing market price of our common stock or the trading price of the 2026 Notes if they are viewed as discouraging future takeover attempts. These provisions could also make it more difficult for stockholders to nominate directors for election to our Board and take other corporate actions, which could also affect the price investors are willing to pay for our common stock or the 2026 Notes.</w:t>
      </w:r>
    </w:p>
    <w:p>
      <w:pPr>
        <w:spacing w:after="0" w:line="161" w:lineRule="exact"/>
        <w:rPr>
          <w:sz w:val="20"/>
          <w:szCs w:val="20"/>
          <w:color w:val="auto"/>
        </w:rPr>
      </w:pPr>
    </w:p>
    <w:p>
      <w:pPr>
        <w:jc w:val="both"/>
        <w:ind w:right="920"/>
        <w:spacing w:after="0" w:line="381" w:lineRule="auto"/>
        <w:rPr>
          <w:sz w:val="20"/>
          <w:szCs w:val="20"/>
          <w:color w:val="auto"/>
        </w:rPr>
      </w:pPr>
      <w:r>
        <w:rPr>
          <w:rFonts w:ascii="Arial" w:cs="Arial" w:eastAsia="Arial" w:hAnsi="Arial"/>
          <w:sz w:val="15"/>
          <w:szCs w:val="15"/>
          <w:b w:val="1"/>
          <w:bCs w:val="1"/>
          <w:i w:val="1"/>
          <w:iCs w:val="1"/>
          <w:color w:val="231F20"/>
        </w:rPr>
        <w:t>Securities or industry analysts may not publish or cease publishing research or reports about us, our business, our market, or change their recommendations regarding our common stock adversely, which could cause the price and trading volume of our common stock to decline.</w:t>
      </w:r>
    </w:p>
    <w:p>
      <w:pPr>
        <w:spacing w:after="0" w:line="10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231F20"/>
        </w:rPr>
        <w:t>The trading market for our common stock can be influenced by the research and reports that industry or securities analysts may publish about us, our business and operations, our market, or our competitors. Similarly, if any of the analysts who do cover us change their recommendation regarding our stock adversely, or provide more favorable relative recommendations about our competitors, the price of our common stock may decline. If any analyst who covers us were to cease coverage of us or fail to regularly publish reports on us, we could lose visibility in the financial markets, which could cause our stock price or trading volume to decline.</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exhibits listed on the Exhibit Index to this Form 10-Q are filed herewith or incorporated by reference herein: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940" w:type="dxa"/>
            <w:vAlign w:val="bottom"/>
            <w:gridSpan w:val="3"/>
          </w:tcPr>
          <w:p>
            <w:pPr>
              <w:ind w:left="680"/>
              <w:spacing w:after="0"/>
              <w:rPr>
                <w:sz w:val="20"/>
                <w:szCs w:val="20"/>
                <w:color w:val="auto"/>
              </w:rPr>
            </w:pPr>
            <w:r>
              <w:rPr>
                <w:rFonts w:ascii="Arial" w:cs="Arial" w:eastAsia="Arial" w:hAnsi="Arial"/>
                <w:sz w:val="14"/>
                <w:szCs w:val="14"/>
                <w:b w:val="1"/>
                <w:bCs w:val="1"/>
                <w:color w:val="auto"/>
              </w:rPr>
              <w:t>Incorporation by Reference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9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5860" w:type="dxa"/>
            <w:vAlign w:val="bottom"/>
            <w:gridSpan w:val="9"/>
            <w:vMerge w:val="restart"/>
          </w:tcPr>
          <w:p>
            <w:pPr>
              <w:ind w:left="2320"/>
              <w:spacing w:after="0"/>
              <w:rPr>
                <w:sz w:val="20"/>
                <w:szCs w:val="20"/>
                <w:color w:val="auto"/>
              </w:rPr>
            </w:pPr>
            <w:r>
              <w:rPr>
                <w:rFonts w:ascii="Arial" w:cs="Arial" w:eastAsia="Arial" w:hAnsi="Arial"/>
                <w:sz w:val="14"/>
                <w:szCs w:val="14"/>
                <w:b w:val="1"/>
                <w:bCs w:val="1"/>
                <w:color w:val="auto"/>
              </w:rPr>
              <w:t>Exhibit Description</w:t>
            </w:r>
          </w:p>
        </w:tc>
        <w:tc>
          <w:tcPr>
            <w:tcW w:w="6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Form</w:t>
            </w:r>
          </w:p>
        </w:tc>
        <w:tc>
          <w:tcPr>
            <w:tcW w:w="1060" w:type="dxa"/>
            <w:vAlign w:val="bottom"/>
          </w:tcPr>
          <w:p>
            <w:pPr>
              <w:jc w:val="center"/>
              <w:ind w:right="108"/>
              <w:spacing w:after="0" w:line="129" w:lineRule="exact"/>
              <w:rPr>
                <w:sz w:val="20"/>
                <w:szCs w:val="20"/>
                <w:color w:val="auto"/>
              </w:rPr>
            </w:pPr>
            <w:r>
              <w:rPr>
                <w:rFonts w:ascii="Arial" w:cs="Arial" w:eastAsia="Arial" w:hAnsi="Arial"/>
                <w:sz w:val="14"/>
                <w:szCs w:val="14"/>
                <w:b w:val="1"/>
                <w:bCs w:val="1"/>
                <w:color w:val="auto"/>
                <w:w w:val="99"/>
              </w:rPr>
              <w:t>File</w:t>
            </w:r>
          </w:p>
        </w:tc>
        <w:tc>
          <w:tcPr>
            <w:tcW w:w="9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Filing</w:t>
            </w:r>
          </w:p>
        </w:tc>
        <w:tc>
          <w:tcPr>
            <w:tcW w:w="900" w:type="dxa"/>
            <w:vAlign w:val="bottom"/>
          </w:tcPr>
          <w:p>
            <w:pPr>
              <w:jc w:val="center"/>
              <w:ind w:left="128"/>
              <w:spacing w:after="0" w:line="129" w:lineRule="exact"/>
              <w:rPr>
                <w:sz w:val="20"/>
                <w:szCs w:val="20"/>
                <w:color w:val="auto"/>
              </w:rPr>
            </w:pPr>
            <w:r>
              <w:rPr>
                <w:rFonts w:ascii="Arial" w:cs="Arial" w:eastAsia="Arial" w:hAnsi="Arial"/>
                <w:sz w:val="14"/>
                <w:szCs w:val="14"/>
                <w:b w:val="1"/>
                <w:bCs w:val="1"/>
                <w:color w:val="auto"/>
                <w:w w:val="98"/>
              </w:rPr>
              <w:t>Exhibit</w:t>
            </w: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97"/>
        </w:trPr>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7"/>
                <w:szCs w:val="17"/>
                <w:color w:val="auto"/>
              </w:rPr>
            </w:pPr>
          </w:p>
        </w:tc>
        <w:tc>
          <w:tcPr>
            <w:tcW w:w="5860" w:type="dxa"/>
            <w:vAlign w:val="bottom"/>
            <w:gridSpan w:val="9"/>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06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Number</w:t>
            </w:r>
          </w:p>
        </w:tc>
        <w:tc>
          <w:tcPr>
            <w:tcW w:w="980" w:type="dxa"/>
            <w:vAlign w:val="bottom"/>
          </w:tcPr>
          <w:p>
            <w:pPr>
              <w:jc w:val="center"/>
              <w:ind w:left="8"/>
              <w:spacing w:after="0"/>
              <w:rPr>
                <w:sz w:val="20"/>
                <w:szCs w:val="20"/>
                <w:color w:val="auto"/>
              </w:rPr>
            </w:pPr>
            <w:r>
              <w:rPr>
                <w:rFonts w:ascii="Arial" w:cs="Arial" w:eastAsia="Arial" w:hAnsi="Arial"/>
                <w:sz w:val="14"/>
                <w:szCs w:val="14"/>
                <w:b w:val="1"/>
                <w:bCs w:val="1"/>
                <w:color w:val="auto"/>
                <w:w w:val="98"/>
              </w:rPr>
              <w:t>Date</w:t>
            </w:r>
          </w:p>
        </w:tc>
        <w:tc>
          <w:tcPr>
            <w:tcW w:w="900" w:type="dxa"/>
            <w:vAlign w:val="bottom"/>
          </w:tcPr>
          <w:p>
            <w:pPr>
              <w:jc w:val="center"/>
              <w:ind w:left="128"/>
              <w:spacing w:after="0"/>
              <w:rPr>
                <w:sz w:val="20"/>
                <w:szCs w:val="20"/>
                <w:color w:val="auto"/>
              </w:rPr>
            </w:pPr>
            <w:r>
              <w:rPr>
                <w:rFonts w:ascii="Arial" w:cs="Arial" w:eastAsia="Arial" w:hAnsi="Arial"/>
                <w:sz w:val="14"/>
                <w:szCs w:val="14"/>
                <w:b w:val="1"/>
                <w:bCs w:val="1"/>
                <w:color w:val="auto"/>
                <w:w w:val="94"/>
              </w:rPr>
              <w:t>Number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29"/>
        </w:trPr>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86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0000FF"/>
                <w:w w:val="95"/>
              </w:rPr>
              <w:t>Lease and Option to Purchase between Pinal County, as landlord, and Lucid</w:t>
            </w:r>
          </w:p>
        </w:tc>
        <w:tc>
          <w:tcPr>
            <w:tcW w:w="6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6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89"/>
              </w:rPr>
              <w:t>USA, Inc., as tenant, dated August 10, 2022</w:t>
            </w:r>
          </w:p>
        </w:tc>
        <w:tc>
          <w:tcPr>
            <w:tcW w:w="2300" w:type="dxa"/>
            <w:vAlign w:val="bottom"/>
            <w:tcBorders>
              <w:top w:val="single" w:sz="8" w:color="0000FF"/>
            </w:tcBorders>
            <w:gridSpan w:val="3"/>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8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9"/>
          </w:tcPr>
          <w:p>
            <w:pPr>
              <w:spacing w:after="0"/>
              <w:rPr>
                <w:sz w:val="20"/>
                <w:szCs w:val="20"/>
                <w:color w:val="auto"/>
              </w:rPr>
            </w:pPr>
            <w:r>
              <w:rPr>
                <w:rFonts w:ascii="Arial" w:cs="Arial" w:eastAsia="Arial" w:hAnsi="Arial"/>
                <w:sz w:val="18"/>
                <w:szCs w:val="18"/>
                <w:color w:val="0000FF"/>
                <w:w w:val="93"/>
              </w:rPr>
              <w:t>Certification of Principal Executive Officer Required Under Rule 13a-14(a) and</w:t>
            </w: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40" w:type="dxa"/>
            <w:vAlign w:val="bottom"/>
            <w:tcBorders>
              <w:top w:val="single" w:sz="8" w:color="0000FF"/>
            </w:tcBorders>
            <w:gridSpan w:val="7"/>
          </w:tcPr>
          <w:p>
            <w:pPr>
              <w:spacing w:after="0" w:line="156" w:lineRule="exact"/>
              <w:rPr>
                <w:sz w:val="20"/>
                <w:szCs w:val="20"/>
                <w:color w:val="auto"/>
              </w:rPr>
            </w:pPr>
            <w:r>
              <w:rPr>
                <w:rFonts w:ascii="Arial" w:cs="Arial" w:eastAsia="Arial" w:hAnsi="Arial"/>
                <w:sz w:val="18"/>
                <w:szCs w:val="18"/>
                <w:color w:val="0000FF"/>
              </w:rPr>
              <w:t>15d-14(a) of the Securities Exchange Act of 1934, as amended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9"/>
          </w:tcPr>
          <w:p>
            <w:pPr>
              <w:spacing w:after="0"/>
              <w:rPr>
                <w:sz w:val="20"/>
                <w:szCs w:val="20"/>
                <w:color w:val="auto"/>
              </w:rPr>
            </w:pPr>
            <w:r>
              <w:rPr>
                <w:rFonts w:ascii="Arial" w:cs="Arial" w:eastAsia="Arial" w:hAnsi="Arial"/>
                <w:sz w:val="18"/>
                <w:szCs w:val="18"/>
                <w:color w:val="0000FF"/>
                <w:w w:val="94"/>
              </w:rPr>
              <w:t>Certification of Principal Financial Officer Required Under Rule 13a-14(a) and</w:t>
            </w: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Borders>
              <w:top w:val="single" w:sz="8" w:color="0000FF"/>
            </w:tcBorders>
            <w:gridSpan w:val="5"/>
          </w:tcPr>
          <w:p>
            <w:pPr>
              <w:spacing w:after="0" w:line="156" w:lineRule="exact"/>
              <w:rPr>
                <w:sz w:val="20"/>
                <w:szCs w:val="20"/>
                <w:color w:val="auto"/>
              </w:rPr>
            </w:pPr>
            <w:r>
              <w:rPr>
                <w:rFonts w:ascii="Arial" w:cs="Arial" w:eastAsia="Arial" w:hAnsi="Arial"/>
                <w:sz w:val="18"/>
                <w:szCs w:val="18"/>
                <w:color w:val="0000FF"/>
              </w:rPr>
              <w:t>15d-14(a) of the Securities Exchange Act of 1934, as amended</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9"/>
          </w:tcPr>
          <w:p>
            <w:pPr>
              <w:spacing w:after="0"/>
              <w:rPr>
                <w:sz w:val="20"/>
                <w:szCs w:val="20"/>
                <w:color w:val="auto"/>
              </w:rPr>
            </w:pPr>
            <w:r>
              <w:rPr>
                <w:rFonts w:ascii="Arial" w:cs="Arial" w:eastAsia="Arial" w:hAnsi="Arial"/>
                <w:sz w:val="18"/>
                <w:szCs w:val="18"/>
                <w:color w:val="0000FF"/>
                <w:w w:val="93"/>
              </w:rPr>
              <w:t>Certification of Principal Executive Officer pursuant to 18 U.S.C. Section 1350,</w:t>
            </w: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rPr>
              <w:t>as adopted pursuant to Section 906 of the Sarbanes-Oxley Act of 2002</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3"/>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9"/>
          </w:tcPr>
          <w:p>
            <w:pPr>
              <w:spacing w:after="0"/>
              <w:rPr>
                <w:sz w:val="20"/>
                <w:szCs w:val="20"/>
                <w:color w:val="auto"/>
              </w:rPr>
            </w:pPr>
            <w:r>
              <w:rPr>
                <w:rFonts w:ascii="Arial" w:cs="Arial" w:eastAsia="Arial" w:hAnsi="Arial"/>
                <w:sz w:val="18"/>
                <w:szCs w:val="18"/>
                <w:color w:val="0000FF"/>
                <w:w w:val="94"/>
              </w:rPr>
              <w:t>Certification of Principal Financial Officer pursuant to 18 U.S.C. Section 1350,</w:t>
            </w: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rPr>
              <w:t>as adopted pursuant to Section 906 of the Sarbanes-Oxley Act of 2002</w:t>
            </w:r>
          </w:p>
        </w:tc>
        <w:tc>
          <w:tcPr>
            <w:tcW w:w="14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3"/>
            <w:shd w:val="clear" w:color="auto" w:fill="0000FF"/>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22"/>
                <w:szCs w:val="22"/>
                <w:color w:val="auto"/>
              </w:rPr>
            </w:pPr>
          </w:p>
        </w:tc>
        <w:tc>
          <w:tcPr>
            <w:tcW w:w="5860" w:type="dxa"/>
            <w:vAlign w:val="bottom"/>
            <w:gridSpan w:val="9"/>
          </w:tcPr>
          <w:p>
            <w:pPr>
              <w:spacing w:after="0"/>
              <w:rPr>
                <w:sz w:val="20"/>
                <w:szCs w:val="20"/>
                <w:color w:val="auto"/>
              </w:rPr>
            </w:pPr>
            <w:r>
              <w:rPr>
                <w:rFonts w:ascii="Arial" w:cs="Arial" w:eastAsia="Arial" w:hAnsi="Arial"/>
                <w:sz w:val="18"/>
                <w:szCs w:val="18"/>
                <w:color w:val="auto"/>
                <w:w w:val="92"/>
              </w:rPr>
              <w:t>Inline XBRL Instance Document (the instance document does not appear in the</w:t>
            </w:r>
          </w:p>
        </w:tc>
        <w:tc>
          <w:tcPr>
            <w:tcW w:w="6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8"/>
        </w:trPr>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60" w:type="dxa"/>
            <w:vAlign w:val="bottom"/>
            <w:gridSpan w:val="9"/>
          </w:tcPr>
          <w:p>
            <w:pPr>
              <w:spacing w:after="0" w:line="189" w:lineRule="exact"/>
              <w:rPr>
                <w:sz w:val="20"/>
                <w:szCs w:val="20"/>
                <w:color w:val="auto"/>
              </w:rPr>
            </w:pPr>
            <w:r>
              <w:rPr>
                <w:rFonts w:ascii="Arial" w:cs="Arial" w:eastAsia="Arial" w:hAnsi="Arial"/>
                <w:sz w:val="18"/>
                <w:szCs w:val="18"/>
                <w:color w:val="auto"/>
                <w:w w:val="97"/>
              </w:rPr>
              <w:t>Interactive Data File because its XBRL tags are embedded within the Inline</w:t>
            </w:r>
          </w:p>
        </w:tc>
        <w:tc>
          <w:tcPr>
            <w:tcW w:w="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60" w:type="dxa"/>
            <w:vAlign w:val="bottom"/>
            <w:gridSpan w:val="9"/>
          </w:tcPr>
          <w:p>
            <w:pPr>
              <w:spacing w:after="0"/>
              <w:rPr>
                <w:sz w:val="20"/>
                <w:szCs w:val="20"/>
                <w:color w:val="auto"/>
              </w:rPr>
            </w:pPr>
            <w:r>
              <w:rPr>
                <w:rFonts w:ascii="Arial" w:cs="Arial" w:eastAsia="Arial" w:hAnsi="Arial"/>
                <w:sz w:val="18"/>
                <w:szCs w:val="18"/>
                <w:color w:val="auto"/>
              </w:rPr>
              <w:t>XBRL document)</w:t>
            </w: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101.SCH</w:t>
            </w:r>
          </w:p>
        </w:tc>
        <w:tc>
          <w:tcPr>
            <w:tcW w:w="20" w:type="dxa"/>
            <w:vAlign w:val="bottom"/>
          </w:tcPr>
          <w:p>
            <w:pPr>
              <w:spacing w:after="0"/>
              <w:rPr>
                <w:sz w:val="24"/>
                <w:szCs w:val="24"/>
                <w:color w:val="auto"/>
              </w:rPr>
            </w:pPr>
          </w:p>
        </w:tc>
        <w:tc>
          <w:tcPr>
            <w:tcW w:w="5860" w:type="dxa"/>
            <w:vAlign w:val="bottom"/>
            <w:gridSpan w:val="9"/>
          </w:tcPr>
          <w:p>
            <w:pPr>
              <w:spacing w:after="0"/>
              <w:rPr>
                <w:sz w:val="20"/>
                <w:szCs w:val="20"/>
                <w:color w:val="auto"/>
              </w:rPr>
            </w:pPr>
            <w:r>
              <w:rPr>
                <w:rFonts w:ascii="Arial" w:cs="Arial" w:eastAsia="Arial" w:hAnsi="Arial"/>
                <w:sz w:val="18"/>
                <w:szCs w:val="18"/>
                <w:color w:val="auto"/>
              </w:rPr>
              <w:t>Inline XBRL Taxonomy Schema Linkbase Document</w:t>
            </w: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83"/>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24"/>
                <w:szCs w:val="24"/>
                <w:color w:val="auto"/>
              </w:rPr>
            </w:pPr>
          </w:p>
        </w:tc>
        <w:tc>
          <w:tcPr>
            <w:tcW w:w="5860" w:type="dxa"/>
            <w:vAlign w:val="bottom"/>
            <w:gridSpan w:val="9"/>
          </w:tcPr>
          <w:p>
            <w:pPr>
              <w:spacing w:after="0"/>
              <w:rPr>
                <w:sz w:val="20"/>
                <w:szCs w:val="20"/>
                <w:color w:val="auto"/>
              </w:rPr>
            </w:pPr>
            <w:r>
              <w:rPr>
                <w:rFonts w:ascii="Arial" w:cs="Arial" w:eastAsia="Arial" w:hAnsi="Arial"/>
                <w:sz w:val="18"/>
                <w:szCs w:val="18"/>
                <w:color w:val="auto"/>
              </w:rPr>
              <w:t>Inline XBRL Taxonomy Calculation Linkbase Document</w:t>
            </w: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83"/>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101.DEF</w:t>
            </w:r>
          </w:p>
        </w:tc>
        <w:tc>
          <w:tcPr>
            <w:tcW w:w="20" w:type="dxa"/>
            <w:vAlign w:val="bottom"/>
          </w:tcPr>
          <w:p>
            <w:pPr>
              <w:spacing w:after="0"/>
              <w:rPr>
                <w:sz w:val="24"/>
                <w:szCs w:val="24"/>
                <w:color w:val="auto"/>
              </w:rPr>
            </w:pPr>
          </w:p>
        </w:tc>
        <w:tc>
          <w:tcPr>
            <w:tcW w:w="5860" w:type="dxa"/>
            <w:vAlign w:val="bottom"/>
            <w:gridSpan w:val="9"/>
          </w:tcPr>
          <w:p>
            <w:pPr>
              <w:spacing w:after="0"/>
              <w:rPr>
                <w:sz w:val="20"/>
                <w:szCs w:val="20"/>
                <w:color w:val="auto"/>
              </w:rPr>
            </w:pPr>
            <w:r>
              <w:rPr>
                <w:rFonts w:ascii="Arial" w:cs="Arial" w:eastAsia="Arial" w:hAnsi="Arial"/>
                <w:sz w:val="18"/>
                <w:szCs w:val="18"/>
                <w:color w:val="auto"/>
              </w:rPr>
              <w:t>Inline XBRL Taxonomy Definition Linkbase Document</w:t>
            </w: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83"/>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4"/>
                <w:szCs w:val="24"/>
                <w:color w:val="auto"/>
              </w:rPr>
            </w:pPr>
          </w:p>
        </w:tc>
        <w:tc>
          <w:tcPr>
            <w:tcW w:w="5860" w:type="dxa"/>
            <w:vAlign w:val="bottom"/>
            <w:gridSpan w:val="9"/>
          </w:tcPr>
          <w:p>
            <w:pPr>
              <w:spacing w:after="0"/>
              <w:rPr>
                <w:sz w:val="20"/>
                <w:szCs w:val="20"/>
                <w:color w:val="auto"/>
              </w:rPr>
            </w:pPr>
            <w:r>
              <w:rPr>
                <w:rFonts w:ascii="Arial" w:cs="Arial" w:eastAsia="Arial" w:hAnsi="Arial"/>
                <w:sz w:val="18"/>
                <w:szCs w:val="18"/>
                <w:color w:val="auto"/>
              </w:rPr>
              <w:t>Inline XBRL Taxonomy Labels Linkbase Document</w:t>
            </w: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83"/>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4"/>
                <w:szCs w:val="24"/>
                <w:color w:val="auto"/>
              </w:rPr>
            </w:pPr>
          </w:p>
        </w:tc>
        <w:tc>
          <w:tcPr>
            <w:tcW w:w="5860" w:type="dxa"/>
            <w:vAlign w:val="bottom"/>
            <w:gridSpan w:val="9"/>
          </w:tcPr>
          <w:p>
            <w:pPr>
              <w:spacing w:after="0"/>
              <w:rPr>
                <w:sz w:val="20"/>
                <w:szCs w:val="20"/>
                <w:color w:val="auto"/>
              </w:rPr>
            </w:pPr>
            <w:r>
              <w:rPr>
                <w:rFonts w:ascii="Arial" w:cs="Arial" w:eastAsia="Arial" w:hAnsi="Arial"/>
                <w:sz w:val="18"/>
                <w:szCs w:val="18"/>
                <w:color w:val="auto"/>
              </w:rPr>
              <w:t>Inline XBRL Taxonomy Presentation Linkbase Document</w:t>
            </w: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88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60" w:type="dxa"/>
            <w:vAlign w:val="bottom"/>
            <w:gridSpan w:val="9"/>
          </w:tcPr>
          <w:p>
            <w:pPr>
              <w:spacing w:after="0"/>
              <w:rPr>
                <w:sz w:val="20"/>
                <w:szCs w:val="20"/>
                <w:color w:val="auto"/>
              </w:rPr>
            </w:pPr>
            <w:r>
              <w:rPr>
                <w:rFonts w:ascii="Arial" w:cs="Arial" w:eastAsia="Arial" w:hAnsi="Arial"/>
                <w:sz w:val="18"/>
                <w:szCs w:val="18"/>
                <w:color w:val="auto"/>
                <w:w w:val="96"/>
              </w:rPr>
              <w:t>Cover Page Interactive Data File (formatted as inline XBRL and contained in</w:t>
            </w: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60" w:type="dxa"/>
            <w:vAlign w:val="bottom"/>
            <w:gridSpan w:val="9"/>
          </w:tcPr>
          <w:p>
            <w:pPr>
              <w:spacing w:after="0"/>
              <w:rPr>
                <w:sz w:val="20"/>
                <w:szCs w:val="20"/>
                <w:color w:val="auto"/>
              </w:rPr>
            </w:pPr>
            <w:r>
              <w:rPr>
                <w:rFonts w:ascii="Arial" w:cs="Arial" w:eastAsia="Arial" w:hAnsi="Arial"/>
                <w:sz w:val="18"/>
                <w:szCs w:val="18"/>
                <w:color w:val="auto"/>
              </w:rPr>
              <w:t>Exhibit 101)</w:t>
            </w: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7000" w:type="dxa"/>
            <w:vAlign w:val="bottom"/>
            <w:gridSpan w:val="2"/>
          </w:tcPr>
          <w:p>
            <w:pPr>
              <w:ind w:left="1420"/>
              <w:spacing w:after="0"/>
              <w:rPr>
                <w:sz w:val="20"/>
                <w:szCs w:val="20"/>
                <w:color w:val="auto"/>
              </w:rPr>
            </w:pPr>
            <w:r>
              <w:rPr>
                <w:rFonts w:ascii="Arial" w:cs="Arial" w:eastAsia="Arial" w:hAnsi="Arial"/>
                <w:sz w:val="18"/>
                <w:szCs w:val="18"/>
                <w:b w:val="1"/>
                <w:bCs w:val="1"/>
                <w:color w:val="auto"/>
              </w:rPr>
              <w:t>LUCID GROUP, INC.</w:t>
            </w:r>
          </w:p>
        </w:tc>
      </w:tr>
      <w:tr>
        <w:trPr>
          <w:trHeight w:val="486"/>
        </w:trPr>
        <w:tc>
          <w:tcPr>
            <w:tcW w:w="3200" w:type="dxa"/>
            <w:vAlign w:val="bottom"/>
          </w:tcPr>
          <w:p>
            <w:pPr>
              <w:spacing w:after="0"/>
              <w:rPr>
                <w:sz w:val="20"/>
                <w:szCs w:val="20"/>
                <w:color w:val="auto"/>
              </w:rPr>
            </w:pPr>
            <w:r>
              <w:rPr>
                <w:rFonts w:ascii="Arial" w:cs="Arial" w:eastAsia="Arial" w:hAnsi="Arial"/>
                <w:sz w:val="18"/>
                <w:szCs w:val="18"/>
                <w:color w:val="auto"/>
              </w:rPr>
              <w:t>Date: November 8, 2022</w:t>
            </w:r>
          </w:p>
        </w:tc>
        <w:tc>
          <w:tcPr>
            <w:tcW w:w="7000" w:type="dxa"/>
            <w:vAlign w:val="bottom"/>
            <w:gridSpan w:val="2"/>
          </w:tcPr>
          <w:p>
            <w:pPr>
              <w:ind w:left="1420"/>
              <w:spacing w:after="0"/>
              <w:rPr>
                <w:sz w:val="20"/>
                <w:szCs w:val="20"/>
                <w:color w:val="auto"/>
              </w:rPr>
            </w:pPr>
            <w:r>
              <w:rPr>
                <w:rFonts w:ascii="Arial" w:cs="Arial" w:eastAsia="Arial" w:hAnsi="Arial"/>
                <w:sz w:val="18"/>
                <w:szCs w:val="18"/>
                <w:color w:val="auto"/>
              </w:rPr>
              <w:t>By:  /s/ Sherry House</w:t>
            </w:r>
          </w:p>
        </w:tc>
      </w:tr>
      <w:tr>
        <w:trPr>
          <w:trHeight w:val="222"/>
        </w:trPr>
        <w:tc>
          <w:tcPr>
            <w:tcW w:w="3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Sherry House</w:t>
            </w:r>
          </w:p>
        </w:tc>
      </w:tr>
      <w:tr>
        <w:trPr>
          <w:trHeight w:val="230"/>
        </w:trPr>
        <w:tc>
          <w:tcPr>
            <w:tcW w:w="3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320" w:top="985" w:right="359"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LEASE AND OPTION TO PURCHASE</w:t>
      </w:r>
    </w:p>
    <w:p>
      <w:pPr>
        <w:spacing w:after="0" w:line="177" w:lineRule="exact"/>
        <w:rPr>
          <w:sz w:val="20"/>
          <w:szCs w:val="20"/>
          <w:color w:val="auto"/>
        </w:rPr>
      </w:pPr>
    </w:p>
    <w:p>
      <w:pPr>
        <w:jc w:val="both"/>
        <w:ind w:firstLine="648"/>
        <w:spacing w:after="0" w:line="206" w:lineRule="auto"/>
        <w:rPr>
          <w:sz w:val="20"/>
          <w:szCs w:val="20"/>
          <w:color w:val="auto"/>
        </w:rPr>
      </w:pPr>
      <w:r>
        <w:rPr>
          <w:rFonts w:ascii="Arial" w:cs="Arial" w:eastAsia="Arial" w:hAnsi="Arial"/>
          <w:sz w:val="22"/>
          <w:szCs w:val="22"/>
          <w:b w:val="1"/>
          <w:bCs w:val="1"/>
          <w:color w:val="auto"/>
        </w:rPr>
        <w:t xml:space="preserve">THIS LEASE AND OPTION TO PURCHASE </w:t>
      </w:r>
      <w:r>
        <w:rPr>
          <w:rFonts w:ascii="Arial" w:cs="Arial" w:eastAsia="Arial" w:hAnsi="Arial"/>
          <w:sz w:val="22"/>
          <w:szCs w:val="22"/>
          <w:color w:val="auto"/>
        </w:rPr>
        <w:t>(“</w:t>
      </w:r>
      <w:r>
        <w:rPr>
          <w:rFonts w:ascii="Arial" w:cs="Arial" w:eastAsia="Arial" w:hAnsi="Arial"/>
          <w:sz w:val="22"/>
          <w:szCs w:val="22"/>
          <w:b w:val="1"/>
          <w:bCs w:val="1"/>
          <w:color w:val="auto"/>
        </w:rPr>
        <w:t>Lease</w:t>
      </w:r>
      <w:r>
        <w:rPr>
          <w:rFonts w:ascii="Arial" w:cs="Arial" w:eastAsia="Arial" w:hAnsi="Arial"/>
          <w:sz w:val="22"/>
          <w:szCs w:val="22"/>
          <w:color w:val="auto"/>
        </w:rPr>
        <w:t>”) is entered into as of this 10</w:t>
      </w:r>
      <w:r>
        <w:rPr>
          <w:rFonts w:ascii="Arial" w:cs="Arial" w:eastAsia="Arial" w:hAnsi="Arial"/>
          <w:sz w:val="28"/>
          <w:szCs w:val="28"/>
          <w:color w:val="auto"/>
          <w:vertAlign w:val="superscript"/>
        </w:rPr>
        <w:t>th</w:t>
      </w:r>
      <w:r>
        <w:rPr>
          <w:rFonts w:ascii="Arial" w:cs="Arial" w:eastAsia="Arial" w:hAnsi="Arial"/>
          <w:sz w:val="22"/>
          <w:szCs w:val="22"/>
          <w:b w:val="1"/>
          <w:bCs w:val="1"/>
          <w:color w:val="auto"/>
        </w:rPr>
        <w:t xml:space="preserve"> </w:t>
      </w:r>
      <w:r>
        <w:rPr>
          <w:rFonts w:ascii="Arial" w:cs="Arial" w:eastAsia="Arial" w:hAnsi="Arial"/>
          <w:sz w:val="22"/>
          <w:szCs w:val="22"/>
          <w:color w:val="auto"/>
        </w:rPr>
        <w:t>day of August, 2022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xml:space="preserve">”), by and between </w:t>
      </w:r>
      <w:r>
        <w:rPr>
          <w:rFonts w:ascii="Arial" w:cs="Arial" w:eastAsia="Arial" w:hAnsi="Arial"/>
          <w:sz w:val="22"/>
          <w:szCs w:val="22"/>
          <w:b w:val="1"/>
          <w:bCs w:val="1"/>
          <w:color w:val="auto"/>
        </w:rPr>
        <w:t>PINAL COUNTY</w:t>
      </w:r>
      <w:r>
        <w:rPr>
          <w:rFonts w:ascii="Arial" w:cs="Arial" w:eastAsia="Arial" w:hAnsi="Arial"/>
          <w:sz w:val="22"/>
          <w:szCs w:val="22"/>
          <w:color w:val="auto"/>
        </w:rPr>
        <w:t>, an Arizona political subdivision (“</w:t>
      </w:r>
      <w:r>
        <w:rPr>
          <w:rFonts w:ascii="Arial" w:cs="Arial" w:eastAsia="Arial" w:hAnsi="Arial"/>
          <w:sz w:val="22"/>
          <w:szCs w:val="22"/>
          <w:b w:val="1"/>
          <w:bCs w:val="1"/>
          <w:color w:val="auto"/>
        </w:rPr>
        <w:t>Landlord</w:t>
      </w:r>
      <w:r>
        <w:rPr>
          <w:rFonts w:ascii="Arial" w:cs="Arial" w:eastAsia="Arial" w:hAnsi="Arial"/>
          <w:sz w:val="22"/>
          <w:szCs w:val="22"/>
          <w:color w:val="auto"/>
        </w:rPr>
        <w:t xml:space="preserve">”), and </w:t>
      </w:r>
      <w:r>
        <w:rPr>
          <w:rFonts w:ascii="Arial" w:cs="Arial" w:eastAsia="Arial" w:hAnsi="Arial"/>
          <w:sz w:val="22"/>
          <w:szCs w:val="22"/>
          <w:b w:val="1"/>
          <w:bCs w:val="1"/>
          <w:color w:val="auto"/>
        </w:rPr>
        <w:t>LUCID USA, INC.</w:t>
      </w:r>
      <w:r>
        <w:rPr>
          <w:rFonts w:ascii="Arial" w:cs="Arial" w:eastAsia="Arial" w:hAnsi="Arial"/>
          <w:sz w:val="22"/>
          <w:szCs w:val="22"/>
          <w:color w:val="auto"/>
        </w:rPr>
        <w:t>, a Delaware corporation (“</w:t>
      </w:r>
      <w:r>
        <w:rPr>
          <w:rFonts w:ascii="Arial" w:cs="Arial" w:eastAsia="Arial" w:hAnsi="Arial"/>
          <w:sz w:val="22"/>
          <w:szCs w:val="22"/>
          <w:b w:val="1"/>
          <w:bCs w:val="1"/>
          <w:color w:val="auto"/>
        </w:rPr>
        <w:t>Tenant</w:t>
      </w:r>
      <w:r>
        <w:rPr>
          <w:rFonts w:ascii="Arial" w:cs="Arial" w:eastAsia="Arial" w:hAnsi="Arial"/>
          <w:sz w:val="22"/>
          <w:szCs w:val="22"/>
          <w:color w:val="auto"/>
        </w:rPr>
        <w:t>,” Landlord and Tenant are sometimes referred to collectively as “</w:t>
      </w:r>
      <w:r>
        <w:rPr>
          <w:rFonts w:ascii="Arial" w:cs="Arial" w:eastAsia="Arial" w:hAnsi="Arial"/>
          <w:sz w:val="22"/>
          <w:szCs w:val="22"/>
          <w:b w:val="1"/>
          <w:bCs w:val="1"/>
          <w:color w:val="auto"/>
        </w:rPr>
        <w:t>Parties</w:t>
      </w:r>
      <w:r>
        <w:rPr>
          <w:rFonts w:ascii="Arial" w:cs="Arial" w:eastAsia="Arial" w:hAnsi="Arial"/>
          <w:sz w:val="22"/>
          <w:szCs w:val="22"/>
          <w:color w:val="auto"/>
        </w:rPr>
        <w:t>” and individually as a “</w:t>
      </w:r>
      <w:r>
        <w:rPr>
          <w:rFonts w:ascii="Arial" w:cs="Arial" w:eastAsia="Arial" w:hAnsi="Arial"/>
          <w:sz w:val="22"/>
          <w:szCs w:val="22"/>
          <w:b w:val="1"/>
          <w:bCs w:val="1"/>
          <w:color w:val="auto"/>
        </w:rPr>
        <w:t>Party</w:t>
      </w:r>
      <w:r>
        <w:rPr>
          <w:rFonts w:ascii="Arial" w:cs="Arial" w:eastAsia="Arial" w:hAnsi="Arial"/>
          <w:sz w:val="22"/>
          <w:szCs w:val="22"/>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85" w:lineRule="exact"/>
        <w:rPr>
          <w:sz w:val="20"/>
          <w:szCs w:val="20"/>
          <w:color w:val="auto"/>
        </w:rPr>
      </w:pPr>
    </w:p>
    <w:p>
      <w:pPr>
        <w:jc w:val="both"/>
        <w:ind w:firstLine="656"/>
        <w:spacing w:after="0" w:line="218" w:lineRule="auto"/>
        <w:tabs>
          <w:tab w:leader="none" w:pos="129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This Lease is entered into pursuant to that certain Development Agreement dated as of the Effective Date (the “</w:t>
      </w:r>
      <w:r>
        <w:rPr>
          <w:rFonts w:ascii="Arial" w:cs="Arial" w:eastAsia="Arial" w:hAnsi="Arial"/>
          <w:sz w:val="22"/>
          <w:szCs w:val="22"/>
          <w:b w:val="1"/>
          <w:bCs w:val="1"/>
          <w:color w:val="auto"/>
        </w:rPr>
        <w:t>Development Agreement</w:t>
      </w:r>
      <w:r>
        <w:rPr>
          <w:rFonts w:ascii="Arial" w:cs="Arial" w:eastAsia="Arial" w:hAnsi="Arial"/>
          <w:sz w:val="22"/>
          <w:szCs w:val="22"/>
          <w:color w:val="auto"/>
        </w:rPr>
        <w:t>”), among Landlord, the City of Casa Grande (“</w:t>
      </w:r>
      <w:r>
        <w:rPr>
          <w:rFonts w:ascii="Arial" w:cs="Arial" w:eastAsia="Arial" w:hAnsi="Arial"/>
          <w:sz w:val="22"/>
          <w:szCs w:val="22"/>
          <w:b w:val="1"/>
          <w:bCs w:val="1"/>
          <w:color w:val="auto"/>
        </w:rPr>
        <w:t>Casa Grande</w:t>
      </w:r>
      <w:r>
        <w:rPr>
          <w:rFonts w:ascii="Arial" w:cs="Arial" w:eastAsia="Arial" w:hAnsi="Arial"/>
          <w:sz w:val="22"/>
          <w:szCs w:val="22"/>
          <w:color w:val="auto"/>
        </w:rPr>
        <w:t>”) and Tenant to facilitate the development of the Project as defined in and more particularly described in the Development Agreement. This Lease is made in accordance with and subject to the provisions of the Development Agreement.</w:t>
      </w:r>
    </w:p>
    <w:p>
      <w:pPr>
        <w:spacing w:after="0" w:line="160" w:lineRule="exact"/>
        <w:rPr>
          <w:rFonts w:ascii="Arial" w:cs="Arial" w:eastAsia="Arial" w:hAnsi="Arial"/>
          <w:sz w:val="22"/>
          <w:szCs w:val="22"/>
          <w:color w:val="auto"/>
        </w:rPr>
      </w:pPr>
    </w:p>
    <w:p>
      <w:pPr>
        <w:jc w:val="both"/>
        <w:ind w:firstLine="656"/>
        <w:spacing w:after="0" w:line="223" w:lineRule="auto"/>
        <w:tabs>
          <w:tab w:leader="none" w:pos="1292" w:val="left"/>
        </w:tabs>
        <w:numPr>
          <w:ilvl w:val="0"/>
          <w:numId w:val="47"/>
        </w:numPr>
        <w:rPr>
          <w:rFonts w:ascii="Arial" w:cs="Arial" w:eastAsia="Arial" w:hAnsi="Arial"/>
          <w:sz w:val="22"/>
          <w:szCs w:val="22"/>
          <w:color w:val="auto"/>
        </w:rPr>
      </w:pPr>
      <w:r>
        <w:rPr>
          <w:rFonts w:ascii="Arial" w:cs="Arial" w:eastAsia="Arial" w:hAnsi="Arial"/>
          <w:sz w:val="22"/>
          <w:szCs w:val="22"/>
          <w:color w:val="auto"/>
        </w:rPr>
        <w:t xml:space="preserve">As contemplated in the Development Agreement, Landlord intends to acquire fee title to the parcels of land more particularly described in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attached hereto, together with any structures or improvements presently situated thereon or to be constructed thereon (the “</w:t>
      </w:r>
      <w:r>
        <w:rPr>
          <w:rFonts w:ascii="Arial" w:cs="Arial" w:eastAsia="Arial" w:hAnsi="Arial"/>
          <w:sz w:val="22"/>
          <w:szCs w:val="22"/>
          <w:b w:val="1"/>
          <w:bCs w:val="1"/>
          <w:color w:val="auto"/>
        </w:rPr>
        <w:t>Initial Premises</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656"/>
        <w:spacing w:after="0" w:line="216" w:lineRule="auto"/>
        <w:tabs>
          <w:tab w:leader="none" w:pos="1292"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This Lease (i) is for at least ninety percent (90%) of, but not more than, the appraised rental valuation of the Premises as determined by an appraisal dated June 15, 2022, and prepared by J. Douglas Estes, MAI, SR/WA (Land Pro Valuation), an experienced appraiser appointed pursuant to A.R.S. §11-256(B); and (ii) is for a term expiring less than four (4) years from the Commencement Date, and accordingly is exempt from the notice and auction requirements of A.R.S. §11-256(C) and (D) pursuant to A.R.S. §11-256(E).</w:t>
      </w:r>
    </w:p>
    <w:p>
      <w:pPr>
        <w:spacing w:after="0" w:line="157" w:lineRule="exact"/>
        <w:rPr>
          <w:rFonts w:ascii="Arial" w:cs="Arial" w:eastAsia="Arial" w:hAnsi="Arial"/>
          <w:sz w:val="22"/>
          <w:szCs w:val="22"/>
          <w:color w:val="auto"/>
        </w:rPr>
      </w:pPr>
    </w:p>
    <w:p>
      <w:pPr>
        <w:jc w:val="both"/>
        <w:ind w:firstLine="656"/>
        <w:spacing w:after="0" w:line="216" w:lineRule="auto"/>
        <w:tabs>
          <w:tab w:leader="none" w:pos="129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development of the Project and the fulfillment of this Lease will result in significant direct and indirect benefits accruing to Landlord and the general public. The Parties intend to promote economic development, by providing for the rental and development of the Premises, such that t</w:t>
      </w:r>
      <w:r>
        <w:rPr>
          <w:rFonts w:ascii="Arial" w:cs="Arial" w:eastAsia="Arial" w:hAnsi="Arial"/>
          <w:sz w:val="22"/>
          <w:szCs w:val="22"/>
          <w:color w:val="333333"/>
        </w:rPr>
        <w:t>he Pinal County Board of Supervisors has found and determined that this</w:t>
      </w:r>
      <w:r>
        <w:rPr>
          <w:rFonts w:ascii="Arial" w:cs="Arial" w:eastAsia="Arial" w:hAnsi="Arial"/>
          <w:sz w:val="22"/>
          <w:szCs w:val="22"/>
          <w:color w:val="auto"/>
        </w:rPr>
        <w:t xml:space="preserve"> </w:t>
      </w:r>
      <w:r>
        <w:rPr>
          <w:rFonts w:ascii="Arial" w:cs="Arial" w:eastAsia="Arial" w:hAnsi="Arial"/>
          <w:sz w:val="22"/>
          <w:szCs w:val="22"/>
          <w:color w:val="333333"/>
        </w:rPr>
        <w:t>Lease will assist in the creation or retention of jobs and otherwise improve or enhance the economic welfare of the inhabitants of Pinal County.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IN CONSIDERATION </w:t>
      </w:r>
      <w:r>
        <w:rPr>
          <w:rFonts w:ascii="Arial" w:cs="Arial" w:eastAsia="Arial" w:hAnsi="Arial"/>
          <w:sz w:val="19"/>
          <w:szCs w:val="19"/>
          <w:color w:val="auto"/>
        </w:rPr>
        <w:t>of the foregoing recitals and representations and the mutual covenants and conditions in this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Lease, the Parties agree as follows: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1.  </w:t>
      </w:r>
      <w:r>
        <w:rPr>
          <w:rFonts w:ascii="Arial" w:cs="Arial" w:eastAsia="Arial" w:hAnsi="Arial"/>
          <w:sz w:val="22"/>
          <w:szCs w:val="22"/>
          <w:b w:val="1"/>
          <w:bCs w:val="1"/>
          <w:u w:val="single" w:color="auto"/>
          <w:color w:val="auto"/>
        </w:rPr>
        <w:t>LEASE OF THE SITE</w:t>
      </w:r>
    </w:p>
    <w:p>
      <w:pPr>
        <w:spacing w:after="0" w:line="179"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b w:val="1"/>
          <w:bCs w:val="1"/>
          <w:u w:val="single" w:color="auto"/>
          <w:color w:val="auto"/>
        </w:rPr>
        <w:t>Premises</w:t>
      </w:r>
      <w:r>
        <w:rPr>
          <w:rFonts w:ascii="Arial" w:cs="Arial" w:eastAsia="Arial" w:hAnsi="Arial"/>
          <w:sz w:val="21"/>
          <w:szCs w:val="21"/>
          <w:color w:val="auto"/>
        </w:rPr>
        <w:t xml:space="preserve">. Landlord hereby leases to Tenant and Tenant hereby leases from Landlord, upon and in consideration of the terms and conditions contained herein, the Initial Premises, subject, however, to the covenants, restrictions, easements, agreements, and reservations of record set forth on </w:t>
      </w:r>
      <w:r>
        <w:rPr>
          <w:rFonts w:ascii="Arial" w:cs="Arial" w:eastAsia="Arial" w:hAnsi="Arial"/>
          <w:sz w:val="21"/>
          <w:szCs w:val="21"/>
          <w:b w:val="1"/>
          <w:bCs w:val="1"/>
          <w:color w:val="auto"/>
        </w:rPr>
        <w:t>Exhibit C</w:t>
      </w:r>
      <w:r>
        <w:rPr>
          <w:rFonts w:ascii="Arial" w:cs="Arial" w:eastAsia="Arial" w:hAnsi="Arial"/>
          <w:sz w:val="21"/>
          <w:szCs w:val="21"/>
          <w:color w:val="auto"/>
        </w:rPr>
        <w:t xml:space="preserve"> and such other covenants, restrictions, easements, agreements, and reservations of record as may be expressly permitted pursuant to </w:t>
      </w:r>
      <w:r>
        <w:rPr>
          <w:rFonts w:ascii="Arial" w:cs="Arial" w:eastAsia="Arial" w:hAnsi="Arial"/>
          <w:sz w:val="21"/>
          <w:szCs w:val="21"/>
          <w:u w:val="single" w:color="auto"/>
          <w:color w:val="auto"/>
        </w:rPr>
        <w:t>Sections 1.2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7.5</w:t>
      </w:r>
      <w:r>
        <w:rPr>
          <w:rFonts w:ascii="Arial" w:cs="Arial" w:eastAsia="Arial" w:hAnsi="Arial"/>
          <w:sz w:val="21"/>
          <w:szCs w:val="21"/>
          <w:color w:val="auto"/>
        </w:rPr>
        <w:t xml:space="preserve"> or otherwise consented to in writing by Tenant, in its sole discretion (collectively, the “</w:t>
      </w:r>
      <w:r>
        <w:rPr>
          <w:rFonts w:ascii="Arial" w:cs="Arial" w:eastAsia="Arial" w:hAnsi="Arial"/>
          <w:sz w:val="21"/>
          <w:szCs w:val="21"/>
          <w:b w:val="1"/>
          <w:bCs w:val="1"/>
          <w:color w:val="auto"/>
        </w:rPr>
        <w:t>Permitted Encumbrances</w:t>
      </w:r>
      <w:r>
        <w:rPr>
          <w:rFonts w:ascii="Arial" w:cs="Arial" w:eastAsia="Arial" w:hAnsi="Arial"/>
          <w:sz w:val="21"/>
          <w:szCs w:val="21"/>
          <w:color w:val="auto"/>
        </w:rPr>
        <w:t>”).</w:t>
      </w:r>
    </w:p>
    <w:p>
      <w:pPr>
        <w:spacing w:after="0" w:line="154"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b w:val="1"/>
          <w:bCs w:val="1"/>
          <w:u w:val="single" w:color="auto"/>
          <w:color w:val="auto"/>
        </w:rPr>
        <w:t>Modification of Premises</w:t>
      </w:r>
      <w:r>
        <w:rPr>
          <w:rFonts w:ascii="Arial" w:cs="Arial" w:eastAsia="Arial" w:hAnsi="Arial"/>
          <w:sz w:val="22"/>
          <w:szCs w:val="22"/>
          <w:color w:val="auto"/>
        </w:rPr>
        <w:t>. The Parties acknowledge that the Development Agreement contemplates portions of the Premises may be dedicated for public use or made subject to Permitted Encumbrances. The “</w:t>
      </w:r>
      <w:r>
        <w:rPr>
          <w:rFonts w:ascii="Arial" w:cs="Arial" w:eastAsia="Arial" w:hAnsi="Arial"/>
          <w:sz w:val="22"/>
          <w:szCs w:val="22"/>
          <w:b w:val="1"/>
          <w:bCs w:val="1"/>
          <w:color w:val="auto"/>
        </w:rPr>
        <w:t>Premises</w:t>
      </w:r>
      <w:r>
        <w:rPr>
          <w:rFonts w:ascii="Arial" w:cs="Arial" w:eastAsia="Arial" w:hAnsi="Arial"/>
          <w:sz w:val="22"/>
          <w:szCs w:val="22"/>
          <w:color w:val="auto"/>
        </w:rPr>
        <w:t>” shall be deemed to refer to the 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98" w:right="339" w:bottom="1440" w:gutter="0" w:footer="0" w:header="0"/>
        </w:sectPr>
      </w:pPr>
    </w:p>
    <w:bookmarkStart w:id="98" w:name="page99"/>
    <w:bookmarkEnd w:id="98"/>
    <w:p>
      <w:pPr>
        <w:jc w:val="both"/>
        <w:spacing w:after="0" w:line="232" w:lineRule="auto"/>
        <w:rPr>
          <w:sz w:val="20"/>
          <w:szCs w:val="20"/>
          <w:color w:val="auto"/>
        </w:rPr>
      </w:pPr>
      <w:r>
        <w:rPr>
          <w:rFonts w:ascii="Arial" w:cs="Arial" w:eastAsia="Arial" w:hAnsi="Arial"/>
          <w:sz w:val="22"/>
          <w:szCs w:val="22"/>
          <w:color w:val="auto"/>
        </w:rPr>
        <w:t xml:space="preserve">Premises, as may be modified pursuant to the Development Agreement, together with any structures or improvements presently situated thereon, subject to </w:t>
      </w:r>
      <w:r>
        <w:rPr>
          <w:rFonts w:ascii="Arial" w:cs="Arial" w:eastAsia="Arial" w:hAnsi="Arial"/>
          <w:sz w:val="22"/>
          <w:szCs w:val="22"/>
          <w:u w:val="single" w:color="auto"/>
          <w:color w:val="auto"/>
        </w:rPr>
        <w:t>Section 5.1</w:t>
      </w:r>
      <w:r>
        <w:rPr>
          <w:rFonts w:ascii="Arial" w:cs="Arial" w:eastAsia="Arial" w:hAnsi="Arial"/>
          <w:sz w:val="22"/>
          <w:szCs w:val="22"/>
          <w:color w:val="auto"/>
        </w:rPr>
        <w:t>.</w:t>
      </w:r>
    </w:p>
    <w:p>
      <w:pPr>
        <w:spacing w:after="0" w:line="15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b w:val="1"/>
          <w:bCs w:val="1"/>
          <w:u w:val="single" w:color="auto"/>
          <w:color w:val="auto"/>
        </w:rPr>
        <w:t>Term</w:t>
      </w:r>
      <w:r>
        <w:rPr>
          <w:rFonts w:ascii="Arial" w:cs="Arial" w:eastAsia="Arial" w:hAnsi="Arial"/>
          <w:sz w:val="20"/>
          <w:szCs w:val="20"/>
          <w:color w:val="auto"/>
        </w:rPr>
        <w:t>. The term of this Lease (“</w:t>
      </w:r>
      <w:r>
        <w:rPr>
          <w:rFonts w:ascii="Arial" w:cs="Arial" w:eastAsia="Arial" w:hAnsi="Arial"/>
          <w:sz w:val="20"/>
          <w:szCs w:val="20"/>
          <w:b w:val="1"/>
          <w:bCs w:val="1"/>
          <w:color w:val="auto"/>
        </w:rPr>
        <w:t>Term</w:t>
      </w:r>
      <w:r>
        <w:rPr>
          <w:rFonts w:ascii="Arial" w:cs="Arial" w:eastAsia="Arial" w:hAnsi="Arial"/>
          <w:sz w:val="20"/>
          <w:szCs w:val="20"/>
          <w:color w:val="auto"/>
        </w:rPr>
        <w:t>”) shall commence on the date Landlord acquires the Initial Premises (“</w:t>
      </w:r>
      <w:r>
        <w:rPr>
          <w:rFonts w:ascii="Arial" w:cs="Arial" w:eastAsia="Arial" w:hAnsi="Arial"/>
          <w:sz w:val="20"/>
          <w:szCs w:val="20"/>
          <w:b w:val="1"/>
          <w:bCs w:val="1"/>
          <w:color w:val="auto"/>
        </w:rPr>
        <w:t>Commencement Date</w:t>
      </w:r>
      <w:r>
        <w:rPr>
          <w:rFonts w:ascii="Arial" w:cs="Arial" w:eastAsia="Arial" w:hAnsi="Arial"/>
          <w:sz w:val="20"/>
          <w:szCs w:val="20"/>
          <w:color w:val="auto"/>
        </w:rPr>
        <w:t>”) and shall expire at 11:59 p.m. on the day immediately prior to the fourth (4</w:t>
      </w:r>
      <w:r>
        <w:rPr>
          <w:rFonts w:ascii="Arial" w:cs="Arial" w:eastAsia="Arial" w:hAnsi="Arial"/>
          <w:sz w:val="13"/>
          <w:szCs w:val="13"/>
          <w:color w:val="auto"/>
        </w:rPr>
        <w:t>th</w:t>
      </w:r>
      <w:r>
        <w:rPr>
          <w:rFonts w:ascii="Arial" w:cs="Arial" w:eastAsia="Arial" w:hAnsi="Arial"/>
          <w:sz w:val="20"/>
          <w:szCs w:val="20"/>
          <w:color w:val="auto"/>
        </w:rPr>
        <w:t>) anniversary of the Commencement Date, unless this Lease is sooner terminated as hereinafter provided. If the Commencement Date has not occurred on or before the date that is ninety (90) days after the Effective Date, either of Landlord or Tenant may terminate this Lease by written notice to the other delivered prior to Landlord’s acquisition of the Initial Premises.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2.  </w:t>
      </w:r>
      <w:r>
        <w:rPr>
          <w:rFonts w:ascii="Arial" w:cs="Arial" w:eastAsia="Arial" w:hAnsi="Arial"/>
          <w:sz w:val="22"/>
          <w:szCs w:val="22"/>
          <w:b w:val="1"/>
          <w:bCs w:val="1"/>
          <w:u w:val="single" w:color="auto"/>
          <w:color w:val="auto"/>
        </w:rPr>
        <w:t>DEFINITIONS</w:t>
      </w:r>
    </w:p>
    <w:p>
      <w:pPr>
        <w:spacing w:after="0" w:line="179"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color w:val="auto"/>
          <w:highlight w:val="yellow"/>
        </w:rPr>
        <w:t xml:space="preserve">1.4 </w:t>
      </w: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For the purposes of this Lease, the following words shall have the definition and meaning hereafter</w:t>
      </w:r>
      <w:r>
        <w:rPr>
          <w:rFonts w:ascii="Arial" w:cs="Arial" w:eastAsia="Arial" w:hAnsi="Arial"/>
          <w:sz w:val="22"/>
          <w:szCs w:val="22"/>
          <w:color w:val="auto"/>
          <w:highlight w:val="yellow"/>
        </w:rPr>
        <w:t xml:space="preserve"> </w:t>
      </w:r>
      <w:r>
        <w:rPr>
          <w:rFonts w:ascii="Arial" w:cs="Arial" w:eastAsia="Arial" w:hAnsi="Arial"/>
          <w:sz w:val="22"/>
          <w:szCs w:val="22"/>
          <w:color w:val="auto"/>
        </w:rPr>
        <w:t>set forth:</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Payments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3.4</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As applied to any person or entity: (a) any person or entity directly or indirectly controlling, controlled by, or under common control with, such person or entity; or (b) any person or entity owning or controlling fifty-one percent (51%) or more of the outstanding voting securities or interests of such person or entity; (c) any person or entity resulting from a merger or consolidation with such person or entity.</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Laws</w:t>
      </w:r>
      <w:r>
        <w:rPr>
          <w:rFonts w:ascii="Arial" w:cs="Arial" w:eastAsia="Arial" w:hAnsi="Arial"/>
          <w:sz w:val="19"/>
          <w:szCs w:val="19"/>
          <w:color w:val="auto"/>
        </w:rPr>
        <w:t>”: All statutes, codes, laws, acts, ordinances, orders, judgments, decrees, injunctions, rules, regulations, permits, licenses, authorizations, directions and requirements of all federal, state, county, municipal, and other governments, departments, commissions, boards, courts, authorities, officials and officers, ordinary or extraordinary, which may be applicable to the Premises or any part thereof, or any of the streets, alleys, passageways, sidewalks, curbs or gutters adjoining the Premises or any part thereof, or any use, manner of use or conditions of the Premises or any part thereof.</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Bond Retirement Amount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24.3A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Bond Servicing Costs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24.3A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Bonds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24.3A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Casa Grande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Recital 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Claims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11.1A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24.2</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Commencement Date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1.3</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Condemnation Proceeds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13.2</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Condemnation Purchase Price Credit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13.2B</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Development Agreement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Recital A</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Law</w:t>
      </w:r>
      <w:r>
        <w:rPr>
          <w:rFonts w:ascii="Arial" w:cs="Arial" w:eastAsia="Arial" w:hAnsi="Arial"/>
          <w:sz w:val="22"/>
          <w:szCs w:val="22"/>
          <w:color w:val="auto"/>
        </w:rPr>
        <w:t>”: Any applicable federal, state, or local law, statute, ordinance, rule, regulation, policy, guidance, order, judgment, or decision of any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01" w:right="339" w:bottom="1440" w:gutter="0" w:footer="0" w:header="0"/>
        </w:sectPr>
      </w:pPr>
    </w:p>
    <w:bookmarkStart w:id="99" w:name="page100"/>
    <w:bookmarkEnd w:id="99"/>
    <w:p>
      <w:pPr>
        <w:jc w:val="both"/>
        <w:spacing w:after="0" w:line="242" w:lineRule="auto"/>
        <w:rPr>
          <w:sz w:val="20"/>
          <w:szCs w:val="20"/>
          <w:color w:val="auto"/>
        </w:rPr>
      </w:pPr>
      <w:r>
        <w:rPr>
          <w:rFonts w:ascii="Arial" w:cs="Arial" w:eastAsia="Arial" w:hAnsi="Arial"/>
          <w:sz w:val="19"/>
          <w:szCs w:val="19"/>
          <w:color w:val="auto"/>
        </w:rPr>
        <w:t xml:space="preserve">relating to the protection of the environment or to any emission, discharge, generation, processing, storage, use, holding, abatement, existence, Release, threatened or potential Release, or transportation of any Hazardous Substance, including any disclosure or reporting obligation thereof, whether to be disclosed or reported to any governmental authority or whether a report or record is required to be maintained internally, including (a) the Comprehensive Environmental Response, Compensation and Liability Act, 42 U.S.C. §9601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Resource Conservation and Recovery Act, 42 U.S.C. §6901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Toxic Substances Control Act, 15 U.S.C. §2601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Safe Drinking Water Act, 42 U.S.C. §300h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Clean Water Act, 33 U.S.C. §1251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Clean Air Act, 42 U.S.C. §7401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Arizona Water Quality Assurance Revolving Fund, A.R.S. §49-281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Arizona Water Quality Control Program, A.R.S. §49-201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and the Arizona Underground Storage Tank Law, A.R.S. §49-101 </w:t>
      </w:r>
      <w:r>
        <w:rPr>
          <w:rFonts w:ascii="Arial" w:cs="Arial" w:eastAsia="Arial" w:hAnsi="Arial"/>
          <w:sz w:val="19"/>
          <w:szCs w:val="19"/>
          <w:i w:val="1"/>
          <w:iCs w:val="1"/>
          <w:color w:val="auto"/>
        </w:rPr>
        <w:t>et seq.</w:t>
      </w:r>
      <w:r>
        <w:rPr>
          <w:rFonts w:ascii="Arial" w:cs="Arial" w:eastAsia="Arial" w:hAnsi="Arial"/>
          <w:sz w:val="19"/>
          <w:szCs w:val="19"/>
          <w:color w:val="auto"/>
        </w:rPr>
        <w:t>, as amended now and as may be amended in the future; and (b) all other legal requirements pertaining to reporting, licensing, permitting, approving, investigation, or remediation of emissions, discharges, Releases, or threatened or potential Releases of Hazardous Substances into, onto, or beneath the air, surface water, ground water, or land, or relating to the manufacture, processing, distribution, sale, use, treatment, receipt, storage, disposal, transport, or handling of Hazardous Substances.</w:t>
      </w:r>
    </w:p>
    <w:p>
      <w:pPr>
        <w:spacing w:after="0" w:line="3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Event of Default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15.1</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Notice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15.1A</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Hazardous Substances</w:t>
      </w:r>
      <w:r>
        <w:rPr>
          <w:rFonts w:ascii="Arial" w:cs="Arial" w:eastAsia="Arial" w:hAnsi="Arial"/>
          <w:sz w:val="19"/>
          <w:szCs w:val="19"/>
          <w:color w:val="auto"/>
        </w:rPr>
        <w:t>”: Any substance that (a) is or contains asbestos, urea formaldehyde foam insulation, polychlorinated biphenyls, petroleum or petroleum-derived substances or wastes, radon gas, or related materials, (b) requires investigation, removal or remediation or for which there are restrictions, regulations or rules pursuant to any Environmental Law regarding its use, handling or disposal, under any Environmental Law, or is defined, listed, or identified as a “hazardous waste,” “Hazardous Substance,” “contaminant,” “toxic substance,” “toxic material,” “pollutant,” or “hazardous substance,” thereunder, or</w:t>
      </w:r>
    </w:p>
    <w:p>
      <w:pPr>
        <w:spacing w:after="0" w:line="2" w:lineRule="exact"/>
        <w:rPr>
          <w:sz w:val="20"/>
          <w:szCs w:val="20"/>
          <w:color w:val="auto"/>
        </w:rPr>
      </w:pPr>
    </w:p>
    <w:p>
      <w:pPr>
        <w:ind w:firstLine="8"/>
        <w:spacing w:after="0" w:line="224" w:lineRule="auto"/>
        <w:tabs>
          <w:tab w:leader="none" w:pos="339" w:val="left"/>
        </w:tabs>
        <w:numPr>
          <w:ilvl w:val="0"/>
          <w:numId w:val="48"/>
        </w:numPr>
        <w:rPr>
          <w:rFonts w:ascii="Arial" w:cs="Arial" w:eastAsia="Arial" w:hAnsi="Arial"/>
          <w:sz w:val="22"/>
          <w:szCs w:val="22"/>
          <w:color w:val="auto"/>
        </w:rPr>
      </w:pPr>
      <w:r>
        <w:rPr>
          <w:rFonts w:ascii="Arial" w:cs="Arial" w:eastAsia="Arial" w:hAnsi="Arial"/>
          <w:sz w:val="22"/>
          <w:szCs w:val="22"/>
          <w:color w:val="auto"/>
        </w:rPr>
        <w:t>is toxic, explosive, corrosive, flammable, infectious, radiologically contaminated, carcinogenic, mutagenic, or otherwise hazardous and is regulated by any governmental authority or Environmental Law.</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Impositions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3.4</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Improvements</w:t>
      </w:r>
      <w:r>
        <w:rPr>
          <w:rFonts w:ascii="Arial" w:cs="Arial" w:eastAsia="Arial" w:hAnsi="Arial"/>
          <w:sz w:val="19"/>
          <w:szCs w:val="19"/>
          <w:color w:val="auto"/>
        </w:rPr>
        <w:t>”: Any buildings, streets, curbs, sewers, drainage and flood control structures, sidewalks, hardscape, fences, utilities, landscaping, signs, parking improvements and facilities, fountains, artwork and other structures or improvements of every kind and nature which now, or at any time hereafter, exist upon, above or below the Premises.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Indemnified Party</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11.3</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Indemnifying Party</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11.3</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Premises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Recital B</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Landlord</w:t>
      </w:r>
      <w:r>
        <w:rPr>
          <w:rFonts w:ascii="Arial" w:cs="Arial" w:eastAsia="Arial" w:hAnsi="Arial"/>
          <w:sz w:val="22"/>
          <w:szCs w:val="22"/>
          <w:color w:val="auto"/>
        </w:rPr>
        <w:t>”: The Landlord named herein and its permitted successors and assigns.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Landlord’s Calculation</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24.3</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Lease Year</w:t>
      </w:r>
      <w:r>
        <w:rPr>
          <w:rFonts w:ascii="Arial" w:cs="Arial" w:eastAsia="Arial" w:hAnsi="Arial"/>
          <w:sz w:val="22"/>
          <w:szCs w:val="22"/>
          <w:color w:val="auto"/>
        </w:rPr>
        <w:t>”: A twelve (12) month period beginning on the Commencement Date and each successive anniversary thereof. Lease Year 1 shall mean the period commencing on the Commencement Date and expiring at 11:59 p.m. on the day immediately prior to the first (1</w:t>
      </w:r>
      <w:r>
        <w:rPr>
          <w:rFonts w:ascii="Arial" w:cs="Arial" w:eastAsia="Arial" w:hAnsi="Arial"/>
          <w:sz w:val="28"/>
          <w:szCs w:val="28"/>
          <w:color w:val="auto"/>
          <w:vertAlign w:val="superscript"/>
        </w:rPr>
        <w:t>st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01" w:right="33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color w:val="auto"/>
        </w:rPr>
        <w:t>anniversary of the Commencement Date. Each subsequent twelve (12) month period shall be a Lease Year.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Monetary Default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15.1A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Net Rent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3.1A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 Notice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24.2</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 Period</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24.2</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Encumbrances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179"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Mortgage</w:t>
      </w:r>
      <w:r>
        <w:rPr>
          <w:rFonts w:ascii="Arial" w:cs="Arial" w:eastAsia="Arial" w:hAnsi="Arial"/>
          <w:sz w:val="22"/>
          <w:szCs w:val="22"/>
          <w:color w:val="auto"/>
        </w:rPr>
        <w:t>”: The mortgage, pledge or encumbrance of all (but not less than all) of Tenant’s leasehold estate in the Premises and rights under this Lease to secure any obligation of Tenant.</w:t>
      </w:r>
    </w:p>
    <w:p>
      <w:pPr>
        <w:spacing w:after="0" w:line="153"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Mortgagee</w:t>
      </w:r>
      <w:r>
        <w:rPr>
          <w:rFonts w:ascii="Arial" w:cs="Arial" w:eastAsia="Arial" w:hAnsi="Arial"/>
          <w:sz w:val="21"/>
          <w:szCs w:val="21"/>
          <w:color w:val="auto"/>
        </w:rPr>
        <w:t>”: Any savings bank, bank or trust company, savings and loan association, insurance company, college or university, governmental pension or retirement funds or systems, any pension retirement funds or systems of which any of the foregoing shall be trustee, or other lender providing funds to Tenant for development of the Premises, construction of the Improvements, or refinancing of development funds and secured by a Permitted Mortgage.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Premises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1.2</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 Option</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24.1</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 Price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24.3A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 Price Prepayment Amount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24.3A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Rent Shortfall</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24.3A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Second Notice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15.2</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Special Warranty Deed</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24.3F</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Sublease</w:t>
      </w:r>
      <w:r>
        <w:rPr>
          <w:rFonts w:ascii="Arial" w:cs="Arial" w:eastAsia="Arial" w:hAnsi="Arial"/>
          <w:sz w:val="21"/>
          <w:szCs w:val="21"/>
          <w:color w:val="auto"/>
        </w:rPr>
        <w:t>”: Any agreement, written or oral, by which Tenant gives any individual or entity any rights of use or occupancy of or any benefit flowing from the Premises or a portion thereof, including a permit, license or concession.</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Tenant</w:t>
      </w:r>
      <w:r>
        <w:rPr>
          <w:rFonts w:ascii="Arial" w:cs="Arial" w:eastAsia="Arial" w:hAnsi="Arial"/>
          <w:sz w:val="22"/>
          <w:szCs w:val="22"/>
          <w:color w:val="auto"/>
        </w:rPr>
        <w:t>”: The Tenant named herein and its permitted successors and assigns.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1.3</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Work</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13.2A</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3.  </w:t>
      </w:r>
      <w:r>
        <w:rPr>
          <w:rFonts w:ascii="Arial" w:cs="Arial" w:eastAsia="Arial" w:hAnsi="Arial"/>
          <w:sz w:val="22"/>
          <w:szCs w:val="22"/>
          <w:b w:val="1"/>
          <w:bCs w:val="1"/>
          <w:u w:val="single" w:color="auto"/>
          <w:color w:val="auto"/>
        </w:rPr>
        <w:t>RENT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highlight w:val="yellow"/>
        </w:rPr>
        <w:t>1.5</w:t>
      </w:r>
      <w:r>
        <w:rPr>
          <w:sz w:val="20"/>
          <w:szCs w:val="20"/>
          <w:color w:val="auto"/>
        </w:rPr>
        <w:tab/>
      </w:r>
      <w:r>
        <w:rPr>
          <w:rFonts w:ascii="Arial" w:cs="Arial" w:eastAsia="Arial" w:hAnsi="Arial"/>
          <w:sz w:val="19"/>
          <w:szCs w:val="19"/>
          <w:b w:val="1"/>
          <w:bCs w:val="1"/>
          <w:u w:val="single" w:color="auto"/>
          <w:color w:val="auto"/>
        </w:rPr>
        <w:t>Net Rent</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23" w:lineRule="auto"/>
        <w:tabs>
          <w:tab w:leader="none" w:pos="1938"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Base and Adjustments</w:t>
      </w:r>
      <w:r>
        <w:rPr>
          <w:rFonts w:ascii="Arial" w:cs="Arial" w:eastAsia="Arial" w:hAnsi="Arial"/>
          <w:sz w:val="22"/>
          <w:szCs w:val="22"/>
          <w:color w:val="auto"/>
        </w:rPr>
        <w:t>. Tenant shall pay to Landlord, in such United States of America coin or currency as at the time of payment shall be legal tender for the payment of public and private debts at the addresses specified or furnished pursuant to this Lease, during the</w:t>
      </w:r>
    </w:p>
    <w:p>
      <w:pPr>
        <w:sectPr>
          <w:pgSz w:w="11900" w:h="16838" w:orient="portrait"/>
          <w:cols w:equalWidth="0" w:num="1">
            <w:col w:w="11240"/>
          </w:cols>
          <w:pgMar w:left="320" w:top="14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401" w:right="339" w:bottom="1440" w:gutter="0" w:footer="0" w:header="0"/>
          <w:type w:val="continuous"/>
        </w:sectPr>
      </w:pPr>
    </w:p>
    <w:bookmarkStart w:id="101" w:name="page102"/>
    <w:bookmarkEnd w:id="101"/>
    <w:p>
      <w:pPr>
        <w:jc w:val="both"/>
        <w:spacing w:after="0" w:line="236" w:lineRule="auto"/>
        <w:rPr>
          <w:sz w:val="20"/>
          <w:szCs w:val="20"/>
          <w:color w:val="auto"/>
        </w:rPr>
      </w:pPr>
      <w:r>
        <w:rPr>
          <w:rFonts w:ascii="Arial" w:cs="Arial" w:eastAsia="Arial" w:hAnsi="Arial"/>
          <w:sz w:val="21"/>
          <w:szCs w:val="21"/>
          <w:color w:val="auto"/>
        </w:rPr>
        <w:t>Term of this Lease, a net bi-annual rental payment (“</w:t>
      </w:r>
      <w:r>
        <w:rPr>
          <w:rFonts w:ascii="Arial" w:cs="Arial" w:eastAsia="Arial" w:hAnsi="Arial"/>
          <w:sz w:val="21"/>
          <w:szCs w:val="21"/>
          <w:b w:val="1"/>
          <w:bCs w:val="1"/>
          <w:color w:val="auto"/>
        </w:rPr>
        <w:t>Net Rent</w:t>
      </w:r>
      <w:r>
        <w:rPr>
          <w:rFonts w:ascii="Arial" w:cs="Arial" w:eastAsia="Arial" w:hAnsi="Arial"/>
          <w:sz w:val="21"/>
          <w:szCs w:val="21"/>
          <w:color w:val="auto"/>
        </w:rPr>
        <w:t>”) in the amount of $3,555,000 (i.e., annual Net Rent shall be equal to $7,110,000). Net Rent payments under this Lease shall be due on or before January 20 and July 20 of each year during the Term of this Lease, with the first such payment being due on or before January 20, 2023.</w:t>
      </w:r>
    </w:p>
    <w:p>
      <w:pPr>
        <w:spacing w:after="0" w:line="158" w:lineRule="exact"/>
        <w:rPr>
          <w:sz w:val="20"/>
          <w:szCs w:val="20"/>
          <w:color w:val="auto"/>
        </w:rPr>
      </w:pPr>
    </w:p>
    <w:p>
      <w:pPr>
        <w:ind w:firstLine="1304"/>
        <w:spacing w:after="0" w:line="232" w:lineRule="auto"/>
        <w:tabs>
          <w:tab w:leader="none" w:pos="194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Additional to Other Payments</w:t>
      </w:r>
      <w:r>
        <w:rPr>
          <w:rFonts w:ascii="Arial" w:cs="Arial" w:eastAsia="Arial" w:hAnsi="Arial"/>
          <w:sz w:val="22"/>
          <w:szCs w:val="22"/>
          <w:color w:val="auto"/>
        </w:rPr>
        <w:t>. Net Rent shall be in addition to and over and above all of the other payments to be made by Tenant as hereinafter set forth.</w:t>
      </w:r>
    </w:p>
    <w:p>
      <w:pPr>
        <w:spacing w:after="0" w:line="153"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highlight w:val="yellow"/>
        </w:rPr>
        <w:t xml:space="preserve">1.6 </w:t>
      </w:r>
      <w:r>
        <w:rPr>
          <w:rFonts w:ascii="Arial" w:cs="Arial" w:eastAsia="Arial" w:hAnsi="Arial"/>
          <w:sz w:val="21"/>
          <w:szCs w:val="21"/>
          <w:b w:val="1"/>
          <w:bCs w:val="1"/>
          <w:u w:val="single" w:color="auto"/>
          <w:color w:val="auto"/>
        </w:rPr>
        <w:t>Rent Absolutely Net</w:t>
      </w:r>
      <w:r>
        <w:rPr>
          <w:rFonts w:ascii="Arial" w:cs="Arial" w:eastAsia="Arial" w:hAnsi="Arial"/>
          <w:sz w:val="21"/>
          <w:szCs w:val="21"/>
          <w:color w:val="auto"/>
        </w:rPr>
        <w:t>. It is the purpose and intent of the Landlord and Tenant that Net Rent payable hereunder</w:t>
      </w:r>
      <w:r>
        <w:rPr>
          <w:rFonts w:ascii="Arial" w:cs="Arial" w:eastAsia="Arial" w:hAnsi="Arial"/>
          <w:sz w:val="21"/>
          <w:szCs w:val="21"/>
          <w:color w:val="auto"/>
          <w:highlight w:val="yellow"/>
        </w:rPr>
        <w:t xml:space="preserve"> </w:t>
      </w:r>
      <w:r>
        <w:rPr>
          <w:rFonts w:ascii="Arial" w:cs="Arial" w:eastAsia="Arial" w:hAnsi="Arial"/>
          <w:sz w:val="21"/>
          <w:szCs w:val="21"/>
          <w:color w:val="auto"/>
        </w:rPr>
        <w:t>shall be absolutely net to Landlord so that this Lease shall yield to Landlord the Net Rent herein specified each Lease Year during the term of this Lease, free of any charges, assessments, Impositions, or deductions of any kind charged, assessed, or imposed on or against the Premises and without abatement, deduction or set-off by the Tenant, except as hereinafter otherwise specifically provided. Except as expressly set forth in this Lease or the Development Agreement, Landlord shall not be expected or required to pay any such charge, assessment or Imposition or be under any obligation or liability hereunder, and all costs expenses, and obligations of any kind relating to the maintenance and operation of the Premises, including all construction, alterations, repairs, reconstruction, and replacements as hereinafter provided, which may arise or become due during the term hereof shall be paid by Tenant.</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highlight w:val="yellow"/>
        </w:rPr>
        <w:t xml:space="preserve">1.7 </w:t>
      </w:r>
      <w:r>
        <w:rPr>
          <w:rFonts w:ascii="Arial" w:cs="Arial" w:eastAsia="Arial" w:hAnsi="Arial"/>
          <w:sz w:val="19"/>
          <w:szCs w:val="19"/>
          <w:b w:val="1"/>
          <w:bCs w:val="1"/>
          <w:u w:val="single" w:color="auto"/>
          <w:color w:val="auto"/>
        </w:rPr>
        <w:t>Escrow Accounts</w:t>
      </w:r>
      <w:r>
        <w:rPr>
          <w:rFonts w:ascii="Arial" w:cs="Arial" w:eastAsia="Arial" w:hAnsi="Arial"/>
          <w:sz w:val="19"/>
          <w:szCs w:val="19"/>
          <w:color w:val="auto"/>
        </w:rPr>
        <w:t>. Tenant shall deposit in an escrow account with a title insurance company or other neutral third</w:t>
      </w:r>
      <w:r>
        <w:rPr>
          <w:rFonts w:ascii="Arial" w:cs="Arial" w:eastAsia="Arial" w:hAnsi="Arial"/>
          <w:sz w:val="19"/>
          <w:szCs w:val="19"/>
          <w:color w:val="auto"/>
          <w:highlight w:val="yellow"/>
        </w:rPr>
        <w:t xml:space="preserve"> </w:t>
      </w:r>
      <w:r>
        <w:rPr>
          <w:rFonts w:ascii="Arial" w:cs="Arial" w:eastAsia="Arial" w:hAnsi="Arial"/>
          <w:sz w:val="19"/>
          <w:szCs w:val="19"/>
          <w:color w:val="auto"/>
        </w:rPr>
        <w:t>party ("</w:t>
      </w:r>
      <w:r>
        <w:rPr>
          <w:rFonts w:ascii="Arial" w:cs="Arial" w:eastAsia="Arial" w:hAnsi="Arial"/>
          <w:sz w:val="19"/>
          <w:szCs w:val="19"/>
          <w:b w:val="1"/>
          <w:bCs w:val="1"/>
          <w:color w:val="auto"/>
        </w:rPr>
        <w:t>Escrow Agent</w:t>
      </w:r>
      <w:r>
        <w:rPr>
          <w:rFonts w:ascii="Arial" w:cs="Arial" w:eastAsia="Arial" w:hAnsi="Arial"/>
          <w:sz w:val="19"/>
          <w:szCs w:val="19"/>
          <w:color w:val="auto"/>
        </w:rPr>
        <w:t>") an amount equal to: (a) $7,100,000 to cover the debt service payments on the Bonds if Tenant fails to make any Net Rent payments under this Lease (the "</w:t>
      </w:r>
      <w:r>
        <w:rPr>
          <w:rFonts w:ascii="Arial" w:cs="Arial" w:eastAsia="Arial" w:hAnsi="Arial"/>
          <w:sz w:val="19"/>
          <w:szCs w:val="19"/>
          <w:b w:val="1"/>
          <w:bCs w:val="1"/>
          <w:color w:val="auto"/>
        </w:rPr>
        <w:t>Debt Service Escrowed Funds</w:t>
      </w:r>
      <w:r>
        <w:rPr>
          <w:rFonts w:ascii="Arial" w:cs="Arial" w:eastAsia="Arial" w:hAnsi="Arial"/>
          <w:sz w:val="19"/>
          <w:szCs w:val="19"/>
          <w:color w:val="auto"/>
        </w:rPr>
        <w:t>"); and (b) $5,400,000 to be held as security to pay for any Improvements Tenant elects to perform or cause to be performed during the Term of this Lease (the “</w:t>
      </w:r>
      <w:r>
        <w:rPr>
          <w:rFonts w:ascii="Arial" w:cs="Arial" w:eastAsia="Arial" w:hAnsi="Arial"/>
          <w:sz w:val="19"/>
          <w:szCs w:val="19"/>
          <w:b w:val="1"/>
          <w:bCs w:val="1"/>
          <w:color w:val="auto"/>
        </w:rPr>
        <w:t>Improvement Escrowed Funds</w:t>
      </w:r>
      <w:r>
        <w:rPr>
          <w:rFonts w:ascii="Arial" w:cs="Arial" w:eastAsia="Arial" w:hAnsi="Arial"/>
          <w:sz w:val="19"/>
          <w:szCs w:val="19"/>
          <w:color w:val="auto"/>
        </w:rPr>
        <w:t>”). The Debt Service Escrowed Funds and the Improvement Escrowed Funds may collectively be referred to herein as the “</w:t>
      </w:r>
      <w:r>
        <w:rPr>
          <w:rFonts w:ascii="Arial" w:cs="Arial" w:eastAsia="Arial" w:hAnsi="Arial"/>
          <w:sz w:val="19"/>
          <w:szCs w:val="19"/>
          <w:b w:val="1"/>
          <w:bCs w:val="1"/>
          <w:color w:val="auto"/>
        </w:rPr>
        <w:t>Escrowed Funds</w:t>
      </w:r>
      <w:r>
        <w:rPr>
          <w:rFonts w:ascii="Arial" w:cs="Arial" w:eastAsia="Arial" w:hAnsi="Arial"/>
          <w:sz w:val="19"/>
          <w:szCs w:val="19"/>
          <w:color w:val="auto"/>
        </w:rPr>
        <w:t xml:space="preserve"> .” Withdrawal of the Escrowed Funds shall be governed by an escrow agreement between the Tenant and the County in the form attached as </w:t>
      </w:r>
      <w:r>
        <w:rPr>
          <w:rFonts w:ascii="Arial" w:cs="Arial" w:eastAsia="Arial" w:hAnsi="Arial"/>
          <w:sz w:val="19"/>
          <w:szCs w:val="19"/>
          <w:b w:val="1"/>
          <w:bCs w:val="1"/>
          <w:color w:val="auto"/>
        </w:rPr>
        <w:t>Exhibit E</w:t>
      </w:r>
      <w:r>
        <w:rPr>
          <w:rFonts w:ascii="Arial" w:cs="Arial" w:eastAsia="Arial" w:hAnsi="Arial"/>
          <w:sz w:val="19"/>
          <w:szCs w:val="19"/>
          <w:color w:val="auto"/>
        </w:rPr>
        <w:t xml:space="preserve"> (the "</w:t>
      </w:r>
      <w:r>
        <w:rPr>
          <w:rFonts w:ascii="Arial" w:cs="Arial" w:eastAsia="Arial" w:hAnsi="Arial"/>
          <w:sz w:val="19"/>
          <w:szCs w:val="19"/>
          <w:b w:val="1"/>
          <w:bCs w:val="1"/>
          <w:color w:val="auto"/>
        </w:rPr>
        <w:t>Escrow Agreement</w:t>
      </w:r>
      <w:r>
        <w:rPr>
          <w:rFonts w:ascii="Arial" w:cs="Arial" w:eastAsia="Arial" w:hAnsi="Arial"/>
          <w:sz w:val="19"/>
          <w:szCs w:val="19"/>
          <w:color w:val="auto"/>
        </w:rPr>
        <w:t>"). Without limitation, the Escrow Agreement shall provide for the use of the Debt Service Escrowed Funds to make debt service payments if Tenant fails to make any payments under the Lease, and the use of the Improvement Escrowed Funds by Tenant if Tenant causes any Improvements to be performed to the Premises during the Term of this Lease. Additionally, during the last year of this Lease, one-half of the Debt Service Escrowed Funds may be used by Tenant to make the penultimate payment of the Net Rent due under this Lease (the first payment occurring during the last year of this Lease). If Tenant exercises the Purchase Option and acquires the Premises, Tenant shall be entitled to all remaining Escrowed Funds. If there are any remaining Escrowed Funds upon expiration or termination of this Lease without Tenant exercising the Purchase Option, then same shall be released to the County.</w:t>
      </w:r>
    </w:p>
    <w:p>
      <w:pPr>
        <w:spacing w:after="0" w:line="15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highlight w:val="yellow"/>
        </w:rPr>
        <w:t xml:space="preserve">1.8 </w:t>
      </w:r>
      <w:r>
        <w:rPr>
          <w:rFonts w:ascii="Arial" w:cs="Arial" w:eastAsia="Arial" w:hAnsi="Arial"/>
          <w:sz w:val="19"/>
          <w:szCs w:val="19"/>
          <w:b w:val="1"/>
          <w:bCs w:val="1"/>
          <w:u w:val="single" w:color="auto"/>
          <w:color w:val="auto"/>
        </w:rPr>
        <w:t>Additional Payments</w:t>
      </w:r>
      <w:r>
        <w:rPr>
          <w:rFonts w:ascii="Arial" w:cs="Arial" w:eastAsia="Arial" w:hAnsi="Arial"/>
          <w:sz w:val="19"/>
          <w:szCs w:val="19"/>
          <w:color w:val="auto"/>
        </w:rPr>
        <w:t>. Except as expressly set forth in this Lease or the Development Agreement, Tenant shall</w:t>
      </w:r>
      <w:r>
        <w:rPr>
          <w:rFonts w:ascii="Arial" w:cs="Arial" w:eastAsia="Arial" w:hAnsi="Arial"/>
          <w:sz w:val="19"/>
          <w:szCs w:val="19"/>
          <w:color w:val="auto"/>
          <w:highlight w:val="yellow"/>
        </w:rPr>
        <w:t xml:space="preserve"> </w:t>
      </w:r>
      <w:r>
        <w:rPr>
          <w:rFonts w:ascii="Arial" w:cs="Arial" w:eastAsia="Arial" w:hAnsi="Arial"/>
          <w:sz w:val="19"/>
          <w:szCs w:val="19"/>
          <w:color w:val="auto"/>
        </w:rPr>
        <w:t>pay as “</w:t>
      </w:r>
      <w:r>
        <w:rPr>
          <w:rFonts w:ascii="Arial" w:cs="Arial" w:eastAsia="Arial" w:hAnsi="Arial"/>
          <w:sz w:val="19"/>
          <w:szCs w:val="19"/>
          <w:b w:val="1"/>
          <w:bCs w:val="1"/>
          <w:color w:val="auto"/>
        </w:rPr>
        <w:t>Additional Payments</w:t>
      </w:r>
      <w:r>
        <w:rPr>
          <w:rFonts w:ascii="Arial" w:cs="Arial" w:eastAsia="Arial" w:hAnsi="Arial"/>
          <w:sz w:val="19"/>
          <w:szCs w:val="19"/>
          <w:color w:val="auto"/>
        </w:rPr>
        <w:t>” during the Term hereof, without notice and without abatement, deduction or setoff, before any fine, penalty, interest, or cost may be added thereto, or become due or be imposed by operation of law for the nonpayment thereof, all sums required by Subsections A, B and C of this Section 3.4 and any impositions, costs, expenses and other payments and all taxes (including personal property taxes and taxes on rents, leases or occupancy, if any, and government property improvement lease excise tax), assessments, special assessments, enhanced municipal services district assessments, water and sewer rents, rates and charges, charges for public utilities, excises, levies, licenses, and permit fees, any expenses incurred by Landlord on behalf of Tenant pursuant to the terms of this Lease, including other governmental or quasi-governmental charges, general and special, ordinary and extraordinary, foreseen and unforeseen, of any kind and nature whatsoever which, at any time during the Term hereof may be assessed, levied, confirmed, imposed upon, or grow or become due and payable out of or with respect to, or become a lien on, the Premises or any part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95" w:right="339" w:bottom="1440" w:gutter="0" w:footer="0" w:header="0"/>
        </w:sectPr>
      </w:pPr>
    </w:p>
    <w:bookmarkStart w:id="102" w:name="page103"/>
    <w:bookmarkEnd w:id="102"/>
    <w:p>
      <w:pPr>
        <w:jc w:val="both"/>
        <w:spacing w:after="0" w:line="223" w:lineRule="auto"/>
        <w:rPr>
          <w:sz w:val="20"/>
          <w:szCs w:val="20"/>
          <w:color w:val="auto"/>
        </w:rPr>
      </w:pPr>
      <w:r>
        <w:rPr>
          <w:rFonts w:ascii="Arial" w:cs="Arial" w:eastAsia="Arial" w:hAnsi="Arial"/>
          <w:sz w:val="22"/>
          <w:szCs w:val="22"/>
          <w:color w:val="auto"/>
        </w:rPr>
        <w:t>or any appurtenances thereto, any use or occupation of the Premises, or such franchises as may be appurtenant to the use of the Premises (all of which are sometimes herein referred to collectively as “</w:t>
      </w:r>
      <w:r>
        <w:rPr>
          <w:rFonts w:ascii="Arial" w:cs="Arial" w:eastAsia="Arial" w:hAnsi="Arial"/>
          <w:sz w:val="22"/>
          <w:szCs w:val="22"/>
          <w:b w:val="1"/>
          <w:bCs w:val="1"/>
          <w:color w:val="auto"/>
        </w:rPr>
        <w:t>Impositions</w:t>
      </w:r>
      <w:r>
        <w:rPr>
          <w:rFonts w:ascii="Arial" w:cs="Arial" w:eastAsia="Arial" w:hAnsi="Arial"/>
          <w:sz w:val="22"/>
          <w:szCs w:val="22"/>
          <w:color w:val="auto"/>
        </w:rPr>
        <w:t>” and individually as “</w:t>
      </w:r>
      <w:r>
        <w:rPr>
          <w:rFonts w:ascii="Arial" w:cs="Arial" w:eastAsia="Arial" w:hAnsi="Arial"/>
          <w:sz w:val="22"/>
          <w:szCs w:val="22"/>
          <w:b w:val="1"/>
          <w:bCs w:val="1"/>
          <w:color w:val="auto"/>
        </w:rPr>
        <w:t>Imposition</w:t>
      </w:r>
      <w:r>
        <w:rPr>
          <w:rFonts w:ascii="Arial" w:cs="Arial" w:eastAsia="Arial" w:hAnsi="Arial"/>
          <w:sz w:val="22"/>
          <w:szCs w:val="22"/>
          <w:color w:val="auto"/>
        </w:rPr>
        <w:t>”) provided, however, that:</w:t>
      </w:r>
    </w:p>
    <w:p>
      <w:pPr>
        <w:spacing w:after="0" w:line="159" w:lineRule="exact"/>
        <w:rPr>
          <w:sz w:val="20"/>
          <w:szCs w:val="20"/>
          <w:color w:val="auto"/>
        </w:rPr>
      </w:pPr>
    </w:p>
    <w:p>
      <w:pPr>
        <w:jc w:val="both"/>
        <w:ind w:firstLine="1304"/>
        <w:spacing w:after="0" w:line="257" w:lineRule="auto"/>
        <w:tabs>
          <w:tab w:leader="none" w:pos="1938" w:val="left"/>
        </w:tabs>
        <w:numPr>
          <w:ilvl w:val="0"/>
          <w:numId w:val="51"/>
        </w:numPr>
        <w:rPr>
          <w:rFonts w:ascii="Arial" w:cs="Arial" w:eastAsia="Arial" w:hAnsi="Arial"/>
          <w:sz w:val="19"/>
          <w:szCs w:val="19"/>
          <w:color w:val="auto"/>
        </w:rPr>
      </w:pPr>
      <w:r>
        <w:rPr>
          <w:rFonts w:ascii="Arial" w:cs="Arial" w:eastAsia="Arial" w:hAnsi="Arial"/>
          <w:sz w:val="19"/>
          <w:szCs w:val="19"/>
          <w:color w:val="auto"/>
        </w:rPr>
        <w:t>if, by law, any Imposition may at the option of the Tenant be paid in installments (whether or not interest shall accrue on the unpaid balance of such Imposition), Tenant may exercise the option to pay the same (and any accrued interest on the unpaid balance of such Imposition) in installments and in such event, shall pay such installments as they become due during the Term hereof before any fine, penalty, further interest or cost may be added thereto; and</w:t>
      </w:r>
    </w:p>
    <w:p>
      <w:pPr>
        <w:spacing w:after="0" w:line="144" w:lineRule="exact"/>
        <w:rPr>
          <w:rFonts w:ascii="Arial" w:cs="Arial" w:eastAsia="Arial" w:hAnsi="Arial"/>
          <w:sz w:val="19"/>
          <w:szCs w:val="19"/>
          <w:color w:val="auto"/>
        </w:rPr>
      </w:pPr>
    </w:p>
    <w:p>
      <w:pPr>
        <w:jc w:val="both"/>
        <w:ind w:firstLine="1304"/>
        <w:spacing w:after="0" w:line="249" w:lineRule="auto"/>
        <w:tabs>
          <w:tab w:leader="none" w:pos="1940" w:val="left"/>
        </w:tabs>
        <w:numPr>
          <w:ilvl w:val="0"/>
          <w:numId w:val="51"/>
        </w:numPr>
        <w:rPr>
          <w:rFonts w:ascii="Arial" w:cs="Arial" w:eastAsia="Arial" w:hAnsi="Arial"/>
          <w:sz w:val="19"/>
          <w:szCs w:val="19"/>
          <w:color w:val="auto"/>
        </w:rPr>
      </w:pPr>
      <w:r>
        <w:rPr>
          <w:rFonts w:ascii="Arial" w:cs="Arial" w:eastAsia="Arial" w:hAnsi="Arial"/>
          <w:sz w:val="19"/>
          <w:szCs w:val="19"/>
          <w:color w:val="auto"/>
        </w:rPr>
        <w:t>any Imposition (including Impositions which have been converted into installment payments by Tenant, as referred to in paragraph (A) of this Section) relating to a fiscal period of the taxing authority, a part of which period is included within the Term hereof and a part of which is included in the period of time after the expiration of the Term hereof shall (whether or not such Imposition shall be assessed, levied, confirmed, imposed upon or become a lien upon the Premises, or shall become payable, during the Term hereof) be adjusted between Landlord and Tenant as of the expiration of the Term hereof, so that Tenant shall pay that portion of such Imposition attributable to the tenancy period and Landlord shall pay the remainder thereof.</w:t>
      </w:r>
    </w:p>
    <w:p>
      <w:pPr>
        <w:spacing w:after="0" w:line="151" w:lineRule="exact"/>
        <w:rPr>
          <w:rFonts w:ascii="Arial" w:cs="Arial" w:eastAsia="Arial" w:hAnsi="Arial"/>
          <w:sz w:val="19"/>
          <w:szCs w:val="19"/>
          <w:color w:val="auto"/>
        </w:rPr>
      </w:pPr>
    </w:p>
    <w:p>
      <w:pPr>
        <w:jc w:val="both"/>
        <w:ind w:firstLine="1304"/>
        <w:spacing w:after="0" w:line="223" w:lineRule="auto"/>
        <w:tabs>
          <w:tab w:leader="none" w:pos="1940" w:val="left"/>
        </w:tabs>
        <w:numPr>
          <w:ilvl w:val="0"/>
          <w:numId w:val="51"/>
        </w:numPr>
        <w:rPr>
          <w:rFonts w:ascii="Arial" w:cs="Arial" w:eastAsia="Arial" w:hAnsi="Arial"/>
          <w:sz w:val="22"/>
          <w:szCs w:val="22"/>
          <w:color w:val="auto"/>
        </w:rPr>
      </w:pPr>
      <w:r>
        <w:rPr>
          <w:rFonts w:ascii="Arial" w:cs="Arial" w:eastAsia="Arial" w:hAnsi="Arial"/>
          <w:sz w:val="22"/>
          <w:szCs w:val="22"/>
          <w:color w:val="auto"/>
        </w:rPr>
        <w:t>In addition to the foregoing, on a semi-annual basis, concurrently with the payment of Net Rent, Tenant shall pay to Landlord the Purchase Price Prepayment Amount, to the extent applicable. The Purchase Price Prepayment Amount is and shall be included in the meaning of Additional Payments.</w:t>
      </w:r>
    </w:p>
    <w:p>
      <w:pPr>
        <w:spacing w:after="0" w:line="15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highlight w:val="yellow"/>
        </w:rPr>
        <w:t xml:space="preserve">1.9 </w:t>
      </w:r>
      <w:r>
        <w:rPr>
          <w:rFonts w:ascii="Arial" w:cs="Arial" w:eastAsia="Arial" w:hAnsi="Arial"/>
          <w:sz w:val="19"/>
          <w:szCs w:val="19"/>
          <w:b w:val="1"/>
          <w:bCs w:val="1"/>
          <w:u w:val="single" w:color="auto"/>
          <w:color w:val="auto"/>
        </w:rPr>
        <w:t>Payments</w:t>
      </w:r>
      <w:r>
        <w:rPr>
          <w:rFonts w:ascii="Arial" w:cs="Arial" w:eastAsia="Arial" w:hAnsi="Arial"/>
          <w:sz w:val="19"/>
          <w:szCs w:val="19"/>
          <w:color w:val="auto"/>
        </w:rPr>
        <w:t>. Except as provided in the Development Agreement, Tenant shall pay to Landlord, with and in addition</w:t>
      </w:r>
      <w:r>
        <w:rPr>
          <w:rFonts w:ascii="Arial" w:cs="Arial" w:eastAsia="Arial" w:hAnsi="Arial"/>
          <w:sz w:val="19"/>
          <w:szCs w:val="19"/>
          <w:color w:val="auto"/>
          <w:highlight w:val="yellow"/>
        </w:rPr>
        <w:t xml:space="preserve"> </w:t>
      </w:r>
      <w:r>
        <w:rPr>
          <w:rFonts w:ascii="Arial" w:cs="Arial" w:eastAsia="Arial" w:hAnsi="Arial"/>
          <w:sz w:val="19"/>
          <w:szCs w:val="19"/>
          <w:color w:val="auto"/>
        </w:rPr>
        <w:t>to the annual rental payments, any transaction privilege taxes imposed by any governmental unit on the rentals received by Landlord pursuant to the terms of this Lease. Tenant shall pay all other Impositions directly to the taxing authority or authorities.</w:t>
      </w:r>
    </w:p>
    <w:p>
      <w:pPr>
        <w:spacing w:after="0" w:line="12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9"/>
          <w:szCs w:val="19"/>
          <w:color w:val="auto"/>
          <w:highlight w:val="yellow"/>
        </w:rPr>
        <w:t xml:space="preserve">1.10 </w:t>
      </w:r>
      <w:r>
        <w:rPr>
          <w:rFonts w:ascii="Arial" w:cs="Arial" w:eastAsia="Arial" w:hAnsi="Arial"/>
          <w:sz w:val="19"/>
          <w:szCs w:val="19"/>
          <w:b w:val="1"/>
          <w:bCs w:val="1"/>
          <w:u w:val="single" w:color="auto"/>
          <w:color w:val="auto"/>
        </w:rPr>
        <w:t>Contest</w:t>
      </w:r>
      <w:r>
        <w:rPr>
          <w:rFonts w:ascii="Arial" w:cs="Arial" w:eastAsia="Arial" w:hAnsi="Arial"/>
          <w:sz w:val="19"/>
          <w:szCs w:val="19"/>
          <w:color w:val="auto"/>
          <w:highlight w:val="yellow"/>
        </w:rPr>
        <w:t xml:space="preserve"> </w:t>
      </w:r>
      <w:r>
        <w:rPr>
          <w:rFonts w:ascii="Arial" w:cs="Arial" w:eastAsia="Arial" w:hAnsi="Arial"/>
          <w:sz w:val="19"/>
          <w:szCs w:val="19"/>
          <w:color w:val="auto"/>
        </w:rPr>
        <w:t>. Tenant, if it shall so desire, may contest the validity or amount of any Imposition, in which event, Tenant</w:t>
      </w:r>
      <w:r>
        <w:rPr>
          <w:rFonts w:ascii="Arial" w:cs="Arial" w:eastAsia="Arial" w:hAnsi="Arial"/>
          <w:sz w:val="19"/>
          <w:szCs w:val="19"/>
          <w:color w:val="auto"/>
          <w:highlight w:val="yellow"/>
        </w:rPr>
        <w:t xml:space="preserve"> </w:t>
      </w:r>
      <w:r>
        <w:rPr>
          <w:rFonts w:ascii="Arial" w:cs="Arial" w:eastAsia="Arial" w:hAnsi="Arial"/>
          <w:sz w:val="19"/>
          <w:szCs w:val="19"/>
          <w:color w:val="auto"/>
        </w:rPr>
        <w:t>may defer the payment thereof during the pendency of such contest. Nothing herein contained, however, shall be so construed as to allow such item to remain unpaid for a length of time that permits the Premises or any part thereof, or the lien thereon created by such Imposition to be sold for the nonpayment of the same. If title to the Premises or any part thereof is so impaired or jeopardized by such deferral of payment, Tenant shall deposit with Landlord an amount sufficient to pay such contested item together with applicable interest and penalties, which amount shall be applied to the payment of such item when the amount thereof shall be finally fixed and determined. If the amount so deposited shall exceed the amount of such payment, the excess shall be paid to Tenant or, in case there shall be any deficiency, the amount of such deficiency shall be promptly paid by Tenant to Landlord together with all interest, penalties or other charges accruing thereon.</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1"/>
          <w:szCs w:val="21"/>
          <w:color w:val="auto"/>
          <w:highlight w:val="yellow"/>
        </w:rPr>
        <w:t xml:space="preserve">1.11 </w:t>
      </w:r>
      <w:r>
        <w:rPr>
          <w:rFonts w:ascii="Arial" w:cs="Arial" w:eastAsia="Arial" w:hAnsi="Arial"/>
          <w:sz w:val="21"/>
          <w:szCs w:val="21"/>
          <w:b w:val="1"/>
          <w:bCs w:val="1"/>
          <w:u w:val="single" w:color="auto"/>
          <w:color w:val="auto"/>
        </w:rPr>
        <w:t>Imposition Reduction</w:t>
      </w:r>
      <w:r>
        <w:rPr>
          <w:rFonts w:ascii="Arial" w:cs="Arial" w:eastAsia="Arial" w:hAnsi="Arial"/>
          <w:sz w:val="21"/>
          <w:szCs w:val="21"/>
          <w:color w:val="auto"/>
        </w:rPr>
        <w:t>. Tenant may, if it shall so desire, without expense to Landlord, endeavor at any time to</w:t>
      </w:r>
      <w:r>
        <w:rPr>
          <w:rFonts w:ascii="Arial" w:cs="Arial" w:eastAsia="Arial" w:hAnsi="Arial"/>
          <w:sz w:val="21"/>
          <w:szCs w:val="21"/>
          <w:color w:val="auto"/>
          <w:highlight w:val="yellow"/>
        </w:rPr>
        <w:t xml:space="preserve"> </w:t>
      </w:r>
      <w:r>
        <w:rPr>
          <w:rFonts w:ascii="Arial" w:cs="Arial" w:eastAsia="Arial" w:hAnsi="Arial"/>
          <w:sz w:val="21"/>
          <w:szCs w:val="21"/>
          <w:color w:val="auto"/>
        </w:rPr>
        <w:t>obtain a lowering of an Imposition or assessment upon the Premises for the purpose of reducing the amount thereof. Tenant shall be authorized to collect any refund payable as a result of any proceeding Tenant may institute for that purpose and any such refund shall be the property of Tenant to the extent to which it may be based on a payment made by Tenant. Tenant hereby agrees to save Landlord harmless from all costs, expenses, claims, loss or damage by reason of, in connection with, on account of, growing out of, or resulting from, any such action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01" w:right="339" w:bottom="1440" w:gutter="0" w:footer="0" w:header="0"/>
        </w:sectPr>
      </w:pPr>
    </w:p>
    <w:bookmarkStart w:id="103" w:name="page104"/>
    <w:bookmarkEnd w:id="103"/>
    <w:p>
      <w:pPr>
        <w:spacing w:after="0"/>
        <w:rPr>
          <w:sz w:val="20"/>
          <w:szCs w:val="20"/>
          <w:color w:val="auto"/>
        </w:rPr>
      </w:pPr>
      <w:r>
        <w:rPr>
          <w:rFonts w:ascii="Arial" w:cs="Arial" w:eastAsia="Arial" w:hAnsi="Arial"/>
          <w:sz w:val="22"/>
          <w:szCs w:val="22"/>
          <w:b w:val="1"/>
          <w:bCs w:val="1"/>
          <w:color w:val="auto"/>
        </w:rPr>
        <w:t xml:space="preserve">SECTION 4.  </w:t>
      </w:r>
      <w:r>
        <w:rPr>
          <w:rFonts w:ascii="Arial" w:cs="Arial" w:eastAsia="Arial" w:hAnsi="Arial"/>
          <w:sz w:val="22"/>
          <w:szCs w:val="22"/>
          <w:b w:val="1"/>
          <w:bCs w:val="1"/>
          <w:u w:val="single" w:color="auto"/>
          <w:color w:val="auto"/>
        </w:rPr>
        <w:t>INSURANCE</w:t>
      </w:r>
    </w:p>
    <w:p>
      <w:pPr>
        <w:spacing w:after="0" w:line="179"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highlight w:val="yellow"/>
        </w:rPr>
        <w:t xml:space="preserve">1.12 </w:t>
      </w:r>
      <w:r>
        <w:rPr>
          <w:rFonts w:ascii="Arial" w:cs="Arial" w:eastAsia="Arial" w:hAnsi="Arial"/>
          <w:sz w:val="21"/>
          <w:szCs w:val="21"/>
          <w:b w:val="1"/>
          <w:bCs w:val="1"/>
          <w:u w:val="single" w:color="auto"/>
          <w:color w:val="auto"/>
        </w:rPr>
        <w:t>Tenant Obligation to Insure</w:t>
      </w:r>
      <w:r>
        <w:rPr>
          <w:rFonts w:ascii="Arial" w:cs="Arial" w:eastAsia="Arial" w:hAnsi="Arial"/>
          <w:sz w:val="21"/>
          <w:szCs w:val="21"/>
          <w:color w:val="auto"/>
        </w:rPr>
        <w:t>. Tenant shall procure and maintain during the Term, at Tenant’s own cost and</w:t>
      </w:r>
      <w:r>
        <w:rPr>
          <w:rFonts w:ascii="Arial" w:cs="Arial" w:eastAsia="Arial" w:hAnsi="Arial"/>
          <w:sz w:val="21"/>
          <w:szCs w:val="21"/>
          <w:color w:val="auto"/>
          <w:highlight w:val="yellow"/>
        </w:rPr>
        <w:t xml:space="preserve"> </w:t>
      </w:r>
      <w:r>
        <w:rPr>
          <w:rFonts w:ascii="Arial" w:cs="Arial" w:eastAsia="Arial" w:hAnsi="Arial"/>
          <w:sz w:val="21"/>
          <w:szCs w:val="21"/>
          <w:color w:val="auto"/>
        </w:rPr>
        <w:t>expense, or in the case of subtenants either procure and maintain or cause to be procured and maintained, insurance against claims for injuries to persons or damages to property which may arise from or in connection with this Lease by the Tenant, its agents, representatives, employees, contractors or subtenants. The insurance requirements herein are minimum requirements for this Lease and in no way limit the indemnity covenants contained in this Lease. Landlord in no way warrants that the minimum limits contained herein are sufficient to protect the Tenant from liabilities that might arise out of this Lease for the Tenant, its agents, representatives, employees, contractors or subtenants, and Tenant is free to purchase such additional insurance as may be determined necessary.</w:t>
      </w:r>
    </w:p>
    <w:p>
      <w:pPr>
        <w:spacing w:after="0" w:line="163" w:lineRule="exact"/>
        <w:rPr>
          <w:sz w:val="20"/>
          <w:szCs w:val="20"/>
          <w:color w:val="auto"/>
        </w:rPr>
      </w:pPr>
    </w:p>
    <w:p>
      <w:pPr>
        <w:ind w:right="20" w:firstLine="1304"/>
        <w:spacing w:after="0" w:line="232" w:lineRule="auto"/>
        <w:tabs>
          <w:tab w:leader="none" w:pos="1938"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Minimum Scope and Limits of Insurance</w:t>
      </w:r>
      <w:r>
        <w:rPr>
          <w:rFonts w:ascii="Arial" w:cs="Arial" w:eastAsia="Arial" w:hAnsi="Arial"/>
          <w:sz w:val="22"/>
          <w:szCs w:val="22"/>
          <w:color w:val="auto"/>
        </w:rPr>
        <w:t>. Tenant shall provide coverage at least as broad and with limits of liability not less than those stated below:</w:t>
      </w:r>
    </w:p>
    <w:p>
      <w:pPr>
        <w:spacing w:after="0" w:line="152" w:lineRule="exact"/>
        <w:rPr>
          <w:rFonts w:ascii="Arial" w:cs="Arial" w:eastAsia="Arial" w:hAnsi="Arial"/>
          <w:sz w:val="22"/>
          <w:szCs w:val="22"/>
          <w:color w:val="auto"/>
        </w:rPr>
      </w:pPr>
    </w:p>
    <w:p>
      <w:pPr>
        <w:ind w:left="2580" w:hanging="628"/>
        <w:spacing w:after="0"/>
        <w:tabs>
          <w:tab w:leader="none" w:pos="2580" w:val="left"/>
        </w:tabs>
        <w:numPr>
          <w:ilvl w:val="1"/>
          <w:numId w:val="52"/>
        </w:numPr>
        <w:rPr>
          <w:rFonts w:ascii="Arial" w:cs="Arial" w:eastAsia="Arial" w:hAnsi="Arial"/>
          <w:sz w:val="22"/>
          <w:szCs w:val="22"/>
          <w:color w:val="auto"/>
        </w:rPr>
      </w:pPr>
      <w:r>
        <w:rPr>
          <w:rFonts w:ascii="Arial" w:cs="Arial" w:eastAsia="Arial" w:hAnsi="Arial"/>
          <w:sz w:val="22"/>
          <w:szCs w:val="22"/>
          <w:b w:val="1"/>
          <w:bCs w:val="1"/>
          <w:color w:val="auto"/>
        </w:rPr>
        <w:t>Commercial General Liability – Occurrence Form</w:t>
      </w:r>
    </w:p>
    <w:p>
      <w:pPr>
        <w:spacing w:after="0" w:line="185" w:lineRule="exact"/>
        <w:rPr>
          <w:rFonts w:ascii="Arial" w:cs="Arial" w:eastAsia="Arial" w:hAnsi="Arial"/>
          <w:sz w:val="22"/>
          <w:szCs w:val="22"/>
          <w:color w:val="auto"/>
        </w:rPr>
      </w:pPr>
    </w:p>
    <w:p>
      <w:pPr>
        <w:ind w:left="2600"/>
        <w:spacing w:after="0"/>
        <w:rPr>
          <w:rFonts w:ascii="Arial" w:cs="Arial" w:eastAsia="Arial" w:hAnsi="Arial"/>
          <w:sz w:val="22"/>
          <w:szCs w:val="22"/>
          <w:color w:val="auto"/>
        </w:rPr>
      </w:pPr>
      <w:r>
        <w:rPr>
          <w:rFonts w:ascii="Arial" w:cs="Arial" w:eastAsia="Arial" w:hAnsi="Arial"/>
          <w:sz w:val="19"/>
          <w:szCs w:val="19"/>
          <w:color w:val="auto"/>
        </w:rPr>
        <w:t>Policy shall include bodily injury, property damage, hostile fire and contractual liability coverage.</w:t>
      </w:r>
    </w:p>
    <w:p>
      <w:pPr>
        <w:spacing w:after="0" w:line="268" w:lineRule="exact"/>
        <w:rPr>
          <w:sz w:val="20"/>
          <w:szCs w:val="20"/>
          <w:color w:val="auto"/>
        </w:rPr>
      </w:pPr>
    </w:p>
    <w:tbl>
      <w:tblPr>
        <w:tblLayout w:type="fixed"/>
        <w:tblInd w:w="2660" w:type="dxa"/>
        <w:tblCellMar>
          <w:top w:w="0" w:type="dxa"/>
          <w:left w:w="0" w:type="dxa"/>
          <w:bottom w:w="0" w:type="dxa"/>
          <w:right w:w="0" w:type="dxa"/>
        </w:tblCellMar>
      </w:tblPr>
      <w:tr>
        <w:trPr>
          <w:trHeight w:val="274"/>
        </w:trPr>
        <w:tc>
          <w:tcPr>
            <w:tcW w:w="2680" w:type="dxa"/>
            <w:vAlign w:val="bottom"/>
          </w:tcPr>
          <w:p>
            <w:pPr>
              <w:spacing w:after="0"/>
              <w:rPr>
                <w:sz w:val="20"/>
                <w:szCs w:val="20"/>
                <w:color w:val="auto"/>
              </w:rPr>
            </w:pPr>
            <w:r>
              <w:rPr>
                <w:rFonts w:ascii="Arial" w:cs="Arial" w:eastAsia="Arial" w:hAnsi="Arial"/>
                <w:sz w:val="22"/>
                <w:szCs w:val="22"/>
                <w:color w:val="auto"/>
              </w:rPr>
              <w:t>General Aggregate</w:t>
            </w:r>
          </w:p>
        </w:tc>
        <w:tc>
          <w:tcPr>
            <w:tcW w:w="13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$5,000,000.00</w:t>
            </w:r>
          </w:p>
        </w:tc>
      </w:tr>
      <w:tr>
        <w:trPr>
          <w:trHeight w:val="252"/>
        </w:trPr>
        <w:tc>
          <w:tcPr>
            <w:tcW w:w="2680" w:type="dxa"/>
            <w:vAlign w:val="bottom"/>
          </w:tcPr>
          <w:p>
            <w:pPr>
              <w:spacing w:after="0"/>
              <w:rPr>
                <w:sz w:val="20"/>
                <w:szCs w:val="20"/>
                <w:color w:val="auto"/>
              </w:rPr>
            </w:pPr>
            <w:r>
              <w:rPr>
                <w:rFonts w:ascii="Arial" w:cs="Arial" w:eastAsia="Arial" w:hAnsi="Arial"/>
                <w:sz w:val="22"/>
                <w:szCs w:val="22"/>
                <w:color w:val="auto"/>
              </w:rPr>
              <w:t>Products-Completed</w:t>
            </w:r>
          </w:p>
        </w:tc>
        <w:tc>
          <w:tcPr>
            <w:tcW w:w="1380" w:type="dxa"/>
            <w:vAlign w:val="bottom"/>
          </w:tcPr>
          <w:p>
            <w:pPr>
              <w:ind w:left="40"/>
              <w:spacing w:after="0"/>
              <w:rPr>
                <w:sz w:val="20"/>
                <w:szCs w:val="20"/>
                <w:color w:val="auto"/>
              </w:rPr>
            </w:pPr>
            <w:r>
              <w:rPr>
                <w:rFonts w:ascii="Arial" w:cs="Arial" w:eastAsia="Arial" w:hAnsi="Arial"/>
                <w:sz w:val="22"/>
                <w:szCs w:val="22"/>
                <w:color w:val="auto"/>
              </w:rPr>
              <w:t>Operations</w:t>
            </w:r>
          </w:p>
        </w:tc>
        <w:tc>
          <w:tcPr>
            <w:tcW w:w="1620" w:type="dxa"/>
            <w:vAlign w:val="bottom"/>
          </w:tcPr>
          <w:p>
            <w:pPr>
              <w:jc w:val="right"/>
              <w:spacing w:after="0"/>
              <w:rPr>
                <w:sz w:val="20"/>
                <w:szCs w:val="20"/>
                <w:color w:val="auto"/>
              </w:rPr>
            </w:pPr>
            <w:r>
              <w:rPr>
                <w:rFonts w:ascii="Arial" w:cs="Arial" w:eastAsia="Arial" w:hAnsi="Arial"/>
                <w:sz w:val="22"/>
                <w:szCs w:val="22"/>
                <w:color w:val="auto"/>
              </w:rPr>
              <w:t>$5,000,000.00</w:t>
            </w:r>
          </w:p>
        </w:tc>
      </w:tr>
      <w:tr>
        <w:trPr>
          <w:trHeight w:val="274"/>
        </w:trPr>
        <w:tc>
          <w:tcPr>
            <w:tcW w:w="2680" w:type="dxa"/>
            <w:vAlign w:val="bottom"/>
          </w:tcPr>
          <w:p>
            <w:pPr>
              <w:spacing w:after="0"/>
              <w:rPr>
                <w:sz w:val="20"/>
                <w:szCs w:val="20"/>
                <w:color w:val="auto"/>
              </w:rPr>
            </w:pPr>
            <w:r>
              <w:rPr>
                <w:rFonts w:ascii="Arial" w:cs="Arial" w:eastAsia="Arial" w:hAnsi="Arial"/>
                <w:sz w:val="22"/>
                <w:szCs w:val="22"/>
                <w:color w:val="auto"/>
              </w:rPr>
              <w:t>Aggregate</w:t>
            </w:r>
          </w:p>
        </w:tc>
        <w:tc>
          <w:tcPr>
            <w:tcW w:w="13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9"/>
        </w:trPr>
        <w:tc>
          <w:tcPr>
            <w:tcW w:w="2680" w:type="dxa"/>
            <w:vAlign w:val="bottom"/>
          </w:tcPr>
          <w:p>
            <w:pPr>
              <w:spacing w:after="0"/>
              <w:rPr>
                <w:sz w:val="20"/>
                <w:szCs w:val="20"/>
                <w:color w:val="auto"/>
              </w:rPr>
            </w:pPr>
            <w:r>
              <w:rPr>
                <w:rFonts w:ascii="Arial" w:cs="Arial" w:eastAsia="Arial" w:hAnsi="Arial"/>
                <w:sz w:val="22"/>
                <w:szCs w:val="22"/>
                <w:color w:val="auto"/>
                <w:w w:val="94"/>
              </w:rPr>
              <w:t>Personal &amp; Advertising Injury</w:t>
            </w:r>
          </w:p>
        </w:tc>
        <w:tc>
          <w:tcPr>
            <w:tcW w:w="13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$5,000,000.00</w:t>
            </w:r>
          </w:p>
        </w:tc>
      </w:tr>
      <w:tr>
        <w:trPr>
          <w:trHeight w:val="274"/>
        </w:trPr>
        <w:tc>
          <w:tcPr>
            <w:tcW w:w="2680" w:type="dxa"/>
            <w:vAlign w:val="bottom"/>
          </w:tcPr>
          <w:p>
            <w:pPr>
              <w:spacing w:after="0"/>
              <w:rPr>
                <w:sz w:val="20"/>
                <w:szCs w:val="20"/>
                <w:color w:val="auto"/>
              </w:rPr>
            </w:pPr>
            <w:r>
              <w:rPr>
                <w:rFonts w:ascii="Arial" w:cs="Arial" w:eastAsia="Arial" w:hAnsi="Arial"/>
                <w:sz w:val="22"/>
                <w:szCs w:val="22"/>
                <w:color w:val="auto"/>
              </w:rPr>
              <w:t>Each Occurrence</w:t>
            </w:r>
          </w:p>
        </w:tc>
        <w:tc>
          <w:tcPr>
            <w:tcW w:w="13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$5,000,000.00</w:t>
            </w:r>
          </w:p>
        </w:tc>
      </w:tr>
    </w:tbl>
    <w:p>
      <w:pPr>
        <w:spacing w:after="0" w:line="200" w:lineRule="exact"/>
        <w:rPr>
          <w:sz w:val="20"/>
          <w:szCs w:val="20"/>
          <w:color w:val="auto"/>
        </w:rPr>
      </w:pPr>
    </w:p>
    <w:p>
      <w:pPr>
        <w:spacing w:after="0" w:line="336" w:lineRule="exact"/>
        <w:rPr>
          <w:sz w:val="20"/>
          <w:szCs w:val="20"/>
          <w:color w:val="auto"/>
        </w:rPr>
      </w:pPr>
    </w:p>
    <w:p>
      <w:pPr>
        <w:jc w:val="both"/>
        <w:ind w:left="2600"/>
        <w:spacing w:after="0" w:line="223" w:lineRule="auto"/>
        <w:rPr>
          <w:sz w:val="20"/>
          <w:szCs w:val="20"/>
          <w:color w:val="auto"/>
        </w:rPr>
      </w:pPr>
      <w:r>
        <w:rPr>
          <w:rFonts w:ascii="Arial" w:cs="Arial" w:eastAsia="Arial" w:hAnsi="Arial"/>
          <w:sz w:val="22"/>
          <w:szCs w:val="22"/>
          <w:color w:val="auto"/>
        </w:rPr>
        <w:t>The policy shall be endorsed to include the following additional insured language: “Pinal County shall be named as an additional insured with respect to liability arising out of the use and/or occupancy of the property subject to this Lease.”</w:t>
      </w:r>
    </w:p>
    <w:p>
      <w:pPr>
        <w:spacing w:after="0" w:line="153" w:lineRule="exact"/>
        <w:rPr>
          <w:sz w:val="20"/>
          <w:szCs w:val="20"/>
          <w:color w:val="auto"/>
        </w:rPr>
      </w:pPr>
    </w:p>
    <w:p>
      <w:pPr>
        <w:ind w:left="2600" w:hanging="648"/>
        <w:spacing w:after="0"/>
        <w:tabs>
          <w:tab w:leader="none" w:pos="2600"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t>Pollution Legal Liability</w:t>
      </w:r>
    </w:p>
    <w:p>
      <w:pPr>
        <w:spacing w:after="0" w:line="185" w:lineRule="exact"/>
        <w:rPr>
          <w:rFonts w:ascii="Arial" w:cs="Arial" w:eastAsia="Arial" w:hAnsi="Arial"/>
          <w:sz w:val="22"/>
          <w:szCs w:val="22"/>
          <w:color w:val="auto"/>
        </w:rPr>
      </w:pPr>
    </w:p>
    <w:p>
      <w:pPr>
        <w:ind w:left="2600"/>
        <w:spacing w:after="0"/>
        <w:rPr>
          <w:rFonts w:ascii="Arial" w:cs="Arial" w:eastAsia="Arial" w:hAnsi="Arial"/>
          <w:sz w:val="22"/>
          <w:szCs w:val="22"/>
          <w:color w:val="auto"/>
        </w:rPr>
      </w:pPr>
      <w:r>
        <w:rPr>
          <w:rFonts w:ascii="Arial" w:cs="Arial" w:eastAsia="Arial" w:hAnsi="Arial"/>
          <w:sz w:val="22"/>
          <w:szCs w:val="22"/>
          <w:color w:val="auto"/>
        </w:rPr>
        <w:t>Policy shall include coverage for the following:</w:t>
      </w:r>
    </w:p>
    <w:p>
      <w:pPr>
        <w:spacing w:after="0" w:line="214"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On-Site  and  Off-  Site  Clean-up  of  new $5,000,000.00</w:t>
      </w:r>
    </w:p>
    <w:p>
      <w:pPr>
        <w:ind w:left="2620"/>
        <w:spacing w:after="0"/>
        <w:rPr>
          <w:sz w:val="20"/>
          <w:szCs w:val="20"/>
          <w:color w:val="auto"/>
        </w:rPr>
      </w:pPr>
      <w:r>
        <w:rPr>
          <w:rFonts w:ascii="Arial" w:cs="Arial" w:eastAsia="Arial" w:hAnsi="Arial"/>
          <w:sz w:val="22"/>
          <w:szCs w:val="22"/>
          <w:color w:val="auto"/>
        </w:rPr>
        <w:t>conditions</w:t>
      </w:r>
    </w:p>
    <w:tbl>
      <w:tblPr>
        <w:tblLayout w:type="fixed"/>
        <w:tblInd w:w="2660" w:type="dxa"/>
        <w:tblCellMar>
          <w:top w:w="0" w:type="dxa"/>
          <w:left w:w="0" w:type="dxa"/>
          <w:bottom w:w="0" w:type="dxa"/>
          <w:right w:w="0" w:type="dxa"/>
        </w:tblCellMar>
      </w:tblPr>
      <w:tr>
        <w:trPr>
          <w:trHeight w:val="242"/>
        </w:trPr>
        <w:tc>
          <w:tcPr>
            <w:tcW w:w="3840" w:type="dxa"/>
            <w:vAlign w:val="bottom"/>
          </w:tcPr>
          <w:p>
            <w:pPr>
              <w:spacing w:after="0" w:line="242" w:lineRule="exact"/>
              <w:rPr>
                <w:sz w:val="20"/>
                <w:szCs w:val="20"/>
                <w:color w:val="auto"/>
              </w:rPr>
            </w:pPr>
            <w:r>
              <w:rPr>
                <w:rFonts w:ascii="Arial" w:cs="Arial" w:eastAsia="Arial" w:hAnsi="Arial"/>
                <w:sz w:val="22"/>
                <w:szCs w:val="22"/>
                <w:color w:val="auto"/>
              </w:rPr>
              <w:t>Third Party Claims for On-Site and Off-</w:t>
            </w:r>
          </w:p>
        </w:tc>
        <w:tc>
          <w:tcPr>
            <w:tcW w:w="1400" w:type="dxa"/>
            <w:vAlign w:val="bottom"/>
          </w:tcPr>
          <w:p>
            <w:pPr>
              <w:jc w:val="right"/>
              <w:spacing w:after="0" w:line="242" w:lineRule="exact"/>
              <w:rPr>
                <w:sz w:val="20"/>
                <w:szCs w:val="20"/>
                <w:color w:val="auto"/>
              </w:rPr>
            </w:pPr>
            <w:r>
              <w:rPr>
                <w:rFonts w:ascii="Arial" w:cs="Arial" w:eastAsia="Arial" w:hAnsi="Arial"/>
                <w:sz w:val="22"/>
                <w:szCs w:val="22"/>
                <w:color w:val="auto"/>
                <w:w w:val="98"/>
              </w:rPr>
              <w:t>$5,000,000.00</w:t>
            </w:r>
          </w:p>
        </w:tc>
      </w:tr>
      <w:tr>
        <w:trPr>
          <w:trHeight w:val="274"/>
        </w:trPr>
        <w:tc>
          <w:tcPr>
            <w:tcW w:w="3840" w:type="dxa"/>
            <w:vAlign w:val="bottom"/>
          </w:tcPr>
          <w:p>
            <w:pPr>
              <w:spacing w:after="0"/>
              <w:rPr>
                <w:sz w:val="20"/>
                <w:szCs w:val="20"/>
                <w:color w:val="auto"/>
              </w:rPr>
            </w:pPr>
            <w:r>
              <w:rPr>
                <w:rFonts w:ascii="Arial" w:cs="Arial" w:eastAsia="Arial" w:hAnsi="Arial"/>
                <w:sz w:val="22"/>
                <w:szCs w:val="22"/>
                <w:color w:val="auto"/>
              </w:rPr>
              <w:t>Site</w:t>
            </w:r>
          </w:p>
        </w:tc>
        <w:tc>
          <w:tcPr>
            <w:tcW w:w="1400" w:type="dxa"/>
            <w:vAlign w:val="bottom"/>
          </w:tcPr>
          <w:p>
            <w:pPr>
              <w:spacing w:after="0"/>
              <w:rPr>
                <w:sz w:val="23"/>
                <w:szCs w:val="23"/>
                <w:color w:val="auto"/>
              </w:rPr>
            </w:pPr>
          </w:p>
        </w:tc>
      </w:tr>
      <w:tr>
        <w:trPr>
          <w:trHeight w:val="283"/>
        </w:trPr>
        <w:tc>
          <w:tcPr>
            <w:tcW w:w="3840" w:type="dxa"/>
            <w:vAlign w:val="bottom"/>
          </w:tcPr>
          <w:p>
            <w:pPr>
              <w:spacing w:after="0"/>
              <w:rPr>
                <w:sz w:val="20"/>
                <w:szCs w:val="20"/>
                <w:color w:val="auto"/>
              </w:rPr>
            </w:pPr>
            <w:r>
              <w:rPr>
                <w:rFonts w:ascii="Arial" w:cs="Arial" w:eastAsia="Arial" w:hAnsi="Arial"/>
                <w:sz w:val="22"/>
                <w:szCs w:val="22"/>
                <w:color w:val="auto"/>
              </w:rPr>
              <w:t>BI and PD arising from new conditions</w:t>
            </w:r>
          </w:p>
        </w:tc>
        <w:tc>
          <w:tcPr>
            <w:tcW w:w="1400" w:type="dxa"/>
            <w:vAlign w:val="bottom"/>
          </w:tcPr>
          <w:p>
            <w:pPr>
              <w:jc w:val="right"/>
              <w:spacing w:after="0"/>
              <w:rPr>
                <w:sz w:val="20"/>
                <w:szCs w:val="20"/>
                <w:color w:val="auto"/>
              </w:rPr>
            </w:pPr>
            <w:r>
              <w:rPr>
                <w:rFonts w:ascii="Arial" w:cs="Arial" w:eastAsia="Arial" w:hAnsi="Arial"/>
                <w:sz w:val="22"/>
                <w:szCs w:val="22"/>
                <w:color w:val="auto"/>
                <w:w w:val="98"/>
              </w:rPr>
              <w:t>$5,000,000.00</w:t>
            </w:r>
          </w:p>
        </w:tc>
      </w:tr>
    </w:tbl>
    <w:p>
      <w:pPr>
        <w:ind w:left="2620"/>
        <w:spacing w:after="0"/>
        <w:tabs>
          <w:tab w:leader="none" w:pos="3940" w:val="left"/>
          <w:tab w:leader="none" w:pos="4980" w:val="left"/>
          <w:tab w:leader="none" w:pos="5980" w:val="left"/>
        </w:tabs>
        <w:rPr>
          <w:sz w:val="20"/>
          <w:szCs w:val="20"/>
          <w:color w:val="auto"/>
        </w:rPr>
      </w:pPr>
      <w:r>
        <w:rPr>
          <w:rFonts w:ascii="Arial" w:cs="Arial" w:eastAsia="Arial" w:hAnsi="Arial"/>
          <w:sz w:val="22"/>
          <w:szCs w:val="22"/>
          <w:color w:val="auto"/>
        </w:rPr>
        <w:t>Contractor’s</w:t>
        <w:tab/>
        <w:t>Pollution</w:t>
        <w:tab/>
        <w:t>Liability</w:t>
      </w:r>
      <w:r>
        <w:rPr>
          <w:sz w:val="20"/>
          <w:szCs w:val="20"/>
          <w:color w:val="auto"/>
        </w:rPr>
        <w:tab/>
      </w:r>
      <w:r>
        <w:rPr>
          <w:rFonts w:ascii="Arial" w:cs="Arial" w:eastAsia="Arial" w:hAnsi="Arial"/>
          <w:sz w:val="19"/>
          <w:szCs w:val="19"/>
          <w:color w:val="auto"/>
        </w:rPr>
        <w:t>during $5,000,000.00</w:t>
      </w:r>
    </w:p>
    <w:p>
      <w:pPr>
        <w:spacing w:after="0" w:line="1"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Construction</w:t>
      </w:r>
    </w:p>
    <w:p>
      <w:pPr>
        <w:spacing w:after="0" w:line="200" w:lineRule="exact"/>
        <w:rPr>
          <w:sz w:val="20"/>
          <w:szCs w:val="20"/>
          <w:color w:val="auto"/>
        </w:rPr>
      </w:pPr>
    </w:p>
    <w:p>
      <w:pPr>
        <w:spacing w:after="0" w:line="312" w:lineRule="exact"/>
        <w:rPr>
          <w:sz w:val="20"/>
          <w:szCs w:val="20"/>
          <w:color w:val="auto"/>
        </w:rPr>
      </w:pPr>
    </w:p>
    <w:p>
      <w:pPr>
        <w:jc w:val="both"/>
        <w:ind w:left="2600"/>
        <w:spacing w:after="0" w:line="223" w:lineRule="auto"/>
        <w:rPr>
          <w:sz w:val="20"/>
          <w:szCs w:val="20"/>
          <w:color w:val="auto"/>
        </w:rPr>
      </w:pPr>
      <w:r>
        <w:rPr>
          <w:rFonts w:ascii="Arial" w:cs="Arial" w:eastAsia="Arial" w:hAnsi="Arial"/>
          <w:sz w:val="22"/>
          <w:szCs w:val="22"/>
          <w:color w:val="auto"/>
        </w:rPr>
        <w:t>The policy shall be endorsed to include the following additional insured language: “Pinal County shall be named as an additional insured with respect to liability arising out of the use and/or occupancy of the property subject to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395" w:right="339" w:bottom="1440" w:gutter="0" w:footer="0" w:header="0"/>
        </w:sectPr>
      </w:pPr>
    </w:p>
    <w:bookmarkStart w:id="104" w:name="page105"/>
    <w:bookmarkEnd w:id="104"/>
    <w:p>
      <w:pPr>
        <w:ind w:left="2600" w:hanging="648"/>
        <w:spacing w:after="0"/>
        <w:tabs>
          <w:tab w:leader="none" w:pos="2600" w:val="left"/>
        </w:tabs>
        <w:numPr>
          <w:ilvl w:val="1"/>
          <w:numId w:val="54"/>
        </w:numPr>
        <w:rPr>
          <w:rFonts w:ascii="Arial" w:cs="Arial" w:eastAsia="Arial" w:hAnsi="Arial"/>
          <w:sz w:val="22"/>
          <w:szCs w:val="22"/>
          <w:color w:val="auto"/>
        </w:rPr>
      </w:pPr>
      <w:r>
        <w:rPr>
          <w:rFonts w:ascii="Arial" w:cs="Arial" w:eastAsia="Arial" w:hAnsi="Arial"/>
          <w:sz w:val="22"/>
          <w:szCs w:val="22"/>
          <w:b w:val="1"/>
          <w:bCs w:val="1"/>
          <w:color w:val="auto"/>
        </w:rPr>
        <w:t>All Risk or Special Form Property Insurance</w:t>
      </w:r>
    </w:p>
    <w:p>
      <w:pPr>
        <w:spacing w:after="0" w:line="185" w:lineRule="exact"/>
        <w:rPr>
          <w:rFonts w:ascii="Arial" w:cs="Arial" w:eastAsia="Arial" w:hAnsi="Arial"/>
          <w:sz w:val="22"/>
          <w:szCs w:val="22"/>
          <w:color w:val="auto"/>
        </w:rPr>
      </w:pPr>
    </w:p>
    <w:p>
      <w:pPr>
        <w:jc w:val="both"/>
        <w:ind w:left="2600"/>
        <w:spacing w:after="0" w:line="223" w:lineRule="auto"/>
        <w:rPr>
          <w:rFonts w:ascii="Arial" w:cs="Arial" w:eastAsia="Arial" w:hAnsi="Arial"/>
          <w:sz w:val="22"/>
          <w:szCs w:val="22"/>
          <w:color w:val="auto"/>
        </w:rPr>
      </w:pPr>
      <w:r>
        <w:rPr>
          <w:rFonts w:ascii="Arial" w:cs="Arial" w:eastAsia="Arial" w:hAnsi="Arial"/>
          <w:sz w:val="22"/>
          <w:szCs w:val="22"/>
          <w:color w:val="auto"/>
        </w:rPr>
        <w:t>Policy shall include business interruption and extra expense coverage, and shall cover the full replacement cost of all property, equipment and improvements installed or placed in the Premises by Tenant.</w:t>
      </w:r>
    </w:p>
    <w:p>
      <w:pPr>
        <w:spacing w:after="0" w:line="152" w:lineRule="exact"/>
        <w:rPr>
          <w:rFonts w:ascii="Arial" w:cs="Arial" w:eastAsia="Arial" w:hAnsi="Arial"/>
          <w:sz w:val="22"/>
          <w:szCs w:val="22"/>
          <w:color w:val="auto"/>
        </w:rPr>
      </w:pPr>
    </w:p>
    <w:p>
      <w:pPr>
        <w:ind w:left="2580" w:hanging="628"/>
        <w:spacing w:after="0"/>
        <w:tabs>
          <w:tab w:leader="none" w:pos="2580" w:val="left"/>
        </w:tabs>
        <w:numPr>
          <w:ilvl w:val="1"/>
          <w:numId w:val="54"/>
        </w:numPr>
        <w:rPr>
          <w:rFonts w:ascii="Arial" w:cs="Arial" w:eastAsia="Arial" w:hAnsi="Arial"/>
          <w:sz w:val="22"/>
          <w:szCs w:val="22"/>
          <w:color w:val="auto"/>
        </w:rPr>
      </w:pPr>
      <w:r>
        <w:rPr>
          <w:rFonts w:ascii="Arial" w:cs="Arial" w:eastAsia="Arial" w:hAnsi="Arial"/>
          <w:sz w:val="22"/>
          <w:szCs w:val="22"/>
          <w:b w:val="1"/>
          <w:bCs w:val="1"/>
          <w:color w:val="auto"/>
        </w:rPr>
        <w:t>Worker’s Compensation</w:t>
      </w:r>
    </w:p>
    <w:p>
      <w:pPr>
        <w:spacing w:after="0" w:line="185" w:lineRule="exact"/>
        <w:rPr>
          <w:rFonts w:ascii="Arial" w:cs="Arial" w:eastAsia="Arial" w:hAnsi="Arial"/>
          <w:sz w:val="22"/>
          <w:szCs w:val="22"/>
          <w:color w:val="auto"/>
        </w:rPr>
      </w:pPr>
    </w:p>
    <w:p>
      <w:pPr>
        <w:ind w:left="2600"/>
        <w:spacing w:after="0" w:line="232" w:lineRule="auto"/>
        <w:rPr>
          <w:rFonts w:ascii="Arial" w:cs="Arial" w:eastAsia="Arial" w:hAnsi="Arial"/>
          <w:sz w:val="22"/>
          <w:szCs w:val="22"/>
          <w:color w:val="auto"/>
        </w:rPr>
      </w:pPr>
      <w:r>
        <w:rPr>
          <w:rFonts w:ascii="Arial" w:cs="Arial" w:eastAsia="Arial" w:hAnsi="Arial"/>
          <w:sz w:val="22"/>
          <w:szCs w:val="22"/>
          <w:color w:val="auto"/>
        </w:rPr>
        <w:t>Policy with no less than the minimum limits required by law if Tenant employs any employees in Arizona.</w:t>
      </w:r>
    </w:p>
    <w:p>
      <w:pPr>
        <w:spacing w:after="0" w:line="152" w:lineRule="exact"/>
        <w:rPr>
          <w:rFonts w:ascii="Arial" w:cs="Arial" w:eastAsia="Arial" w:hAnsi="Arial"/>
          <w:sz w:val="22"/>
          <w:szCs w:val="22"/>
          <w:color w:val="auto"/>
        </w:rPr>
      </w:pPr>
    </w:p>
    <w:p>
      <w:pPr>
        <w:ind w:left="2600" w:hanging="648"/>
        <w:spacing w:after="0"/>
        <w:tabs>
          <w:tab w:leader="none" w:pos="2600" w:val="left"/>
        </w:tabs>
        <w:numPr>
          <w:ilvl w:val="1"/>
          <w:numId w:val="54"/>
        </w:numPr>
        <w:rPr>
          <w:rFonts w:ascii="Arial" w:cs="Arial" w:eastAsia="Arial" w:hAnsi="Arial"/>
          <w:sz w:val="22"/>
          <w:szCs w:val="22"/>
          <w:color w:val="auto"/>
        </w:rPr>
      </w:pPr>
      <w:r>
        <w:rPr>
          <w:rFonts w:ascii="Arial" w:cs="Arial" w:eastAsia="Arial" w:hAnsi="Arial"/>
          <w:sz w:val="22"/>
          <w:szCs w:val="22"/>
          <w:b w:val="1"/>
          <w:bCs w:val="1"/>
          <w:color w:val="auto"/>
        </w:rPr>
        <w:t>Employer’s Liability</w:t>
      </w:r>
    </w:p>
    <w:p>
      <w:pPr>
        <w:spacing w:after="0" w:line="185" w:lineRule="exact"/>
        <w:rPr>
          <w:rFonts w:ascii="Arial" w:cs="Arial" w:eastAsia="Arial" w:hAnsi="Arial"/>
          <w:sz w:val="22"/>
          <w:szCs w:val="22"/>
          <w:color w:val="auto"/>
        </w:rPr>
      </w:pPr>
    </w:p>
    <w:p>
      <w:pPr>
        <w:ind w:left="2600"/>
        <w:spacing w:after="0"/>
        <w:rPr>
          <w:rFonts w:ascii="Arial" w:cs="Arial" w:eastAsia="Arial" w:hAnsi="Arial"/>
          <w:sz w:val="22"/>
          <w:szCs w:val="22"/>
          <w:color w:val="auto"/>
        </w:rPr>
      </w:pPr>
      <w:r>
        <w:rPr>
          <w:rFonts w:ascii="Arial" w:cs="Arial" w:eastAsia="Arial" w:hAnsi="Arial"/>
          <w:sz w:val="19"/>
          <w:szCs w:val="19"/>
          <w:color w:val="auto"/>
        </w:rPr>
        <w:t>Policy with a minimum limit of not less than $1,000,000 per occurrence for Employers’ Liability.</w:t>
      </w:r>
    </w:p>
    <w:p>
      <w:pPr>
        <w:spacing w:after="0" w:line="206" w:lineRule="exact"/>
        <w:rPr>
          <w:rFonts w:ascii="Arial" w:cs="Arial" w:eastAsia="Arial" w:hAnsi="Arial"/>
          <w:sz w:val="22"/>
          <w:szCs w:val="22"/>
          <w:color w:val="auto"/>
        </w:rPr>
      </w:pPr>
    </w:p>
    <w:p>
      <w:pPr>
        <w:ind w:left="1940" w:hanging="636"/>
        <w:spacing w:after="0"/>
        <w:tabs>
          <w:tab w:leader="none" w:pos="1940" w:val="left"/>
        </w:tabs>
        <w:numPr>
          <w:ilvl w:val="0"/>
          <w:numId w:val="55"/>
        </w:numPr>
        <w:rPr>
          <w:rFonts w:ascii="Arial" w:cs="Arial" w:eastAsia="Arial" w:hAnsi="Arial"/>
          <w:sz w:val="21"/>
          <w:szCs w:val="21"/>
          <w:color w:val="auto"/>
          <w:highlight w:val="yellow"/>
        </w:rPr>
      </w:pPr>
      <w:r>
        <w:rPr>
          <w:rFonts w:ascii="Arial" w:cs="Arial" w:eastAsia="Arial" w:hAnsi="Arial"/>
          <w:sz w:val="21"/>
          <w:szCs w:val="21"/>
          <w:u w:val="single" w:color="auto"/>
          <w:color w:val="auto"/>
        </w:rPr>
        <w:t>Other Insurance Requirements</w:t>
      </w:r>
      <w:r>
        <w:rPr>
          <w:rFonts w:ascii="Arial" w:cs="Arial" w:eastAsia="Arial" w:hAnsi="Arial"/>
          <w:sz w:val="21"/>
          <w:szCs w:val="21"/>
          <w:color w:val="auto"/>
        </w:rPr>
        <w:t>. The policies are to contain, or be endorsed to contain, the following</w:t>
      </w:r>
    </w:p>
    <w:p>
      <w:pPr>
        <w:spacing w:after="0"/>
        <w:rPr>
          <w:sz w:val="20"/>
          <w:szCs w:val="20"/>
          <w:color w:val="auto"/>
        </w:rPr>
      </w:pPr>
      <w:r>
        <w:rPr>
          <w:rFonts w:ascii="Arial" w:cs="Arial" w:eastAsia="Arial" w:hAnsi="Arial"/>
          <w:sz w:val="22"/>
          <w:szCs w:val="22"/>
          <w:color w:val="auto"/>
        </w:rPr>
        <w:t>provisions:</w:t>
      </w:r>
    </w:p>
    <w:p>
      <w:pPr>
        <w:spacing w:after="0" w:line="155" w:lineRule="exact"/>
        <w:rPr>
          <w:sz w:val="20"/>
          <w:szCs w:val="20"/>
          <w:color w:val="auto"/>
        </w:rPr>
      </w:pPr>
    </w:p>
    <w:p>
      <w:pPr>
        <w:ind w:left="2580" w:hanging="628"/>
        <w:spacing w:after="0"/>
        <w:tabs>
          <w:tab w:leader="none" w:pos="2580" w:val="left"/>
        </w:tabs>
        <w:numPr>
          <w:ilvl w:val="0"/>
          <w:numId w:val="56"/>
        </w:numPr>
        <w:rPr>
          <w:rFonts w:ascii="Arial" w:cs="Arial" w:eastAsia="Arial" w:hAnsi="Arial"/>
          <w:sz w:val="22"/>
          <w:szCs w:val="22"/>
          <w:color w:val="auto"/>
          <w:highlight w:val="yellow"/>
        </w:rPr>
      </w:pPr>
      <w:r>
        <w:rPr>
          <w:rFonts w:ascii="Arial" w:cs="Arial" w:eastAsia="Arial" w:hAnsi="Arial"/>
          <w:sz w:val="22"/>
          <w:szCs w:val="22"/>
          <w:b w:val="1"/>
          <w:bCs w:val="1"/>
          <w:color w:val="auto"/>
        </w:rPr>
        <w:t>Commercial General Liability</w:t>
      </w:r>
    </w:p>
    <w:p>
      <w:pPr>
        <w:spacing w:after="0" w:line="185" w:lineRule="exact"/>
        <w:rPr>
          <w:rFonts w:ascii="Arial" w:cs="Arial" w:eastAsia="Arial" w:hAnsi="Arial"/>
          <w:sz w:val="22"/>
          <w:szCs w:val="22"/>
          <w:color w:val="auto"/>
          <w:highlight w:val="yellow"/>
        </w:rPr>
      </w:pPr>
    </w:p>
    <w:p>
      <w:pPr>
        <w:jc w:val="both"/>
        <w:ind w:left="1300" w:firstLine="1300"/>
        <w:spacing w:after="0" w:line="234" w:lineRule="auto"/>
        <w:tabs>
          <w:tab w:leader="none" w:pos="3239" w:val="left"/>
        </w:tabs>
        <w:numPr>
          <w:ilvl w:val="1"/>
          <w:numId w:val="56"/>
        </w:numPr>
        <w:rPr>
          <w:rFonts w:ascii="Arial" w:cs="Arial" w:eastAsia="Arial" w:hAnsi="Arial"/>
          <w:sz w:val="21"/>
          <w:szCs w:val="21"/>
          <w:color w:val="auto"/>
        </w:rPr>
      </w:pPr>
      <w:r>
        <w:rPr>
          <w:rFonts w:ascii="Arial" w:cs="Arial" w:eastAsia="Arial" w:hAnsi="Arial"/>
          <w:sz w:val="21"/>
          <w:szCs w:val="21"/>
          <w:color w:val="auto"/>
        </w:rPr>
        <w:t>Landlord, its officers, officials, agents and employees are to be named as additional insureds with respect to liability arising out of the use and/or occupancy of the Premises and activities performed by or on behalf of the Tenant; products and completed operations of the Tenant.</w:t>
      </w:r>
    </w:p>
    <w:p>
      <w:pPr>
        <w:spacing w:after="0" w:line="157" w:lineRule="exact"/>
        <w:rPr>
          <w:rFonts w:ascii="Arial" w:cs="Arial" w:eastAsia="Arial" w:hAnsi="Arial"/>
          <w:sz w:val="21"/>
          <w:szCs w:val="21"/>
          <w:color w:val="auto"/>
        </w:rPr>
      </w:pPr>
    </w:p>
    <w:p>
      <w:pPr>
        <w:ind w:left="3240" w:hanging="640"/>
        <w:spacing w:after="0"/>
        <w:tabs>
          <w:tab w:leader="none" w:pos="3240" w:val="left"/>
        </w:tabs>
        <w:numPr>
          <w:ilvl w:val="1"/>
          <w:numId w:val="56"/>
        </w:numPr>
        <w:rPr>
          <w:rFonts w:ascii="Arial" w:cs="Arial" w:eastAsia="Arial" w:hAnsi="Arial"/>
          <w:sz w:val="19"/>
          <w:szCs w:val="19"/>
          <w:color w:val="auto"/>
        </w:rPr>
      </w:pPr>
      <w:r>
        <w:rPr>
          <w:rFonts w:ascii="Arial" w:cs="Arial" w:eastAsia="Arial" w:hAnsi="Arial"/>
          <w:sz w:val="19"/>
          <w:szCs w:val="19"/>
          <w:color w:val="auto"/>
        </w:rPr>
        <w:t>The Commercial General Liability Insurance shall include contractual liability coverage.</w:t>
      </w:r>
    </w:p>
    <w:p>
      <w:pPr>
        <w:spacing w:after="0" w:line="213" w:lineRule="exact"/>
        <w:rPr>
          <w:rFonts w:ascii="Arial" w:cs="Arial" w:eastAsia="Arial" w:hAnsi="Arial"/>
          <w:sz w:val="19"/>
          <w:szCs w:val="19"/>
          <w:color w:val="auto"/>
        </w:rPr>
      </w:pPr>
    </w:p>
    <w:p>
      <w:pPr>
        <w:jc w:val="both"/>
        <w:ind w:left="1300" w:firstLine="1300"/>
        <w:spacing w:after="0" w:line="234" w:lineRule="auto"/>
        <w:tabs>
          <w:tab w:leader="none" w:pos="3239" w:val="left"/>
        </w:tabs>
        <w:numPr>
          <w:ilvl w:val="1"/>
          <w:numId w:val="56"/>
        </w:numPr>
        <w:rPr>
          <w:rFonts w:ascii="Arial" w:cs="Arial" w:eastAsia="Arial" w:hAnsi="Arial"/>
          <w:sz w:val="21"/>
          <w:szCs w:val="21"/>
          <w:color w:val="auto"/>
        </w:rPr>
      </w:pPr>
      <w:r>
        <w:rPr>
          <w:rFonts w:ascii="Arial" w:cs="Arial" w:eastAsia="Arial" w:hAnsi="Arial"/>
          <w:sz w:val="21"/>
          <w:szCs w:val="21"/>
          <w:color w:val="auto"/>
        </w:rPr>
        <w:t>The Tenant’s insurance coverage shall be primary insurance with respect to Landlord, its officers, officials, agents and employees. Any insurance or self-insurance maintained by Landlord, its officers, officials or employees shall be in excess of the Tenant’s insurance and shall not contribute to it.</w:t>
      </w:r>
    </w:p>
    <w:p>
      <w:pPr>
        <w:spacing w:after="0" w:line="157" w:lineRule="exact"/>
        <w:rPr>
          <w:rFonts w:ascii="Arial" w:cs="Arial" w:eastAsia="Arial" w:hAnsi="Arial"/>
          <w:sz w:val="21"/>
          <w:szCs w:val="21"/>
          <w:color w:val="auto"/>
        </w:rPr>
      </w:pPr>
    </w:p>
    <w:p>
      <w:pPr>
        <w:ind w:left="1300" w:firstLine="1300"/>
        <w:spacing w:after="0" w:line="232" w:lineRule="auto"/>
        <w:tabs>
          <w:tab w:leader="none" w:pos="3239"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The Tenant’s insurance shall apply separately to each insured against whom claim is made or suit is brought, except with respect to the limits of the insurer’s liability.</w:t>
      </w:r>
    </w:p>
    <w:p>
      <w:pPr>
        <w:spacing w:after="0" w:line="158" w:lineRule="exact"/>
        <w:rPr>
          <w:rFonts w:ascii="Arial" w:cs="Arial" w:eastAsia="Arial" w:hAnsi="Arial"/>
          <w:sz w:val="22"/>
          <w:szCs w:val="22"/>
          <w:color w:val="auto"/>
        </w:rPr>
      </w:pPr>
    </w:p>
    <w:p>
      <w:pPr>
        <w:jc w:val="both"/>
        <w:ind w:left="1300" w:firstLine="1300"/>
        <w:spacing w:after="0" w:line="223" w:lineRule="auto"/>
        <w:tabs>
          <w:tab w:leader="none" w:pos="3239"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The policies shall contain a waiver of subrogation against Landlord, its officers, officials, agents and employees for losses arising from Tenant’s operations, occupancy and use of the Premises and/or other actions covered by Tenant’s insurance.</w:t>
      </w:r>
    </w:p>
    <w:p>
      <w:pPr>
        <w:spacing w:after="0" w:line="152" w:lineRule="exact"/>
        <w:rPr>
          <w:rFonts w:ascii="Arial" w:cs="Arial" w:eastAsia="Arial" w:hAnsi="Arial"/>
          <w:sz w:val="22"/>
          <w:szCs w:val="22"/>
          <w:color w:val="auto"/>
        </w:rPr>
      </w:pPr>
    </w:p>
    <w:p>
      <w:pPr>
        <w:jc w:val="both"/>
        <w:ind w:left="660" w:firstLine="1292"/>
        <w:spacing w:after="0" w:line="220" w:lineRule="auto"/>
        <w:tabs>
          <w:tab w:leader="none" w:pos="2598" w:val="left"/>
        </w:tabs>
        <w:numPr>
          <w:ilvl w:val="0"/>
          <w:numId w:val="56"/>
        </w:numPr>
        <w:rPr>
          <w:rFonts w:ascii="Arial" w:cs="Arial" w:eastAsia="Arial" w:hAnsi="Arial"/>
          <w:sz w:val="22"/>
          <w:szCs w:val="22"/>
          <w:color w:val="auto"/>
          <w:highlight w:val="yellow"/>
        </w:rPr>
      </w:pPr>
      <w:r>
        <w:rPr>
          <w:rFonts w:ascii="Arial" w:cs="Arial" w:eastAsia="Arial" w:hAnsi="Arial"/>
          <w:sz w:val="22"/>
          <w:szCs w:val="22"/>
          <w:b w:val="1"/>
          <w:bCs w:val="1"/>
          <w:color w:val="auto"/>
        </w:rPr>
        <w:t>Worker’s Compensation and Employers’ Liability Coverage</w:t>
      </w:r>
      <w:r>
        <w:rPr>
          <w:rFonts w:ascii="Arial" w:cs="Arial" w:eastAsia="Arial" w:hAnsi="Arial"/>
          <w:sz w:val="22"/>
          <w:szCs w:val="22"/>
          <w:color w:val="auto"/>
        </w:rPr>
        <w:t>. The insurer shall agree to waive</w:t>
      </w:r>
      <w:r>
        <w:rPr>
          <w:rFonts w:ascii="Arial" w:cs="Arial" w:eastAsia="Arial" w:hAnsi="Arial"/>
          <w:sz w:val="22"/>
          <w:szCs w:val="22"/>
          <w:b w:val="1"/>
          <w:bCs w:val="1"/>
          <w:color w:val="auto"/>
        </w:rPr>
        <w:t xml:space="preserve"> </w:t>
      </w:r>
      <w:r>
        <w:rPr>
          <w:rFonts w:ascii="Arial" w:cs="Arial" w:eastAsia="Arial" w:hAnsi="Arial"/>
          <w:sz w:val="22"/>
          <w:szCs w:val="22"/>
          <w:color w:val="auto"/>
        </w:rPr>
        <w:t>all rights of subrogation against Landlord, its officers, officials, agents, employees and volunteers for any and all losses arising from Tenant’s operations, occupancy and use of the Premises and/or other activities or actions covered by Tenant’s insurance.</w:t>
      </w:r>
    </w:p>
    <w:p>
      <w:pPr>
        <w:spacing w:after="0" w:line="152" w:lineRule="exact"/>
        <w:rPr>
          <w:rFonts w:ascii="Arial" w:cs="Arial" w:eastAsia="Arial" w:hAnsi="Arial"/>
          <w:sz w:val="22"/>
          <w:szCs w:val="22"/>
          <w:color w:val="auto"/>
          <w:highlight w:val="yellow"/>
        </w:rPr>
      </w:pPr>
    </w:p>
    <w:p>
      <w:pPr>
        <w:ind w:left="2600" w:hanging="648"/>
        <w:spacing w:after="0"/>
        <w:tabs>
          <w:tab w:leader="none" w:pos="2600" w:val="left"/>
        </w:tabs>
        <w:numPr>
          <w:ilvl w:val="0"/>
          <w:numId w:val="56"/>
        </w:numPr>
        <w:rPr>
          <w:rFonts w:ascii="Arial" w:cs="Arial" w:eastAsia="Arial" w:hAnsi="Arial"/>
          <w:sz w:val="22"/>
          <w:szCs w:val="22"/>
          <w:color w:val="auto"/>
          <w:highlight w:val="yellow"/>
        </w:rPr>
      </w:pPr>
      <w:r>
        <w:rPr>
          <w:rFonts w:ascii="Arial" w:cs="Arial" w:eastAsia="Arial" w:hAnsi="Arial"/>
          <w:sz w:val="22"/>
          <w:szCs w:val="22"/>
          <w:b w:val="1"/>
          <w:bCs w:val="1"/>
          <w:color w:val="auto"/>
        </w:rPr>
        <w:t>Builders Risk Insurance (Course of Construction) and Property Insurance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395" w:right="339" w:bottom="1440" w:gutter="0" w:footer="0" w:header="0"/>
        </w:sectPr>
      </w:pPr>
    </w:p>
    <w:bookmarkStart w:id="105" w:name="page106"/>
    <w:bookmarkEnd w:id="105"/>
    <w:p>
      <w:pPr>
        <w:ind w:left="3240" w:hanging="640"/>
        <w:spacing w:after="0"/>
        <w:tabs>
          <w:tab w:leader="none" w:pos="3240" w:val="left"/>
        </w:tabs>
        <w:numPr>
          <w:ilvl w:val="1"/>
          <w:numId w:val="57"/>
        </w:numPr>
        <w:rPr>
          <w:rFonts w:ascii="Arial" w:cs="Arial" w:eastAsia="Arial" w:hAnsi="Arial"/>
          <w:sz w:val="22"/>
          <w:szCs w:val="22"/>
          <w:color w:val="auto"/>
        </w:rPr>
      </w:pPr>
      <w:r>
        <w:rPr>
          <w:rFonts w:ascii="Arial" w:cs="Arial" w:eastAsia="Arial" w:hAnsi="Arial"/>
          <w:sz w:val="22"/>
          <w:szCs w:val="22"/>
          <w:color w:val="auto"/>
        </w:rPr>
        <w:t>This insurance shall be written on an all risk or special form.</w:t>
      </w:r>
    </w:p>
    <w:p>
      <w:pPr>
        <w:spacing w:after="0" w:line="179" w:lineRule="exact"/>
        <w:rPr>
          <w:rFonts w:ascii="Arial" w:cs="Arial" w:eastAsia="Arial" w:hAnsi="Arial"/>
          <w:sz w:val="22"/>
          <w:szCs w:val="22"/>
          <w:color w:val="auto"/>
        </w:rPr>
      </w:pPr>
    </w:p>
    <w:p>
      <w:pPr>
        <w:ind w:left="3240" w:hanging="640"/>
        <w:spacing w:after="0"/>
        <w:tabs>
          <w:tab w:leader="none" w:pos="3240" w:val="left"/>
        </w:tabs>
        <w:numPr>
          <w:ilvl w:val="1"/>
          <w:numId w:val="57"/>
        </w:numPr>
        <w:rPr>
          <w:rFonts w:ascii="Arial" w:cs="Arial" w:eastAsia="Arial" w:hAnsi="Arial"/>
          <w:sz w:val="19"/>
          <w:szCs w:val="19"/>
          <w:color w:val="auto"/>
        </w:rPr>
      </w:pPr>
      <w:r>
        <w:rPr>
          <w:rFonts w:ascii="Arial" w:cs="Arial" w:eastAsia="Arial" w:hAnsi="Arial"/>
          <w:sz w:val="19"/>
          <w:szCs w:val="19"/>
          <w:color w:val="auto"/>
        </w:rPr>
        <w:t>All rights of subrogation are hereby waived against Landlord, its officers, officials, agents</w:t>
      </w:r>
    </w:p>
    <w:p>
      <w:pPr>
        <w:spacing w:after="0" w:line="15"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and employees.</w:t>
      </w:r>
    </w:p>
    <w:p>
      <w:pPr>
        <w:spacing w:after="0" w:line="161" w:lineRule="exact"/>
        <w:rPr>
          <w:rFonts w:ascii="Arial" w:cs="Arial" w:eastAsia="Arial" w:hAnsi="Arial"/>
          <w:sz w:val="19"/>
          <w:szCs w:val="19"/>
          <w:color w:val="auto"/>
        </w:rPr>
      </w:pPr>
    </w:p>
    <w:p>
      <w:pPr>
        <w:jc w:val="both"/>
        <w:ind w:left="1300" w:firstLine="1300"/>
        <w:spacing w:after="0" w:line="229" w:lineRule="auto"/>
        <w:tabs>
          <w:tab w:leader="none" w:pos="3239" w:val="left"/>
        </w:tabs>
        <w:numPr>
          <w:ilvl w:val="1"/>
          <w:numId w:val="57"/>
        </w:numPr>
        <w:rPr>
          <w:rFonts w:ascii="Arial" w:cs="Arial" w:eastAsia="Arial" w:hAnsi="Arial"/>
          <w:sz w:val="21"/>
          <w:szCs w:val="21"/>
          <w:color w:val="auto"/>
        </w:rPr>
      </w:pPr>
      <w:r>
        <w:rPr>
          <w:rFonts w:ascii="Arial" w:cs="Arial" w:eastAsia="Arial" w:hAnsi="Arial"/>
          <w:sz w:val="21"/>
          <w:szCs w:val="21"/>
          <w:color w:val="auto"/>
        </w:rPr>
        <w:t>Builders’ Risk Insurance must provide coverage from the time any covered property becomes the Contractor’s responsibility, and continuing without interruption during construction, renovation, or installation, including any time during which the covered property is being transported to the construction installation site, and while on the construction or installation site awaiting installation.</w:t>
      </w:r>
    </w:p>
    <w:p>
      <w:pPr>
        <w:spacing w:after="0" w:line="158" w:lineRule="exact"/>
        <w:rPr>
          <w:rFonts w:ascii="Arial" w:cs="Arial" w:eastAsia="Arial" w:hAnsi="Arial"/>
          <w:sz w:val="21"/>
          <w:szCs w:val="21"/>
          <w:color w:val="auto"/>
        </w:rPr>
      </w:pPr>
    </w:p>
    <w:p>
      <w:pPr>
        <w:jc w:val="both"/>
        <w:ind w:firstLine="1304"/>
        <w:spacing w:after="0" w:line="214" w:lineRule="auto"/>
        <w:tabs>
          <w:tab w:leader="none" w:pos="1938" w:val="left"/>
        </w:tabs>
        <w:numPr>
          <w:ilvl w:val="0"/>
          <w:numId w:val="58"/>
        </w:numPr>
        <w:rPr>
          <w:rFonts w:ascii="Arial" w:cs="Arial" w:eastAsia="Arial" w:hAnsi="Arial"/>
          <w:sz w:val="22"/>
          <w:szCs w:val="22"/>
          <w:color w:val="auto"/>
          <w:highlight w:val="yellow"/>
        </w:rPr>
      </w:pPr>
      <w:r>
        <w:rPr>
          <w:rFonts w:ascii="Arial" w:cs="Arial" w:eastAsia="Arial" w:hAnsi="Arial"/>
          <w:sz w:val="22"/>
          <w:szCs w:val="22"/>
          <w:u w:val="single" w:color="auto"/>
          <w:color w:val="auto"/>
        </w:rPr>
        <w:t>Notice of Cancellation</w:t>
      </w:r>
      <w:r>
        <w:rPr>
          <w:rFonts w:ascii="Arial" w:cs="Arial" w:eastAsia="Arial" w:hAnsi="Arial"/>
          <w:sz w:val="22"/>
          <w:szCs w:val="22"/>
          <w:color w:val="auto"/>
        </w:rPr>
        <w:t>. For each insurance policy required by the insurance provisions of this Lease, the Tenant must provide to the Landlord, within ten (10) business days of receipt, a notice if a policy is suspended, voided or cancelled for non-payment, and within thirty (30) days if a policy is being non-renewed or cancelled for any other reason. Such notice shall be sent to Landlord at the address provided herein for the giving of notice. If such notice is delivered by use of electronic mail (email) as permitted herein, it shall also be sent by certified mail, return receipt requested, within two (2) business days thereafter.</w:t>
      </w:r>
    </w:p>
    <w:p>
      <w:pPr>
        <w:spacing w:after="0" w:line="158" w:lineRule="exact"/>
        <w:rPr>
          <w:rFonts w:ascii="Arial" w:cs="Arial" w:eastAsia="Arial" w:hAnsi="Arial"/>
          <w:sz w:val="22"/>
          <w:szCs w:val="22"/>
          <w:color w:val="auto"/>
          <w:highlight w:val="yellow"/>
        </w:rPr>
      </w:pPr>
    </w:p>
    <w:p>
      <w:pPr>
        <w:jc w:val="both"/>
        <w:ind w:firstLine="1304"/>
        <w:spacing w:after="0" w:line="268" w:lineRule="auto"/>
        <w:tabs>
          <w:tab w:leader="none" w:pos="1940" w:val="left"/>
        </w:tabs>
        <w:numPr>
          <w:ilvl w:val="0"/>
          <w:numId w:val="58"/>
        </w:numPr>
        <w:rPr>
          <w:rFonts w:ascii="Arial" w:cs="Arial" w:eastAsia="Arial" w:hAnsi="Arial"/>
          <w:sz w:val="19"/>
          <w:szCs w:val="19"/>
          <w:color w:val="auto"/>
          <w:highlight w:val="yellow"/>
        </w:rPr>
      </w:pPr>
      <w:r>
        <w:rPr>
          <w:rFonts w:ascii="Arial" w:cs="Arial" w:eastAsia="Arial" w:hAnsi="Arial"/>
          <w:sz w:val="19"/>
          <w:szCs w:val="19"/>
          <w:u w:val="single" w:color="auto"/>
          <w:color w:val="auto"/>
        </w:rPr>
        <w:t>Acceptability of Insurers</w:t>
      </w:r>
      <w:r>
        <w:rPr>
          <w:rFonts w:ascii="Arial" w:cs="Arial" w:eastAsia="Arial" w:hAnsi="Arial"/>
          <w:sz w:val="19"/>
          <w:szCs w:val="19"/>
          <w:color w:val="auto"/>
        </w:rPr>
        <w:t>. Insurance is to be placed with insurers duly licensed or approved unlicensed companies in the State of Arizona and with a “Best’s” rating of not less than A-:VII. Landlord in no way warrants that the above required minimum insurer rating is sufficient to protect the Tenant from potential insurer insolvency.</w:t>
      </w:r>
    </w:p>
    <w:p>
      <w:pPr>
        <w:spacing w:after="0" w:line="132" w:lineRule="exact"/>
        <w:rPr>
          <w:rFonts w:ascii="Arial" w:cs="Arial" w:eastAsia="Arial" w:hAnsi="Arial"/>
          <w:sz w:val="19"/>
          <w:szCs w:val="19"/>
          <w:color w:val="auto"/>
          <w:highlight w:val="yellow"/>
        </w:rPr>
      </w:pPr>
    </w:p>
    <w:p>
      <w:pPr>
        <w:jc w:val="both"/>
        <w:ind w:firstLine="1304"/>
        <w:spacing w:after="0" w:line="242" w:lineRule="auto"/>
        <w:tabs>
          <w:tab w:leader="none" w:pos="1940" w:val="left"/>
        </w:tabs>
        <w:numPr>
          <w:ilvl w:val="0"/>
          <w:numId w:val="58"/>
        </w:numPr>
        <w:rPr>
          <w:rFonts w:ascii="Arial" w:cs="Arial" w:eastAsia="Arial" w:hAnsi="Arial"/>
          <w:sz w:val="19"/>
          <w:szCs w:val="19"/>
          <w:color w:val="auto"/>
          <w:highlight w:val="yellow"/>
        </w:rPr>
      </w:pPr>
      <w:r>
        <w:rPr>
          <w:rFonts w:ascii="Arial" w:cs="Arial" w:eastAsia="Arial" w:hAnsi="Arial"/>
          <w:sz w:val="19"/>
          <w:szCs w:val="19"/>
          <w:u w:val="single" w:color="auto"/>
          <w:color w:val="auto"/>
        </w:rPr>
        <w:t>Verification of Coverage</w:t>
      </w:r>
      <w:r>
        <w:rPr>
          <w:rFonts w:ascii="Arial" w:cs="Arial" w:eastAsia="Arial" w:hAnsi="Arial"/>
          <w:sz w:val="19"/>
          <w:szCs w:val="19"/>
          <w:color w:val="auto"/>
        </w:rPr>
        <w:t xml:space="preserve">. Tenant shall furnish Landlord with Certificates of Insurance (ACORD form or equivalent) and with evidence of endorsements effecting coverage as required by this Lease. The certificates for each insurance policy are to be signed by a person authorized by that insurer to bind coverage on its behalf. Each insurance policy required by this Lease must be in effect at or prior to commencement of the Term of this Lease and remain in effect for the duration of the Lease; provided, however, that with respect to the coverages described in </w:t>
      </w:r>
      <w:r>
        <w:rPr>
          <w:rFonts w:ascii="Arial" w:cs="Arial" w:eastAsia="Arial" w:hAnsi="Arial"/>
          <w:sz w:val="19"/>
          <w:szCs w:val="19"/>
          <w:u w:val="single" w:color="auto"/>
          <w:color w:val="auto"/>
        </w:rPr>
        <w:t>Section 4.1(A)(ii)</w:t>
      </w:r>
      <w:r>
        <w:rPr>
          <w:rFonts w:ascii="Arial" w:cs="Arial" w:eastAsia="Arial" w:hAnsi="Arial"/>
          <w:sz w:val="19"/>
          <w:szCs w:val="19"/>
          <w:color w:val="auto"/>
        </w:rPr>
        <w:t xml:space="preserve"> (i.e., all coverages identified under Pollution Legal Liability), such coverages need only be in effect prior to the issuance of the first grading permit to Tenant for any development or improvement work on the Premises. Additionally, Tenant shall provide to Landlord any proof of insurance coverage obtained by Tenant from third party contractors or others with respect to the Premises. Tenant has previously provided to Landlord a form of contract with a third party contractor that requires said contractor to maintain certain minimum levels of insurance, and in the event Tenant elects (in its sole discretion) to enter into a different form of construction contract, whether with the same contractor or a different contractor, Tenant shall either contractually require its contractor to maintain the minimum insurance levels required under the original construction contract which Landlord has previously reviewed, or Tenant shall be responsible for obtaining such insurance.</w:t>
      </w:r>
    </w:p>
    <w:p>
      <w:pPr>
        <w:spacing w:after="0" w:line="15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color w:val="auto"/>
          <w:highlight w:val="yellow"/>
        </w:rPr>
        <w:t xml:space="preserve">1.1 </w:t>
      </w:r>
      <w:r>
        <w:rPr>
          <w:rFonts w:ascii="Arial" w:cs="Arial" w:eastAsia="Arial" w:hAnsi="Arial"/>
          <w:sz w:val="19"/>
          <w:szCs w:val="19"/>
          <w:b w:val="1"/>
          <w:bCs w:val="1"/>
          <w:u w:val="single" w:color="auto"/>
          <w:color w:val="auto"/>
        </w:rPr>
        <w:t>Blanket Insurance</w:t>
      </w:r>
      <w:r>
        <w:rPr>
          <w:rFonts w:ascii="Arial" w:cs="Arial" w:eastAsia="Arial" w:hAnsi="Arial"/>
          <w:sz w:val="19"/>
          <w:szCs w:val="19"/>
          <w:color w:val="auto"/>
        </w:rPr>
        <w:t>. Nothing in this Lease shall prevent Tenant from obtaining insurance of a kind and in the</w:t>
      </w:r>
      <w:r>
        <w:rPr>
          <w:rFonts w:ascii="Arial" w:cs="Arial" w:eastAsia="Arial" w:hAnsi="Arial"/>
          <w:sz w:val="19"/>
          <w:szCs w:val="19"/>
          <w:color w:val="auto"/>
          <w:highlight w:val="yellow"/>
        </w:rPr>
        <w:t xml:space="preserve"> </w:t>
      </w:r>
      <w:r>
        <w:rPr>
          <w:rFonts w:ascii="Arial" w:cs="Arial" w:eastAsia="Arial" w:hAnsi="Arial"/>
          <w:sz w:val="19"/>
          <w:szCs w:val="19"/>
          <w:color w:val="auto"/>
        </w:rPr>
        <w:t xml:space="preserve">amount provided for under this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under a blanket insurance policy or policies which cover other properties owned or operated by Tenant as well as the Premises; provided, however, that any such policy of blanket insurance of the kind provided for shall specify therein, or Tenant shall furnish Landlord a written statement from the insurers under such policies specifying, the amount of the total insurance allocated to the Premises, which amount shall be not less than the amount required herein. No blanket policy shall contain any clause that would result in the insured thereunder being required or permitted to carry insurance with respect to the property covered thereby in an amount less than the full insurable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01" w:right="339" w:bottom="1440" w:gutter="0" w:footer="0" w:header="0"/>
        </w:sectPr>
      </w:pPr>
    </w:p>
    <w:bookmarkStart w:id="106" w:name="page107"/>
    <w:bookmarkEnd w:id="106"/>
    <w:p>
      <w:pPr>
        <w:jc w:val="both"/>
        <w:spacing w:after="0" w:line="232" w:lineRule="auto"/>
        <w:rPr>
          <w:sz w:val="20"/>
          <w:szCs w:val="20"/>
          <w:color w:val="auto"/>
        </w:rPr>
      </w:pPr>
      <w:r>
        <w:rPr>
          <w:rFonts w:ascii="Arial" w:cs="Arial" w:eastAsia="Arial" w:hAnsi="Arial"/>
          <w:sz w:val="22"/>
          <w:szCs w:val="22"/>
          <w:color w:val="auto"/>
        </w:rPr>
        <w:t>such property in order to prevent the insured therein named from becoming a co-insurer of any loss with the insurer under such policy.</w:t>
      </w:r>
    </w:p>
    <w:p>
      <w:pPr>
        <w:spacing w:after="0" w:line="1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1"/>
          <w:szCs w:val="21"/>
          <w:color w:val="auto"/>
          <w:highlight w:val="yellow"/>
        </w:rPr>
        <w:t xml:space="preserve">1.2 </w:t>
      </w:r>
      <w:r>
        <w:rPr>
          <w:rFonts w:ascii="Arial" w:cs="Arial" w:eastAsia="Arial" w:hAnsi="Arial"/>
          <w:sz w:val="21"/>
          <w:szCs w:val="21"/>
          <w:b w:val="1"/>
          <w:bCs w:val="1"/>
          <w:u w:val="single" w:color="auto"/>
          <w:color w:val="auto"/>
        </w:rPr>
        <w:t>Risk of Loss</w:t>
      </w:r>
      <w:r>
        <w:rPr>
          <w:rFonts w:ascii="Arial" w:cs="Arial" w:eastAsia="Arial" w:hAnsi="Arial"/>
          <w:sz w:val="21"/>
          <w:szCs w:val="21"/>
          <w:color w:val="auto"/>
        </w:rPr>
        <w:t>. At no time during the Term hereof, will Landlord be required to carry any insurance covering or</w:t>
      </w:r>
      <w:r>
        <w:rPr>
          <w:rFonts w:ascii="Arial" w:cs="Arial" w:eastAsia="Arial" w:hAnsi="Arial"/>
          <w:sz w:val="21"/>
          <w:szCs w:val="21"/>
          <w:color w:val="auto"/>
          <w:highlight w:val="yellow"/>
        </w:rPr>
        <w:t xml:space="preserve"> </w:t>
      </w:r>
      <w:r>
        <w:rPr>
          <w:rFonts w:ascii="Arial" w:cs="Arial" w:eastAsia="Arial" w:hAnsi="Arial"/>
          <w:sz w:val="21"/>
          <w:szCs w:val="21"/>
          <w:color w:val="auto"/>
        </w:rPr>
        <w:t>affecting the Premises, and Tenant assumes the risk of any loss, damage, or claims throughout the Term hereof.</w:t>
      </w:r>
    </w:p>
    <w:p>
      <w:pPr>
        <w:spacing w:after="0" w:line="13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0"/>
          <w:szCs w:val="20"/>
          <w:color w:val="auto"/>
          <w:highlight w:val="yellow"/>
        </w:rPr>
        <w:t xml:space="preserve">1.3 </w:t>
      </w:r>
      <w:r>
        <w:rPr>
          <w:rFonts w:ascii="Arial" w:cs="Arial" w:eastAsia="Arial" w:hAnsi="Arial"/>
          <w:sz w:val="20"/>
          <w:szCs w:val="20"/>
          <w:b w:val="1"/>
          <w:bCs w:val="1"/>
          <w:u w:val="single" w:color="auto"/>
          <w:color w:val="auto"/>
        </w:rPr>
        <w:t>Failure to Maintain Insurance</w:t>
      </w:r>
      <w:r>
        <w:rPr>
          <w:rFonts w:ascii="Arial" w:cs="Arial" w:eastAsia="Arial" w:hAnsi="Arial"/>
          <w:sz w:val="20"/>
          <w:szCs w:val="20"/>
          <w:color w:val="auto"/>
        </w:rPr>
        <w:t>. If Tenant fails or refuses to provide a copy of the renewal insurance certificates,</w:t>
      </w:r>
      <w:r>
        <w:rPr>
          <w:rFonts w:ascii="Arial" w:cs="Arial" w:eastAsia="Arial" w:hAnsi="Arial"/>
          <w:sz w:val="20"/>
          <w:szCs w:val="20"/>
          <w:color w:val="auto"/>
          <w:highlight w:val="yellow"/>
        </w:rPr>
        <w:t xml:space="preserve"> </w:t>
      </w:r>
      <w:r>
        <w:rPr>
          <w:rFonts w:ascii="Arial" w:cs="Arial" w:eastAsia="Arial" w:hAnsi="Arial"/>
          <w:sz w:val="20"/>
          <w:szCs w:val="20"/>
          <w:color w:val="auto"/>
        </w:rPr>
        <w:t>together with evidence of payment of premiums therefor as required herein, Landlord shall have the right, at Landlord’s election, to procure and maintain such insurance. The premiums paid by Landlord shall be due and payable from Tenant to Landlord on the first (1</w:t>
      </w:r>
      <w:r>
        <w:rPr>
          <w:rFonts w:ascii="Arial" w:cs="Arial" w:eastAsia="Arial" w:hAnsi="Arial"/>
          <w:sz w:val="26"/>
          <w:szCs w:val="26"/>
          <w:color w:val="auto"/>
          <w:vertAlign w:val="superscript"/>
        </w:rPr>
        <w:t>st</w:t>
      </w:r>
      <w:r>
        <w:rPr>
          <w:rFonts w:ascii="Arial" w:cs="Arial" w:eastAsia="Arial" w:hAnsi="Arial"/>
          <w:sz w:val="20"/>
          <w:szCs w:val="20"/>
          <w:color w:val="auto"/>
        </w:rPr>
        <w:t>) day of the month following the date on which the premiums were paid. Landlord shall give prompt notice of the payment of such premiums, stating the amounts paid and the names of the insurer(s) and insured(s).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5.  </w:t>
      </w:r>
      <w:r>
        <w:rPr>
          <w:rFonts w:ascii="Arial" w:cs="Arial" w:eastAsia="Arial" w:hAnsi="Arial"/>
          <w:sz w:val="22"/>
          <w:szCs w:val="22"/>
          <w:b w:val="1"/>
          <w:bCs w:val="1"/>
          <w:u w:val="single" w:color="auto"/>
          <w:color w:val="auto"/>
        </w:rPr>
        <w:t>TITLE TO IMPROVEMENTS</w:t>
      </w:r>
    </w:p>
    <w:p>
      <w:pPr>
        <w:spacing w:after="0" w:line="1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b w:val="1"/>
          <w:bCs w:val="1"/>
          <w:u w:val="single" w:color="auto"/>
          <w:color w:val="auto"/>
        </w:rPr>
        <w:t>Title to Improvements</w:t>
      </w:r>
      <w:r>
        <w:rPr>
          <w:rFonts w:ascii="Arial" w:cs="Arial" w:eastAsia="Arial" w:hAnsi="Arial"/>
          <w:sz w:val="19"/>
          <w:szCs w:val="19"/>
          <w:color w:val="auto"/>
        </w:rPr>
        <w:t>. During the Term, title to all Improvements on or to the Premises shall remain the property of Tenant. All of Tenant’s furniture, equipment, trade fixtures, inventory, and other personal property which may be installed or placed in or upon the Premises by Tenant (collectively, “</w:t>
      </w:r>
      <w:r>
        <w:rPr>
          <w:rFonts w:ascii="Arial" w:cs="Arial" w:eastAsia="Arial" w:hAnsi="Arial"/>
          <w:sz w:val="19"/>
          <w:szCs w:val="19"/>
          <w:b w:val="1"/>
          <w:bCs w:val="1"/>
          <w:color w:val="auto"/>
        </w:rPr>
        <w:t>Tenant’s Property</w:t>
      </w:r>
      <w:r>
        <w:rPr>
          <w:rFonts w:ascii="Arial" w:cs="Arial" w:eastAsia="Arial" w:hAnsi="Arial"/>
          <w:sz w:val="19"/>
          <w:szCs w:val="19"/>
          <w:color w:val="auto"/>
        </w:rPr>
        <w:t>”) shall remain the property of the Tenant. Tenant may encumber or create a security interest in or upon Tenant’s Property without the consent of Landlord and may remove Tenant’s Property at any time. Landlord shall provide to Tenant, within a reasonable time from Tenant request therefore, a “Collateral Access Agreement” in form reasonably satisfactory to Tenant’s lender evidencing Landlord’s waiver of any rights it has or may have in Tenant’s Property and affording Tenant’s lender access to Tenant’s Property.</w:t>
      </w:r>
    </w:p>
    <w:p>
      <w:pPr>
        <w:spacing w:after="0" w:line="148"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1"/>
          <w:szCs w:val="21"/>
          <w:color w:val="auto"/>
        </w:rPr>
        <w:t xml:space="preserve">1.14 </w:t>
      </w:r>
      <w:r>
        <w:rPr>
          <w:rFonts w:ascii="Arial" w:cs="Arial" w:eastAsia="Arial" w:hAnsi="Arial"/>
          <w:sz w:val="21"/>
          <w:szCs w:val="21"/>
          <w:b w:val="1"/>
          <w:bCs w:val="1"/>
          <w:u w:val="single" w:color="auto"/>
          <w:color w:val="auto"/>
        </w:rPr>
        <w:t>Improvements at Expiration or Termination of Lease</w:t>
      </w:r>
      <w:r>
        <w:rPr>
          <w:rFonts w:ascii="Arial" w:cs="Arial" w:eastAsia="Arial" w:hAnsi="Arial"/>
          <w:sz w:val="21"/>
          <w:szCs w:val="21"/>
          <w:color w:val="auto"/>
        </w:rPr>
        <w:t>. Upon the expiration or earlier termination of this Lease without exercise by Tenant of the Purchase Option, Landlord shall own any then-existing Improvements, and Tenant shall have no further interest in, or responsibility for, the Improvements. In such event, Tenant promptly shall execute a quit claim deed, bill of sale or other instruments (without representation or warranty by Tenant) reasonably requested by Landlord to confirm ownership in and possession of the Improvements by Landlord, provided, however, no such additional instrument or document shall be required to convey ownership of the Improvements to Landlord.</w:t>
      </w:r>
    </w:p>
    <w:p>
      <w:pPr>
        <w:spacing w:after="0" w:line="154" w:lineRule="exact"/>
        <w:rPr>
          <w:sz w:val="20"/>
          <w:szCs w:val="20"/>
          <w:color w:val="auto"/>
        </w:rPr>
      </w:pPr>
    </w:p>
    <w:p>
      <w:pPr>
        <w:ind w:right="800" w:firstLine="648"/>
        <w:spacing w:after="0" w:line="409" w:lineRule="auto"/>
        <w:rPr>
          <w:sz w:val="20"/>
          <w:szCs w:val="20"/>
          <w:color w:val="auto"/>
        </w:rPr>
      </w:pPr>
      <w:r>
        <w:rPr>
          <w:rFonts w:ascii="Arial" w:cs="Arial" w:eastAsia="Arial" w:hAnsi="Arial"/>
          <w:sz w:val="22"/>
          <w:szCs w:val="22"/>
          <w:color w:val="auto"/>
        </w:rPr>
        <w:t xml:space="preserve">1.15 </w:t>
      </w:r>
      <w:r>
        <w:rPr>
          <w:rFonts w:ascii="Arial" w:cs="Arial" w:eastAsia="Arial" w:hAnsi="Arial"/>
          <w:sz w:val="22"/>
          <w:szCs w:val="22"/>
          <w:b w:val="1"/>
          <w:bCs w:val="1"/>
          <w:u w:val="single" w:color="auto"/>
          <w:color w:val="auto"/>
        </w:rPr>
        <w:t>Survival</w:t>
      </w:r>
      <w:r>
        <w:rPr>
          <w:rFonts w:ascii="Arial" w:cs="Arial" w:eastAsia="Arial" w:hAnsi="Arial"/>
          <w:sz w:val="22"/>
          <w:szCs w:val="22"/>
          <w:color w:val="auto"/>
        </w:rPr>
        <w:t xml:space="preserve">. The provisions of this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shall survive the expiration or earlier termination of this Lease. </w:t>
      </w:r>
      <w:r>
        <w:rPr>
          <w:rFonts w:ascii="Arial" w:cs="Arial" w:eastAsia="Arial" w:hAnsi="Arial"/>
          <w:sz w:val="22"/>
          <w:szCs w:val="22"/>
          <w:b w:val="1"/>
          <w:bCs w:val="1"/>
          <w:color w:val="auto"/>
        </w:rPr>
        <w:t xml:space="preserve">SECTION 6. </w:t>
      </w:r>
      <w:r>
        <w:rPr>
          <w:rFonts w:ascii="Arial" w:cs="Arial" w:eastAsia="Arial" w:hAnsi="Arial"/>
          <w:sz w:val="22"/>
          <w:szCs w:val="22"/>
          <w:b w:val="1"/>
          <w:bCs w:val="1"/>
          <w:u w:val="single" w:color="auto"/>
          <w:color w:val="auto"/>
        </w:rPr>
        <w:t>LANDLORD’S PERFORMANCE FOR TENANT</w:t>
      </w:r>
    </w:p>
    <w:p>
      <w:pPr>
        <w:spacing w:after="0" w:line="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 xml:space="preserve">1.16 </w:t>
      </w:r>
      <w:r>
        <w:rPr>
          <w:rFonts w:ascii="Arial" w:cs="Arial" w:eastAsia="Arial" w:hAnsi="Arial"/>
          <w:sz w:val="19"/>
          <w:szCs w:val="19"/>
          <w:b w:val="1"/>
          <w:bCs w:val="1"/>
          <w:u w:val="single" w:color="auto"/>
          <w:color w:val="auto"/>
        </w:rPr>
        <w:t>Cure Rights</w:t>
      </w:r>
      <w:r>
        <w:rPr>
          <w:rFonts w:ascii="Arial" w:cs="Arial" w:eastAsia="Arial" w:hAnsi="Arial"/>
          <w:sz w:val="19"/>
          <w:szCs w:val="19"/>
          <w:color w:val="auto"/>
        </w:rPr>
        <w:t>. If Tenant fails to pay any Imposition or make any other payment required to be made to any third party pursuant to this Lease, Landlord, without being under any obligation to do so and without thereby waiving such default, may make such payment at the expense of Tenant. Bills for all such expenses and disbursements, together with interest at the rate of twelve percent (12%) per annum from the respective dates of the Landlord’s making of each such payment, shall become due and payable as Additional Payments within ten (10) days following Tenant’s receipt of an invoice therefor.</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7.  </w:t>
      </w:r>
      <w:r>
        <w:rPr>
          <w:rFonts w:ascii="Arial" w:cs="Arial" w:eastAsia="Arial" w:hAnsi="Arial"/>
          <w:sz w:val="22"/>
          <w:szCs w:val="22"/>
          <w:b w:val="1"/>
          <w:bCs w:val="1"/>
          <w:u w:val="single" w:color="auto"/>
          <w:color w:val="auto"/>
        </w:rPr>
        <w:t>USES AND MAINTENANCE</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1.17 </w:t>
      </w:r>
      <w:r>
        <w:rPr>
          <w:rFonts w:ascii="Arial" w:cs="Arial" w:eastAsia="Arial" w:hAnsi="Arial"/>
          <w:sz w:val="22"/>
          <w:szCs w:val="22"/>
          <w:b w:val="1"/>
          <w:bCs w:val="1"/>
          <w:u w:val="single" w:color="auto"/>
          <w:color w:val="auto"/>
        </w:rPr>
        <w:t>Absence of Warranties</w:t>
      </w:r>
      <w:r>
        <w:rPr>
          <w:rFonts w:ascii="Arial" w:cs="Arial" w:eastAsia="Arial" w:hAnsi="Arial"/>
          <w:sz w:val="22"/>
          <w:szCs w:val="22"/>
          <w:color w:val="auto"/>
        </w:rPr>
        <w:t>. Tenant has leased the Premises after a full and complete examination thereof, as well as the title thereto. Tenant accepts the same in the condition or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01" w:right="339" w:bottom="1440" w:gutter="0" w:footer="0" w:header="0"/>
        </w:sectPr>
      </w:pPr>
    </w:p>
    <w:bookmarkStart w:id="107" w:name="page108"/>
    <w:bookmarkEnd w:id="107"/>
    <w:p>
      <w:pPr>
        <w:jc w:val="both"/>
        <w:spacing w:after="0" w:line="212" w:lineRule="auto"/>
        <w:rPr>
          <w:sz w:val="20"/>
          <w:szCs w:val="20"/>
          <w:color w:val="auto"/>
        </w:rPr>
      </w:pPr>
      <w:r>
        <w:rPr>
          <w:rFonts w:ascii="Arial" w:cs="Arial" w:eastAsia="Arial" w:hAnsi="Arial"/>
          <w:sz w:val="22"/>
          <w:szCs w:val="22"/>
          <w:color w:val="auto"/>
        </w:rPr>
        <w:t>existing as of the Commencement Date without any representation or warranty, express or implied in fact or by law, by Landlord and without recourse to Landlord, as to the title thereto, the nature, condition, or usability thereof or the use or uses to which the Premises or any part thereof may be put. Landlord shall not be required to furnish any services or facilities or to make any repairs or alterations in or to the Premises or to provide any off-site improvements, such as utilities or paving, or other forms of access to the Premises. Tenant hereby assumes the full and sole responsibility for the condition, construction, operation, repair, demolition, replacement, maintenance, and management of the Premises, including but not limited to the performance of all burdens running with the land.</w:t>
      </w:r>
    </w:p>
    <w:p>
      <w:pPr>
        <w:spacing w:after="0" w:line="15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1"/>
          <w:szCs w:val="21"/>
          <w:color w:val="auto"/>
        </w:rPr>
        <w:t xml:space="preserve">1.18 </w:t>
      </w:r>
      <w:r>
        <w:rPr>
          <w:rFonts w:ascii="Arial" w:cs="Arial" w:eastAsia="Arial" w:hAnsi="Arial"/>
          <w:sz w:val="21"/>
          <w:szCs w:val="21"/>
          <w:b w:val="1"/>
          <w:bCs w:val="1"/>
          <w:u w:val="single" w:color="auto"/>
          <w:color w:val="auto"/>
        </w:rPr>
        <w:t>Permitted Uses</w:t>
      </w:r>
      <w:r>
        <w:rPr>
          <w:rFonts w:ascii="Arial" w:cs="Arial" w:eastAsia="Arial" w:hAnsi="Arial"/>
          <w:sz w:val="21"/>
          <w:szCs w:val="21"/>
          <w:color w:val="auto"/>
        </w:rPr>
        <w:t>. Tenant may use the Premises for any use subject to limitations and restrictions imposed by Applicable Laws, the Development Agreement, this Lease and/or applicable land use restrictions affecting the Premises.</w:t>
      </w:r>
    </w:p>
    <w:p>
      <w:pPr>
        <w:spacing w:after="0" w:line="139" w:lineRule="exact"/>
        <w:rPr>
          <w:sz w:val="20"/>
          <w:szCs w:val="20"/>
          <w:color w:val="auto"/>
        </w:rPr>
      </w:pPr>
    </w:p>
    <w:p>
      <w:pPr>
        <w:jc w:val="both"/>
        <w:ind w:right="20" w:firstLine="648"/>
        <w:spacing w:after="0" w:line="225" w:lineRule="auto"/>
        <w:rPr>
          <w:sz w:val="20"/>
          <w:szCs w:val="20"/>
          <w:color w:val="auto"/>
        </w:rPr>
      </w:pPr>
      <w:r>
        <w:rPr>
          <w:rFonts w:ascii="Arial" w:cs="Arial" w:eastAsia="Arial" w:hAnsi="Arial"/>
          <w:sz w:val="22"/>
          <w:szCs w:val="22"/>
          <w:color w:val="auto"/>
        </w:rPr>
        <w:t xml:space="preserve">1.19 </w:t>
      </w:r>
      <w:r>
        <w:rPr>
          <w:rFonts w:ascii="Arial" w:cs="Arial" w:eastAsia="Arial" w:hAnsi="Arial"/>
          <w:sz w:val="22"/>
          <w:szCs w:val="22"/>
          <w:b w:val="1"/>
          <w:bCs w:val="1"/>
          <w:u w:val="single" w:color="auto"/>
          <w:color w:val="auto"/>
        </w:rPr>
        <w:t>Maintenance, Repairs</w:t>
      </w:r>
      <w:r>
        <w:rPr>
          <w:rFonts w:ascii="Arial" w:cs="Arial" w:eastAsia="Arial" w:hAnsi="Arial"/>
          <w:sz w:val="22"/>
          <w:szCs w:val="22"/>
          <w:color w:val="auto"/>
        </w:rPr>
        <w:t>. During the Term, Tenant shall maintain the Premises, make all repairs thereto, interior and exterior, structural and nonstructural, ordinary and extraordinary, foreseen and unforeseen, and shall maintain and keep the adjacent sidewalks, curbs, and landscaping in good and safe order, repair, and condition.</w:t>
      </w:r>
    </w:p>
    <w:p>
      <w:pPr>
        <w:spacing w:after="0" w:line="15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 xml:space="preserve">1.20 </w:t>
      </w:r>
      <w:r>
        <w:rPr>
          <w:rFonts w:ascii="Arial" w:cs="Arial" w:eastAsia="Arial" w:hAnsi="Arial"/>
          <w:sz w:val="19"/>
          <w:szCs w:val="19"/>
          <w:b w:val="1"/>
          <w:bCs w:val="1"/>
          <w:u w:val="single" w:color="auto"/>
          <w:color w:val="auto"/>
        </w:rPr>
        <w:t>Improvements</w:t>
      </w:r>
      <w:r>
        <w:rPr>
          <w:rFonts w:ascii="Arial" w:cs="Arial" w:eastAsia="Arial" w:hAnsi="Arial"/>
          <w:sz w:val="19"/>
          <w:szCs w:val="19"/>
          <w:color w:val="auto"/>
        </w:rPr>
        <w:t>. Tenant may, without obligation, make such Improvements to the Premises as Tenant may deem appropriate in connection with Tenant’s operations on the Premises which may include, without limitation, site grading work, soil import and export, site and building pad preparation, utility line and facility expansion and other development and construction activities. Tenant shall provide the County notice prior to the commencement of construction of any such Improvements, and Tenant shall obtain any public approvals required for such Improvements as required by Applicable Laws.</w:t>
      </w:r>
    </w:p>
    <w:p>
      <w:pPr>
        <w:spacing w:after="0" w:line="14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9"/>
          <w:szCs w:val="19"/>
          <w:color w:val="auto"/>
        </w:rPr>
        <w:t xml:space="preserve">1.21 </w:t>
      </w:r>
      <w:r>
        <w:rPr>
          <w:rFonts w:ascii="Arial" w:cs="Arial" w:eastAsia="Arial" w:hAnsi="Arial"/>
          <w:sz w:val="19"/>
          <w:szCs w:val="19"/>
          <w:b w:val="1"/>
          <w:bCs w:val="1"/>
          <w:u w:val="single" w:color="auto"/>
          <w:color w:val="auto"/>
        </w:rPr>
        <w:t>Additional Permitted Encumbrances</w:t>
      </w:r>
      <w:r>
        <w:rPr>
          <w:rFonts w:ascii="Arial" w:cs="Arial" w:eastAsia="Arial" w:hAnsi="Arial"/>
          <w:sz w:val="19"/>
          <w:szCs w:val="19"/>
          <w:color w:val="auto"/>
        </w:rPr>
        <w:t>. Landlord agrees, from time to time, to execute and deliver, as owner of the Premises (excluding the Improvements), such utility and right-of-way easements to serve the Premises as Tenant may reasonably request and as are reasonably necessary in the development, use, operation and maintenance of the Premises and the business conducted on the Premises. From and after the Commencement Date, Landlord shall not execute or consent to the recordation of any covenants, restrictions, easements, agreements, and reservations of record encumbering the Premises, other than Permitted Encumbrances and those requested by Tenant under the preceding sentence.</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8.  </w:t>
      </w:r>
      <w:r>
        <w:rPr>
          <w:rFonts w:ascii="Arial" w:cs="Arial" w:eastAsia="Arial" w:hAnsi="Arial"/>
          <w:sz w:val="22"/>
          <w:szCs w:val="22"/>
          <w:b w:val="1"/>
          <w:bCs w:val="1"/>
          <w:u w:val="single" w:color="auto"/>
          <w:color w:val="auto"/>
        </w:rPr>
        <w:t>COMPLIANCE</w:t>
      </w:r>
    </w:p>
    <w:p>
      <w:pPr>
        <w:spacing w:after="0" w:line="179"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b w:val="1"/>
          <w:bCs w:val="1"/>
          <w:u w:val="single" w:color="auto"/>
          <w:color w:val="auto"/>
        </w:rPr>
        <w:t>Tenant Obligations</w:t>
      </w:r>
      <w:r>
        <w:rPr>
          <w:rFonts w:ascii="Arial" w:cs="Arial" w:eastAsia="Arial" w:hAnsi="Arial"/>
          <w:sz w:val="22"/>
          <w:szCs w:val="22"/>
          <w:color w:val="auto"/>
        </w:rPr>
        <w:t>. Tenant shall comply with, at its own expense during the Term hereof, all Applicable Laws; provided, however, that Tenant may, in good faith (and wherever necessary, in the name of, but without expense to and with the prior written permission of, Landlord), contest the validity of any Applicable Laws and, pending the determination of such contest, may postpone compliance therewith, except that Tenant shall not so postpone compliance therewith, as to subject Landlord to the risk of any fine or penalty or to prosecute for a crime, or to cause the Premises or any part thereof to be condemned or to be vacated.</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9.  </w:t>
      </w:r>
      <w:r>
        <w:rPr>
          <w:rFonts w:ascii="Arial" w:cs="Arial" w:eastAsia="Arial" w:hAnsi="Arial"/>
          <w:sz w:val="22"/>
          <w:szCs w:val="22"/>
          <w:b w:val="1"/>
          <w:bCs w:val="1"/>
          <w:u w:val="single" w:color="auto"/>
          <w:color w:val="auto"/>
        </w:rPr>
        <w:t>IMPAIRMENT OF TITLE</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1.23 </w:t>
      </w:r>
      <w:r>
        <w:rPr>
          <w:rFonts w:ascii="Arial" w:cs="Arial" w:eastAsia="Arial" w:hAnsi="Arial"/>
          <w:sz w:val="19"/>
          <w:szCs w:val="19"/>
          <w:b w:val="1"/>
          <w:bCs w:val="1"/>
          <w:u w:val="single" w:color="auto"/>
          <w:color w:val="auto"/>
        </w:rPr>
        <w:t>No Liens</w:t>
      </w:r>
      <w:r>
        <w:rPr>
          <w:rFonts w:ascii="Arial" w:cs="Arial" w:eastAsia="Arial" w:hAnsi="Arial"/>
          <w:sz w:val="19"/>
          <w:szCs w:val="19"/>
          <w:color w:val="auto"/>
        </w:rPr>
        <w:t>. Tenant shall not create, or suffer to be created or to remain, and shall discharge any mechanic’s, laborer’s, or materialman’s lien that might be or become a lien, encumbrance, or charge upon the Premises or any part thereof or the income therefrom and Tenant will not suffer any other matter or thing arising out of Tenant’s use and occupancy of the Premises whereby the estate, rights, and interests of Landlord in the Premises or any part thereof might be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01" w:right="339" w:bottom="1440" w:gutter="0" w:footer="0" w:header="0"/>
        </w:sectPr>
      </w:pPr>
    </w:p>
    <w:bookmarkStart w:id="108" w:name="page109"/>
    <w:bookmarkEnd w:id="108"/>
    <w:p>
      <w:pPr>
        <w:jc w:val="both"/>
        <w:ind w:firstLine="648"/>
        <w:spacing w:after="0" w:line="217" w:lineRule="auto"/>
        <w:rPr>
          <w:sz w:val="20"/>
          <w:szCs w:val="20"/>
          <w:color w:val="auto"/>
        </w:rPr>
      </w:pPr>
      <w:r>
        <w:rPr>
          <w:rFonts w:ascii="Arial" w:cs="Arial" w:eastAsia="Arial" w:hAnsi="Arial"/>
          <w:sz w:val="22"/>
          <w:szCs w:val="22"/>
          <w:color w:val="auto"/>
        </w:rPr>
        <w:t xml:space="preserve">1.24 </w:t>
      </w:r>
      <w:r>
        <w:rPr>
          <w:rFonts w:ascii="Arial" w:cs="Arial" w:eastAsia="Arial" w:hAnsi="Arial"/>
          <w:sz w:val="22"/>
          <w:szCs w:val="22"/>
          <w:b w:val="1"/>
          <w:bCs w:val="1"/>
          <w:u w:val="single" w:color="auto"/>
          <w:color w:val="auto"/>
        </w:rPr>
        <w:t>Discharge</w:t>
      </w:r>
      <w:r>
        <w:rPr>
          <w:rFonts w:ascii="Arial" w:cs="Arial" w:eastAsia="Arial" w:hAnsi="Arial"/>
          <w:sz w:val="22"/>
          <w:szCs w:val="22"/>
          <w:color w:val="auto"/>
        </w:rPr>
        <w:t>. If any mechanic’s, laborer’s, or materialman’s lien shall at any time be filed against the Premises or any part thereof, Tenant, within thirty (30) days after Tenant receives notice of the filing thereof, shall either: (a) cause such lien to be discharged of record by payment, deposit, bond, order of court of competent jurisdiction or otherwise; or (b) pay such amount as is necessary to satisfy such lien and cooperate with Landlord’s efforts to formally cause same to be discharged of record.</w:t>
      </w:r>
    </w:p>
    <w:p>
      <w:pPr>
        <w:spacing w:after="0" w:line="152" w:lineRule="exact"/>
        <w:rPr>
          <w:sz w:val="20"/>
          <w:szCs w:val="20"/>
          <w:color w:val="auto"/>
        </w:rPr>
      </w:pPr>
    </w:p>
    <w:p>
      <w:pPr>
        <w:jc w:val="both"/>
        <w:ind w:right="20" w:firstLine="648"/>
        <w:spacing w:after="0" w:line="305" w:lineRule="auto"/>
        <w:rPr>
          <w:sz w:val="20"/>
          <w:szCs w:val="20"/>
          <w:color w:val="auto"/>
        </w:rPr>
      </w:pPr>
      <w:r>
        <w:rPr>
          <w:rFonts w:ascii="Arial" w:cs="Arial" w:eastAsia="Arial" w:hAnsi="Arial"/>
          <w:sz w:val="19"/>
          <w:szCs w:val="19"/>
          <w:color w:val="auto"/>
        </w:rPr>
        <w:t xml:space="preserve">1.25 </w:t>
      </w:r>
      <w:r>
        <w:rPr>
          <w:rFonts w:ascii="Arial" w:cs="Arial" w:eastAsia="Arial" w:hAnsi="Arial"/>
          <w:sz w:val="19"/>
          <w:szCs w:val="19"/>
          <w:b w:val="1"/>
          <w:bCs w:val="1"/>
          <w:u w:val="single" w:color="auto"/>
          <w:color w:val="auto"/>
        </w:rPr>
        <w:t>No Agency Intended</w:t>
      </w:r>
      <w:r>
        <w:rPr>
          <w:rFonts w:ascii="Arial" w:cs="Arial" w:eastAsia="Arial" w:hAnsi="Arial"/>
          <w:sz w:val="19"/>
          <w:szCs w:val="19"/>
          <w:color w:val="auto"/>
        </w:rPr>
        <w:t>. The Parties agree that Tenant is not the agent of Landlord for the construction, alteration or repair of any improvement Tenant may construct upon the Premises, the same being done at the sole expense of Tenant.</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10. </w:t>
      </w:r>
      <w:r>
        <w:rPr>
          <w:rFonts w:ascii="Arial" w:cs="Arial" w:eastAsia="Arial" w:hAnsi="Arial"/>
          <w:sz w:val="22"/>
          <w:szCs w:val="22"/>
          <w:b w:val="1"/>
          <w:bCs w:val="1"/>
          <w:u w:val="single" w:color="auto"/>
          <w:color w:val="auto"/>
        </w:rPr>
        <w:t>ENTRY</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1.26 </w:t>
      </w:r>
      <w:r>
        <w:rPr>
          <w:rFonts w:ascii="Arial" w:cs="Arial" w:eastAsia="Arial" w:hAnsi="Arial"/>
          <w:sz w:val="19"/>
          <w:szCs w:val="19"/>
          <w:b w:val="1"/>
          <w:bCs w:val="1"/>
          <w:u w:val="single" w:color="auto"/>
          <w:color w:val="auto"/>
        </w:rPr>
        <w:t>Entry</w:t>
      </w:r>
      <w:r>
        <w:rPr>
          <w:rFonts w:ascii="Arial" w:cs="Arial" w:eastAsia="Arial" w:hAnsi="Arial"/>
          <w:sz w:val="19"/>
          <w:szCs w:val="19"/>
          <w:color w:val="auto"/>
        </w:rPr>
        <w:t>. Landlord shall have the right to enter upon the Premises, or any part thereof, for the purpose of ascertaining their condition or whether Tenant is observing and performing the obligations assumed by it under this Lease, provided that such entry does not interfere with Tenant’s business operations and provided that Landlord shall give Tenant at least forty-eight (48) hours written notice prior to any such inspection and the opportunity to have a representative present. Landlord entry shall be subject to Tenant’s reasonable restrictions for safety, security and protection of proprietary and confidential information. Landlord shall have the right to enter upon the Premises, but not any vertical improvements at the Premises, at all reasonable times and with no advance notice in the case of an emergency representing imminent danger to health, safety or welfare; provided that Landlord shall provide prompt notice to Tenant of such emergency entry.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11. </w:t>
      </w:r>
      <w:r>
        <w:rPr>
          <w:rFonts w:ascii="Arial" w:cs="Arial" w:eastAsia="Arial" w:hAnsi="Arial"/>
          <w:sz w:val="22"/>
          <w:szCs w:val="22"/>
          <w:b w:val="1"/>
          <w:bCs w:val="1"/>
          <w:u w:val="single" w:color="auto"/>
          <w:color w:val="auto"/>
        </w:rPr>
        <w:t>INDEMNIFICATION</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19"/>
          <w:szCs w:val="19"/>
          <w:b w:val="1"/>
          <w:bCs w:val="1"/>
          <w:u w:val="single" w:color="auto"/>
          <w:color w:val="auto"/>
        </w:rPr>
        <w:t>Indemnifications of Landlord</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16" w:lineRule="auto"/>
        <w:tabs>
          <w:tab w:leader="none" w:pos="1938" w:val="left"/>
        </w:tabs>
        <w:numPr>
          <w:ilvl w:val="0"/>
          <w:numId w:val="59"/>
        </w:numPr>
        <w:rPr>
          <w:rFonts w:ascii="Arial" w:cs="Arial" w:eastAsia="Arial" w:hAnsi="Arial"/>
          <w:sz w:val="22"/>
          <w:szCs w:val="22"/>
          <w:color w:val="auto"/>
        </w:rPr>
      </w:pPr>
      <w:r>
        <w:rPr>
          <w:rFonts w:ascii="Arial" w:cs="Arial" w:eastAsia="Arial" w:hAnsi="Arial"/>
          <w:sz w:val="22"/>
          <w:szCs w:val="22"/>
          <w:color w:val="auto"/>
        </w:rPr>
        <w:t>To the extent permitted by law, Tenant shall indemnify and save Landlord harmless from and against any and all liabilities, suits, obligations, fines, damages, penalties, claims, costs, charges and expenses, including property damage, personal injury and wrongful death and further including, without limitation, reasonable attorneys’ fees and disbursements (collectively “</w:t>
      </w:r>
      <w:r>
        <w:rPr>
          <w:rFonts w:ascii="Arial" w:cs="Arial" w:eastAsia="Arial" w:hAnsi="Arial"/>
          <w:sz w:val="22"/>
          <w:szCs w:val="22"/>
          <w:b w:val="1"/>
          <w:bCs w:val="1"/>
          <w:color w:val="auto"/>
        </w:rPr>
        <w:t>Claims</w:t>
      </w:r>
      <w:r>
        <w:rPr>
          <w:rFonts w:ascii="Arial" w:cs="Arial" w:eastAsia="Arial" w:hAnsi="Arial"/>
          <w:sz w:val="22"/>
          <w:szCs w:val="22"/>
          <w:color w:val="auto"/>
        </w:rPr>
        <w:t>”), which may be imposed upon or incurred by or asserted against Landlord by reason of any of the following occurring during the Term:</w:t>
      </w:r>
    </w:p>
    <w:p>
      <w:pPr>
        <w:spacing w:after="0" w:line="157" w:lineRule="exact"/>
        <w:rPr>
          <w:rFonts w:ascii="Arial" w:cs="Arial" w:eastAsia="Arial" w:hAnsi="Arial"/>
          <w:sz w:val="22"/>
          <w:szCs w:val="22"/>
          <w:color w:val="auto"/>
        </w:rPr>
      </w:pPr>
    </w:p>
    <w:p>
      <w:pPr>
        <w:ind w:left="660" w:firstLine="1292"/>
        <w:spacing w:after="0" w:line="232" w:lineRule="auto"/>
        <w:tabs>
          <w:tab w:leader="none" w:pos="2592" w:val="left"/>
        </w:tabs>
        <w:numPr>
          <w:ilvl w:val="1"/>
          <w:numId w:val="59"/>
        </w:numPr>
        <w:rPr>
          <w:rFonts w:ascii="Arial" w:cs="Arial" w:eastAsia="Arial" w:hAnsi="Arial"/>
          <w:sz w:val="22"/>
          <w:szCs w:val="22"/>
          <w:color w:val="auto"/>
        </w:rPr>
      </w:pPr>
      <w:r>
        <w:rPr>
          <w:rFonts w:ascii="Arial" w:cs="Arial" w:eastAsia="Arial" w:hAnsi="Arial"/>
          <w:sz w:val="22"/>
          <w:szCs w:val="22"/>
          <w:color w:val="auto"/>
        </w:rPr>
        <w:t>construction of any Improvements or any other work or thing done in, on or about the Premises or any part thereof by Tenant or its agents;</w:t>
      </w:r>
    </w:p>
    <w:p>
      <w:pPr>
        <w:spacing w:after="0" w:line="158" w:lineRule="exact"/>
        <w:rPr>
          <w:rFonts w:ascii="Arial" w:cs="Arial" w:eastAsia="Arial" w:hAnsi="Arial"/>
          <w:sz w:val="22"/>
          <w:szCs w:val="22"/>
          <w:color w:val="auto"/>
        </w:rPr>
      </w:pPr>
    </w:p>
    <w:p>
      <w:pPr>
        <w:jc w:val="both"/>
        <w:ind w:left="660" w:firstLine="1292"/>
        <w:spacing w:after="0" w:line="223" w:lineRule="auto"/>
        <w:tabs>
          <w:tab w:leader="none" w:pos="2598" w:val="left"/>
        </w:tabs>
        <w:numPr>
          <w:ilvl w:val="1"/>
          <w:numId w:val="59"/>
        </w:numPr>
        <w:rPr>
          <w:rFonts w:ascii="Arial" w:cs="Arial" w:eastAsia="Arial" w:hAnsi="Arial"/>
          <w:sz w:val="22"/>
          <w:szCs w:val="22"/>
          <w:color w:val="auto"/>
        </w:rPr>
      </w:pPr>
      <w:r>
        <w:rPr>
          <w:rFonts w:ascii="Arial" w:cs="Arial" w:eastAsia="Arial" w:hAnsi="Arial"/>
          <w:sz w:val="22"/>
          <w:szCs w:val="22"/>
          <w:color w:val="auto"/>
        </w:rPr>
        <w:t>any use, nonuse, possession, occupation, alteration, repair, condition, operation, maintenance or management of the Premises or Improvements or any nuisance made or suffered thereon or any failure by Tenant to keep the Premises or Improvements or any part thereof, in a safe condition;</w:t>
      </w:r>
    </w:p>
    <w:p>
      <w:pPr>
        <w:spacing w:after="0" w:line="158" w:lineRule="exact"/>
        <w:rPr>
          <w:rFonts w:ascii="Arial" w:cs="Arial" w:eastAsia="Arial" w:hAnsi="Arial"/>
          <w:sz w:val="22"/>
          <w:szCs w:val="22"/>
          <w:color w:val="auto"/>
        </w:rPr>
      </w:pPr>
    </w:p>
    <w:p>
      <w:pPr>
        <w:ind w:left="660" w:firstLine="1292"/>
        <w:spacing w:after="0" w:line="232" w:lineRule="auto"/>
        <w:tabs>
          <w:tab w:leader="none" w:pos="2604"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acts of Tenant or any subtenant or any of its or their respective agents, contractors, servants, employees, licensees or invitees;</w:t>
      </w:r>
    </w:p>
    <w:p>
      <w:pPr>
        <w:spacing w:after="0" w:line="158" w:lineRule="exact"/>
        <w:rPr>
          <w:rFonts w:ascii="Arial" w:cs="Arial" w:eastAsia="Arial" w:hAnsi="Arial"/>
          <w:sz w:val="22"/>
          <w:szCs w:val="22"/>
          <w:color w:val="auto"/>
        </w:rPr>
      </w:pPr>
    </w:p>
    <w:p>
      <w:pPr>
        <w:ind w:left="2580" w:hanging="628"/>
        <w:spacing w:after="0"/>
        <w:tabs>
          <w:tab w:leader="none" w:pos="2580" w:val="left"/>
        </w:tabs>
        <w:numPr>
          <w:ilvl w:val="1"/>
          <w:numId w:val="59"/>
        </w:numPr>
        <w:rPr>
          <w:rFonts w:ascii="Arial" w:cs="Arial" w:eastAsia="Arial" w:hAnsi="Arial"/>
          <w:sz w:val="19"/>
          <w:szCs w:val="19"/>
          <w:color w:val="auto"/>
        </w:rPr>
      </w:pPr>
      <w:r>
        <w:rPr>
          <w:rFonts w:ascii="Arial" w:cs="Arial" w:eastAsia="Arial" w:hAnsi="Arial"/>
          <w:sz w:val="19"/>
          <w:szCs w:val="19"/>
          <w:color w:val="auto"/>
        </w:rPr>
        <w:t>any accident, injury, or damage to any person or property occurring in or upon the Premises or any</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part thereof; or</w:t>
      </w:r>
    </w:p>
    <w:p>
      <w:pPr>
        <w:spacing w:after="0" w:line="161" w:lineRule="exact"/>
        <w:rPr>
          <w:rFonts w:ascii="Arial" w:cs="Arial" w:eastAsia="Arial" w:hAnsi="Arial"/>
          <w:sz w:val="19"/>
          <w:szCs w:val="19"/>
          <w:color w:val="auto"/>
        </w:rPr>
      </w:pPr>
    </w:p>
    <w:p>
      <w:pPr>
        <w:jc w:val="both"/>
        <w:ind w:left="660" w:firstLine="1292"/>
        <w:spacing w:after="0" w:line="223" w:lineRule="auto"/>
        <w:tabs>
          <w:tab w:leader="none" w:pos="2599" w:val="left"/>
        </w:tabs>
        <w:numPr>
          <w:ilvl w:val="1"/>
          <w:numId w:val="59"/>
        </w:numPr>
        <w:rPr>
          <w:rFonts w:ascii="Arial" w:cs="Arial" w:eastAsia="Arial" w:hAnsi="Arial"/>
          <w:sz w:val="22"/>
          <w:szCs w:val="22"/>
          <w:color w:val="auto"/>
        </w:rPr>
      </w:pPr>
      <w:r>
        <w:rPr>
          <w:rFonts w:ascii="Arial" w:cs="Arial" w:eastAsia="Arial" w:hAnsi="Arial"/>
          <w:sz w:val="22"/>
          <w:szCs w:val="22"/>
          <w:color w:val="auto"/>
        </w:rPr>
        <w:t>any failure on the part of Tenant to pay rent or to perform or comply with any of the covenants, agreements, terms or conditions contained in this Lease on its part to be performed or complied with and the exercise by Landlord of any remedy provided in this Lease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395" w:right="339" w:bottom="1440" w:gutter="0" w:footer="0" w:header="0"/>
        </w:sectPr>
      </w:pPr>
    </w:p>
    <w:bookmarkStart w:id="109" w:name="page110"/>
    <w:bookmarkEnd w:id="109"/>
    <w:p>
      <w:pPr>
        <w:jc w:val="both"/>
        <w:ind w:firstLine="648"/>
        <w:spacing w:after="0" w:line="220"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b w:val="1"/>
          <w:bCs w:val="1"/>
          <w:u w:val="single" w:color="auto"/>
          <w:color w:val="auto"/>
        </w:rPr>
        <w:t>Indemnifications of Tenant</w:t>
      </w:r>
      <w:r>
        <w:rPr>
          <w:rFonts w:ascii="Arial" w:cs="Arial" w:eastAsia="Arial" w:hAnsi="Arial"/>
          <w:sz w:val="22"/>
          <w:szCs w:val="22"/>
          <w:color w:val="auto"/>
        </w:rPr>
        <w:t xml:space="preserve"> . To the extent permitted by law, Landlord shall indemnify and save Tenant harmless from and against any and all Claims which may be imposed upon or incurred by or asserted against Tenant by reason of any of the negligence or willful misconduct of Landlord, its agents or employees or a failure to act by the Landlord, its agents or employees.</w:t>
      </w:r>
    </w:p>
    <w:p>
      <w:pPr>
        <w:spacing w:after="0" w:line="15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b w:val="1"/>
          <w:bCs w:val="1"/>
          <w:u w:val="single" w:color="auto"/>
          <w:color w:val="auto"/>
        </w:rPr>
        <w:t>Provisions Related to Indemnification</w:t>
      </w:r>
      <w:r>
        <w:rPr>
          <w:rFonts w:ascii="Arial" w:cs="Arial" w:eastAsia="Arial" w:hAnsi="Arial"/>
          <w:sz w:val="22"/>
          <w:szCs w:val="22"/>
          <w:color w:val="auto"/>
        </w:rPr>
        <w:t>. The following provisions shall apply to any Party obligated to indemnify (the “</w:t>
      </w:r>
      <w:r>
        <w:rPr>
          <w:rFonts w:ascii="Arial" w:cs="Arial" w:eastAsia="Arial" w:hAnsi="Arial"/>
          <w:sz w:val="22"/>
          <w:szCs w:val="22"/>
          <w:b w:val="1"/>
          <w:bCs w:val="1"/>
          <w:color w:val="auto"/>
        </w:rPr>
        <w:t>Indemnifying Party</w:t>
      </w:r>
      <w:r>
        <w:rPr>
          <w:rFonts w:ascii="Arial" w:cs="Arial" w:eastAsia="Arial" w:hAnsi="Arial"/>
          <w:sz w:val="22"/>
          <w:szCs w:val="22"/>
          <w:color w:val="auto"/>
        </w:rPr>
        <w:t>”) the other Party (the “</w:t>
      </w:r>
      <w:r>
        <w:rPr>
          <w:rFonts w:ascii="Arial" w:cs="Arial" w:eastAsia="Arial" w:hAnsi="Arial"/>
          <w:sz w:val="22"/>
          <w:szCs w:val="22"/>
          <w:b w:val="1"/>
          <w:bCs w:val="1"/>
          <w:color w:val="auto"/>
        </w:rPr>
        <w:t>Indemnified Party</w:t>
      </w:r>
      <w:r>
        <w:rPr>
          <w:rFonts w:ascii="Arial" w:cs="Arial" w:eastAsia="Arial" w:hAnsi="Arial"/>
          <w:sz w:val="22"/>
          <w:szCs w:val="22"/>
          <w:color w:val="auto"/>
        </w:rPr>
        <w:t xml:space="preserve">”) under this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159" w:lineRule="exact"/>
        <w:rPr>
          <w:sz w:val="20"/>
          <w:szCs w:val="20"/>
          <w:color w:val="auto"/>
        </w:rPr>
      </w:pPr>
    </w:p>
    <w:p>
      <w:pPr>
        <w:jc w:val="both"/>
        <w:ind w:firstLine="1304"/>
        <w:spacing w:after="0" w:line="223" w:lineRule="auto"/>
        <w:tabs>
          <w:tab w:leader="none" w:pos="1938"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The obligations of the Indemnifying Party under this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shall not in any way be affected by the absence in any case of covering insurance or by the failure or refusal of any insurance carrier to perform any obligation on its part to be performed under insurance policies affecting the Premises.</w:t>
      </w:r>
    </w:p>
    <w:p>
      <w:pPr>
        <w:spacing w:after="0" w:line="158" w:lineRule="exact"/>
        <w:rPr>
          <w:rFonts w:ascii="Arial" w:cs="Arial" w:eastAsia="Arial" w:hAnsi="Arial"/>
          <w:sz w:val="22"/>
          <w:szCs w:val="22"/>
          <w:color w:val="auto"/>
        </w:rPr>
      </w:pPr>
    </w:p>
    <w:p>
      <w:pPr>
        <w:jc w:val="both"/>
        <w:ind w:firstLine="1304"/>
        <w:spacing w:after="0" w:line="224" w:lineRule="auto"/>
        <w:tabs>
          <w:tab w:leader="none" w:pos="19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If any claim, action or proceeding is made or brought against the Indemnified Party by reason of any event to which reference is made in this Section, then, upon demand by the Indemnified Party, the Indemnifying Party, at its sole cost and expense, shall resist or defend such claim, action or proceeding in the Indemnified Party’s name, if necessary, by the attorneys for the Indemnifying Party’s insurance carrier (if such claim, action or proceeding is covered by insurance), otherwise by such attorneys as the Indemnifying Party retains. Indemnified Party shall approve such attorneys, which approval shall not be unreasonably withheld, conditioned or delayed.</w:t>
      </w:r>
    </w:p>
    <w:p>
      <w:pPr>
        <w:spacing w:after="0" w:line="159" w:lineRule="exact"/>
        <w:rPr>
          <w:rFonts w:ascii="Arial" w:cs="Arial" w:eastAsia="Arial" w:hAnsi="Arial"/>
          <w:sz w:val="21"/>
          <w:szCs w:val="21"/>
          <w:color w:val="auto"/>
        </w:rPr>
      </w:pPr>
    </w:p>
    <w:p>
      <w:pPr>
        <w:jc w:val="both"/>
        <w:ind w:firstLine="1304"/>
        <w:spacing w:after="0" w:line="223" w:lineRule="auto"/>
        <w:tabs>
          <w:tab w:leader="none" w:pos="194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Indemnifying Party’s obligations to indemnify, defend and save an Indemnified Party harmless shall not extend to Claims to the extent caused by the negligence or willful misconduct of the Indemnified Party, its agents or employees.</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The provisions of this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shall survive the expiration or earlier termination of this Lease.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12. </w:t>
      </w:r>
      <w:r>
        <w:rPr>
          <w:rFonts w:ascii="Arial" w:cs="Arial" w:eastAsia="Arial" w:hAnsi="Arial"/>
          <w:sz w:val="22"/>
          <w:szCs w:val="22"/>
          <w:b w:val="1"/>
          <w:bCs w:val="1"/>
          <w:u w:val="single" w:color="auto"/>
          <w:color w:val="auto"/>
        </w:rPr>
        <w:t>DAMAGE OR DESTRUCTION</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1.28 </w:t>
      </w:r>
      <w:r>
        <w:rPr>
          <w:rFonts w:ascii="Arial" w:cs="Arial" w:eastAsia="Arial" w:hAnsi="Arial"/>
          <w:sz w:val="19"/>
          <w:szCs w:val="19"/>
          <w:b w:val="1"/>
          <w:bCs w:val="1"/>
          <w:u w:val="single" w:color="auto"/>
          <w:color w:val="auto"/>
        </w:rPr>
        <w:t>Tenant Repair and Restoration</w:t>
      </w:r>
      <w:r>
        <w:rPr>
          <w:rFonts w:ascii="Arial" w:cs="Arial" w:eastAsia="Arial" w:hAnsi="Arial"/>
          <w:sz w:val="19"/>
          <w:szCs w:val="19"/>
          <w:color w:val="auto"/>
        </w:rPr>
        <w:t>. In the event any portion of the Premises is damaged by fire or any other peril, Tenant, at its sole election, either (a) shall promptly commence and proceed diligently with the work of restoring the same, or (b) shall remove the damaged portion of such Improvements together with all rubble and debris related thereto; provided, however, that Tenant shall have the right to thereafter reconstruct the damaged portion of such Improvements at any time during the Term. Portions of the Premises on which Improvements are not reconstructed following a casualty shall be graded to the level of the adjoining property. In any event, (i) if Tenant elects to reconstruct any damage to the Improvements, Tenant shall be entitled to do so in its sole discretion, subject to the provisions of this Lease, and (ii) whether or not Tenant elects to reconstruct any damage to the Improvements, Tenant shall be entitled to receive any and all insurance proceeds payable pursuant to such casualty.</w:t>
      </w:r>
    </w:p>
    <w:p>
      <w:pPr>
        <w:spacing w:after="0" w:line="1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1.29 </w:t>
      </w:r>
      <w:r>
        <w:rPr>
          <w:rFonts w:ascii="Arial" w:cs="Arial" w:eastAsia="Arial" w:hAnsi="Arial"/>
          <w:sz w:val="19"/>
          <w:szCs w:val="19"/>
          <w:b w:val="1"/>
          <w:bCs w:val="1"/>
          <w:u w:val="single" w:color="auto"/>
          <w:color w:val="auto"/>
        </w:rPr>
        <w:t>Lease Obligations Continue</w:t>
      </w:r>
      <w:r>
        <w:rPr>
          <w:rFonts w:ascii="Arial" w:cs="Arial" w:eastAsia="Arial" w:hAnsi="Arial"/>
          <w:sz w:val="19"/>
          <w:szCs w:val="19"/>
          <w:color w:val="auto"/>
        </w:rPr>
        <w:t>. In no event shall Tenant be entitled to any abatement, allowance, reduction, or suspension of rent because part or all of the Premises shall be untenantable owing to the partial or total destruction thereof. No such damage or destruction shall affect in any way the obligation of Tenant to pay the Net Rent, Additional Payments, and other charges herein reserved or required to be paid, or release Tenant of or from obligations imposed upon Tenant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395" w:right="339" w:bottom="1440" w:gutter="0" w:footer="0" w:header="0"/>
        </w:sectPr>
      </w:pPr>
    </w:p>
    <w:bookmarkStart w:id="110" w:name="page111"/>
    <w:bookmarkEnd w:id="110"/>
    <w:p>
      <w:pPr>
        <w:spacing w:after="0"/>
        <w:rPr>
          <w:sz w:val="20"/>
          <w:szCs w:val="20"/>
          <w:color w:val="auto"/>
        </w:rPr>
      </w:pPr>
      <w:r>
        <w:rPr>
          <w:rFonts w:ascii="Arial" w:cs="Arial" w:eastAsia="Arial" w:hAnsi="Arial"/>
          <w:sz w:val="22"/>
          <w:szCs w:val="22"/>
          <w:b w:val="1"/>
          <w:bCs w:val="1"/>
          <w:color w:val="auto"/>
        </w:rPr>
        <w:t xml:space="preserve">SECTION 13. </w:t>
      </w:r>
      <w:r>
        <w:rPr>
          <w:rFonts w:ascii="Arial" w:cs="Arial" w:eastAsia="Arial" w:hAnsi="Arial"/>
          <w:sz w:val="22"/>
          <w:szCs w:val="22"/>
          <w:b w:val="1"/>
          <w:bCs w:val="1"/>
          <w:u w:val="single" w:color="auto"/>
          <w:color w:val="auto"/>
        </w:rPr>
        <w:t>CONDEMNATION</w:t>
      </w:r>
    </w:p>
    <w:p>
      <w:pPr>
        <w:spacing w:after="0" w:line="17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1.30 </w:t>
      </w:r>
      <w:r>
        <w:rPr>
          <w:rFonts w:ascii="Arial" w:cs="Arial" w:eastAsia="Arial" w:hAnsi="Arial"/>
          <w:sz w:val="19"/>
          <w:szCs w:val="19"/>
          <w:b w:val="1"/>
          <w:bCs w:val="1"/>
          <w:u w:val="single" w:color="auto"/>
          <w:color w:val="auto"/>
        </w:rPr>
        <w:t>Total, Substantial or Unusable Remainder</w:t>
      </w:r>
      <w:r>
        <w:rPr>
          <w:rFonts w:ascii="Arial" w:cs="Arial" w:eastAsia="Arial" w:hAnsi="Arial"/>
          <w:sz w:val="19"/>
          <w:szCs w:val="19"/>
          <w:color w:val="auto"/>
        </w:rPr>
        <w:t>. If at any time during the Term of this Lease (a) title to the whole or substantially all of the Premises shall be taken in condemnation proceedings or by any right of eminent domain or by agreement in lieu of such proceedings, this Lease shall terminate and expire on the date of such taking, and the Net Rent and Additional Payments reserved shall be apportioned and paid to the date of such taking, or (b) title to a substantial portion of the Premises shall be taken in condemnation proceedings or by any right of eminent domain or by agreement in lieu of such proceeding, and the remaining part of the Premises cannot reasonably be used or converted for Tenant’s intended use of the Premises, Tenant may, at its option, terminate this Lease within ninety (90) days after such taking by serving upon Landlord at any time within said ninety (90) day period, a thirty (30) day written notice of Tenant’s election to so terminate accompanied by a certificate of Tenant that the remaining part of the Premises cannot reasonably be used or converted for use by Tenant. In the event of such taking and the termination of this Lease, the award shall be divided as follows: (i) Tenant shall receive from that portion of the award attributable to the value of the Premises (excluding the Improvements) an amount equal to the lesser of (x) the then fair market value of Tenant’s leasehold interest in the Premises (excluding the Improvements) and (y) the award; (ii) Landlord shall receive the remainder, if any, of that portion of the award attributable to the value of the Premises (excluding the Improvements); and (iii) Tenant shall receive that portion of the award attributable to the then fair market value of the Improvements.</w:t>
      </w:r>
    </w:p>
    <w:p>
      <w:pPr>
        <w:spacing w:after="0" w:line="156"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 xml:space="preserve">1.31 </w:t>
      </w:r>
      <w:r>
        <w:rPr>
          <w:rFonts w:ascii="Arial" w:cs="Arial" w:eastAsia="Arial" w:hAnsi="Arial"/>
          <w:sz w:val="22"/>
          <w:szCs w:val="22"/>
          <w:b w:val="1"/>
          <w:bCs w:val="1"/>
          <w:u w:val="single" w:color="auto"/>
          <w:color w:val="auto"/>
        </w:rPr>
        <w:t>Partial Taking-Lease Continues</w:t>
      </w:r>
      <w:r>
        <w:rPr>
          <w:rFonts w:ascii="Arial" w:cs="Arial" w:eastAsia="Arial" w:hAnsi="Arial"/>
          <w:sz w:val="22"/>
          <w:szCs w:val="22"/>
          <w:color w:val="auto"/>
        </w:rPr>
        <w:t xml:space="preserve">. In the event of any such taking of less than the whole or substantially all of the Premises and, if such taking is not of the character described in </w:t>
      </w:r>
      <w:r>
        <w:rPr>
          <w:rFonts w:ascii="Arial" w:cs="Arial" w:eastAsia="Arial" w:hAnsi="Arial"/>
          <w:sz w:val="22"/>
          <w:szCs w:val="22"/>
          <w:u w:val="single" w:color="auto"/>
          <w:color w:val="auto"/>
        </w:rPr>
        <w:t>Section 13.1</w:t>
      </w:r>
      <w:r>
        <w:rPr>
          <w:rFonts w:ascii="Arial" w:cs="Arial" w:eastAsia="Arial" w:hAnsi="Arial"/>
          <w:sz w:val="22"/>
          <w:szCs w:val="22"/>
          <w:color w:val="auto"/>
        </w:rPr>
        <w:t xml:space="preserve"> (or if such taking is of such character and the option of Tenant to terminate this Lease is not exercised), the Term of this Lease shall not be reduced or affected in any way, and the award or awards (herein sometimes referred to as “</w:t>
      </w:r>
      <w:r>
        <w:rPr>
          <w:rFonts w:ascii="Arial" w:cs="Arial" w:eastAsia="Arial" w:hAnsi="Arial"/>
          <w:sz w:val="22"/>
          <w:szCs w:val="22"/>
          <w:b w:val="1"/>
          <w:bCs w:val="1"/>
          <w:color w:val="auto"/>
        </w:rPr>
        <w:t>Condemnation Proceeds</w:t>
      </w:r>
      <w:r>
        <w:rPr>
          <w:rFonts w:ascii="Arial" w:cs="Arial" w:eastAsia="Arial" w:hAnsi="Arial"/>
          <w:sz w:val="22"/>
          <w:szCs w:val="22"/>
          <w:color w:val="auto"/>
        </w:rPr>
        <w:t>”) shall be deposited with Landlord for disbursement to Tenant pursuant to this Lease.</w:t>
      </w:r>
    </w:p>
    <w:p>
      <w:pPr>
        <w:spacing w:after="0" w:line="158" w:lineRule="exact"/>
        <w:rPr>
          <w:sz w:val="20"/>
          <w:szCs w:val="20"/>
          <w:color w:val="auto"/>
        </w:rPr>
      </w:pPr>
    </w:p>
    <w:p>
      <w:pPr>
        <w:jc w:val="both"/>
        <w:ind w:firstLine="1304"/>
        <w:spacing w:after="0" w:line="216" w:lineRule="auto"/>
        <w:tabs>
          <w:tab w:leader="none" w:pos="1938"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Restoration</w:t>
      </w:r>
      <w:r>
        <w:rPr>
          <w:rFonts w:ascii="Arial" w:cs="Arial" w:eastAsia="Arial" w:hAnsi="Arial"/>
          <w:sz w:val="22"/>
          <w:szCs w:val="22"/>
          <w:color w:val="auto"/>
        </w:rPr>
        <w:t xml:space="preserve">. Tenant, shall promptly commence and proceed diligently with the work of restoring the remainder of the Premises to the extent Tenant reasonably believes is required for Tenant’s use following the condemnation event. Such repairs, alterations, or restoration, including such changes and alterations as described in this </w:t>
      </w:r>
      <w:r>
        <w:rPr>
          <w:rFonts w:ascii="Arial" w:cs="Arial" w:eastAsia="Arial" w:hAnsi="Arial"/>
          <w:sz w:val="22"/>
          <w:szCs w:val="22"/>
          <w:u w:val="single" w:color="auto"/>
          <w:color w:val="auto"/>
        </w:rPr>
        <w:t>Section 13.2</w:t>
      </w:r>
      <w:r>
        <w:rPr>
          <w:rFonts w:ascii="Arial" w:cs="Arial" w:eastAsia="Arial" w:hAnsi="Arial"/>
          <w:sz w:val="22"/>
          <w:szCs w:val="22"/>
          <w:color w:val="auto"/>
        </w:rPr>
        <w:t xml:space="preserve"> and including temporary repairs, or the protection of other property pending the completion of any thereof, are sometimes referred to in this Section as the “</w:t>
      </w:r>
      <w:r>
        <w:rPr>
          <w:rFonts w:ascii="Arial" w:cs="Arial" w:eastAsia="Arial" w:hAnsi="Arial"/>
          <w:sz w:val="22"/>
          <w:szCs w:val="22"/>
          <w:b w:val="1"/>
          <w:bCs w:val="1"/>
          <w:color w:val="auto"/>
        </w:rPr>
        <w:t>Work</w:t>
      </w:r>
      <w:r>
        <w:rPr>
          <w:rFonts w:ascii="Arial" w:cs="Arial" w:eastAsia="Arial" w:hAnsi="Arial"/>
          <w:sz w:val="22"/>
          <w:szCs w:val="22"/>
          <w:color w:val="auto"/>
        </w:rPr>
        <w:t>.”</w:t>
      </w:r>
    </w:p>
    <w:p>
      <w:pPr>
        <w:spacing w:after="0" w:line="157" w:lineRule="exact"/>
        <w:rPr>
          <w:rFonts w:ascii="Arial" w:cs="Arial" w:eastAsia="Arial" w:hAnsi="Arial"/>
          <w:sz w:val="22"/>
          <w:szCs w:val="22"/>
          <w:color w:val="auto"/>
        </w:rPr>
      </w:pPr>
    </w:p>
    <w:p>
      <w:pPr>
        <w:jc w:val="both"/>
        <w:ind w:firstLine="1304"/>
        <w:spacing w:after="0" w:line="218" w:lineRule="auto"/>
        <w:tabs>
          <w:tab w:leader="none" w:pos="194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Payment of Condemnation Proceeds</w:t>
      </w:r>
      <w:r>
        <w:rPr>
          <w:rFonts w:ascii="Arial" w:cs="Arial" w:eastAsia="Arial" w:hAnsi="Arial"/>
          <w:sz w:val="22"/>
          <w:szCs w:val="22"/>
          <w:color w:val="auto"/>
        </w:rPr>
        <w:t>. Landlord shall hold, apply, make available and pay over to Tenant the Condemnation Proceeds for payment of the costs of the Work. Upon the completion and payment of the cost of the Work, the remaining balance of the Condemnation Proceeds shall be paid to Landlord (such amount, the “</w:t>
      </w:r>
      <w:r>
        <w:rPr>
          <w:rFonts w:ascii="Arial" w:cs="Arial" w:eastAsia="Arial" w:hAnsi="Arial"/>
          <w:sz w:val="22"/>
          <w:szCs w:val="22"/>
          <w:b w:val="1"/>
          <w:bCs w:val="1"/>
          <w:color w:val="auto"/>
        </w:rPr>
        <w:t>Condemnation Purchase Price</w:t>
      </w:r>
      <w:r>
        <w:rPr>
          <w:rFonts w:ascii="Arial" w:cs="Arial" w:eastAsia="Arial" w:hAnsi="Arial"/>
          <w:sz w:val="22"/>
          <w:szCs w:val="22"/>
          <w:color w:val="auto"/>
        </w:rPr>
        <w:t xml:space="preserve"> </w:t>
      </w:r>
      <w:r>
        <w:rPr>
          <w:rFonts w:ascii="Arial" w:cs="Arial" w:eastAsia="Arial" w:hAnsi="Arial"/>
          <w:sz w:val="22"/>
          <w:szCs w:val="22"/>
          <w:b w:val="1"/>
          <w:bCs w:val="1"/>
          <w:color w:val="auto"/>
        </w:rPr>
        <w:t>Credit</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firstLine="1304"/>
        <w:spacing w:after="0" w:line="249" w:lineRule="auto"/>
        <w:tabs>
          <w:tab w:leader="none" w:pos="1940"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Reduction of Net Rent</w:t>
      </w:r>
      <w:r>
        <w:rPr>
          <w:rFonts w:ascii="Arial" w:cs="Arial" w:eastAsia="Arial" w:hAnsi="Arial"/>
          <w:sz w:val="19"/>
          <w:szCs w:val="19"/>
          <w:color w:val="auto"/>
        </w:rPr>
        <w:t>. The Net Rent payable for that part of the balance of the Term hereof occurring prior to the termination of the Lease, shall be equitably adjusted based on the remaining square footage of leased Premises. Until the amount of the Net Rent payable under shall have been ascertained, Tenant shall continue to pay to Landlord during the interim period the Net Rent, and Additional Payments as herein provided. If the Net Rent paid during such interim period shall exceed the amount of the Net Rent as thereafter ascertained, within thirty (30) days after the amount of such Net Rent shall have been ascertained, the amount thereof shall be credited by Landlord to Tenant’s next occurring rental payment(s).</w:t>
      </w:r>
    </w:p>
    <w:p>
      <w:pPr>
        <w:spacing w:after="0" w:line="14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 xml:space="preserve">1.32 </w:t>
      </w:r>
      <w:r>
        <w:rPr>
          <w:rFonts w:ascii="Arial" w:cs="Arial" w:eastAsia="Arial" w:hAnsi="Arial"/>
          <w:sz w:val="22"/>
          <w:szCs w:val="22"/>
          <w:b w:val="1"/>
          <w:bCs w:val="1"/>
          <w:u w:val="single" w:color="auto"/>
          <w:color w:val="auto"/>
        </w:rPr>
        <w:t>Rights of Participation</w:t>
      </w:r>
      <w:r>
        <w:rPr>
          <w:rFonts w:ascii="Arial" w:cs="Arial" w:eastAsia="Arial" w:hAnsi="Arial"/>
          <w:sz w:val="22"/>
          <w:szCs w:val="22"/>
          <w:color w:val="auto"/>
        </w:rPr>
        <w:t>. Each Party shall have the right, at its own expense, to appear in any condemnation proceeding and participate in any and all hearings, trials, and appeals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395" w:right="339" w:bottom="1440" w:gutter="0" w:footer="0" w:header="0"/>
        </w:sectPr>
      </w:pPr>
    </w:p>
    <w:bookmarkStart w:id="111" w:name="page112"/>
    <w:bookmarkEnd w:id="111"/>
    <w:p>
      <w:pPr>
        <w:jc w:val="both"/>
        <w:ind w:firstLine="648"/>
        <w:spacing w:after="0" w:line="225" w:lineRule="auto"/>
        <w:rPr>
          <w:sz w:val="20"/>
          <w:szCs w:val="20"/>
          <w:color w:val="auto"/>
        </w:rPr>
      </w:pPr>
      <w:r>
        <w:rPr>
          <w:rFonts w:ascii="Arial" w:cs="Arial" w:eastAsia="Arial" w:hAnsi="Arial"/>
          <w:sz w:val="22"/>
          <w:szCs w:val="22"/>
          <w:color w:val="auto"/>
        </w:rPr>
        <w:t xml:space="preserve">1.33 </w:t>
      </w:r>
      <w:r>
        <w:rPr>
          <w:rFonts w:ascii="Arial" w:cs="Arial" w:eastAsia="Arial" w:hAnsi="Arial"/>
          <w:sz w:val="22"/>
          <w:szCs w:val="22"/>
          <w:b w:val="1"/>
          <w:bCs w:val="1"/>
          <w:u w:val="single" w:color="auto"/>
          <w:color w:val="auto"/>
        </w:rPr>
        <w:t>Notice of Proceeding</w:t>
      </w:r>
      <w:r>
        <w:rPr>
          <w:rFonts w:ascii="Arial" w:cs="Arial" w:eastAsia="Arial" w:hAnsi="Arial"/>
          <w:sz w:val="22"/>
          <w:szCs w:val="22"/>
          <w:color w:val="auto"/>
        </w:rPr>
        <w:t>. In the event Landlord or Tenant shall receive notice of any proposed or pending condemnation proceedings affecting the Premises, the Party receiving such notice shall promptly notify the other Party of the receipt and contents thereof.</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14. </w:t>
      </w:r>
      <w:r>
        <w:rPr>
          <w:rFonts w:ascii="Arial" w:cs="Arial" w:eastAsia="Arial" w:hAnsi="Arial"/>
          <w:sz w:val="22"/>
          <w:szCs w:val="22"/>
          <w:b w:val="1"/>
          <w:bCs w:val="1"/>
          <w:u w:val="single" w:color="auto"/>
          <w:color w:val="auto"/>
        </w:rPr>
        <w:t>ASSIGNMENT, SUBLETTING, MORTGAGE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8"/>
          <w:szCs w:val="18"/>
          <w:b w:val="1"/>
          <w:bCs w:val="1"/>
          <w:u w:val="single" w:color="auto"/>
          <w:color w:val="auto"/>
        </w:rPr>
        <w:t>Assignments</w:t>
      </w:r>
      <w:r>
        <w:rPr>
          <w:rFonts w:ascii="Arial" w:cs="Arial" w:eastAsia="Arial" w:hAnsi="Arial"/>
          <w:sz w:val="18"/>
          <w:szCs w:val="18"/>
          <w:color w:val="auto"/>
        </w:rPr>
        <w:t>.</w:t>
      </w:r>
    </w:p>
    <w:p>
      <w:pPr>
        <w:spacing w:after="0" w:line="185" w:lineRule="exact"/>
        <w:rPr>
          <w:sz w:val="20"/>
          <w:szCs w:val="20"/>
          <w:color w:val="auto"/>
        </w:rPr>
      </w:pPr>
    </w:p>
    <w:p>
      <w:pPr>
        <w:jc w:val="both"/>
        <w:ind w:firstLine="1304"/>
        <w:spacing w:after="0" w:line="247" w:lineRule="auto"/>
        <w:tabs>
          <w:tab w:leader="none" w:pos="1938" w:val="left"/>
        </w:tabs>
        <w:numPr>
          <w:ilvl w:val="0"/>
          <w:numId w:val="62"/>
        </w:numPr>
        <w:rPr>
          <w:rFonts w:ascii="Arial" w:cs="Arial" w:eastAsia="Arial" w:hAnsi="Arial"/>
          <w:sz w:val="19"/>
          <w:szCs w:val="19"/>
          <w:color w:val="auto"/>
        </w:rPr>
      </w:pPr>
      <w:r>
        <w:rPr>
          <w:rFonts w:ascii="Arial" w:cs="Arial" w:eastAsia="Arial" w:hAnsi="Arial"/>
          <w:sz w:val="19"/>
          <w:szCs w:val="19"/>
          <w:color w:val="auto"/>
        </w:rPr>
        <w:t>Tenant shall not assign, mortgage, pledge, encumber or in any manner transfer this Lease or any part thereof, without the prior written consent of Landlord in each instance, which consent shall not be unreasonably, withheld, conditioned or delayed. This covenant shall not apply to the subletting of the Premises, any leasing of any part or parts thereof or of any Improvements, or any leasing of space, all of which shall be permitted without Landlord’s approval or consent. The prohibition shall not be applicable to any assignment to an Affiliate of Tenant. This prohibition shall not be deemed to prevent the granting of easements or permits to facilitate the development of the Premises. The provisions of this Section shall not prohibit the granting of any security interests for development of the Premises as long as the fee title remains unencumbered.</w:t>
      </w:r>
    </w:p>
    <w:p>
      <w:pPr>
        <w:spacing w:after="0" w:line="153" w:lineRule="exact"/>
        <w:rPr>
          <w:rFonts w:ascii="Arial" w:cs="Arial" w:eastAsia="Arial" w:hAnsi="Arial"/>
          <w:sz w:val="19"/>
          <w:szCs w:val="19"/>
          <w:color w:val="auto"/>
        </w:rPr>
      </w:pPr>
    </w:p>
    <w:p>
      <w:pPr>
        <w:jc w:val="both"/>
        <w:ind w:firstLine="1304"/>
        <w:spacing w:after="0" w:line="244" w:lineRule="auto"/>
        <w:tabs>
          <w:tab w:leader="none" w:pos="19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Every assignee, whether as assignee or as successor in interest of any assignee of Tenant herein named or as assignee of the Permitted Mortgagee, or as successor in interest of any assignee, including any purchaser of the Lease under a foreclosure of the Permitted Mortgage, shall immediately be and become and remain liable for the payment of Net Rent and Additional Payments, and for the due performance of all the covenants, agreements, terms, and provisions hereof on Tenant’s part to be performed to the end of the Term hereof, except as hereinafter provided in this Section, and every provision of this Lease applicable to Tenant shall apply to and bind every such assignee and purchaser with the same force and effect as though such assignee or purchaser were the Tenant named in this Lease. No transfer to such assignee or to such purchaser shall be binding upon Landlord unless such assignee or purchaser shall deliver to the Landlord a recordable instrument which contains a covenant of assumption by said assignee or purchaser to such effect, but the failure or refusal of such assignee or purchaser to deliver such instrument shall not release or discharge such assignee or purchaser from its obligations and liability as above set forth.</w:t>
      </w:r>
    </w:p>
    <w:p>
      <w:pPr>
        <w:spacing w:after="0" w:line="154" w:lineRule="exact"/>
        <w:rPr>
          <w:rFonts w:ascii="Arial" w:cs="Arial" w:eastAsia="Arial" w:hAnsi="Arial"/>
          <w:sz w:val="19"/>
          <w:szCs w:val="19"/>
          <w:color w:val="auto"/>
        </w:rPr>
      </w:pPr>
    </w:p>
    <w:p>
      <w:pPr>
        <w:jc w:val="both"/>
        <w:ind w:firstLine="1304"/>
        <w:spacing w:after="0" w:line="229" w:lineRule="auto"/>
        <w:tabs>
          <w:tab w:leader="none" w:pos="1940" w:val="left"/>
        </w:tabs>
        <w:numPr>
          <w:ilvl w:val="0"/>
          <w:numId w:val="62"/>
        </w:numPr>
        <w:rPr>
          <w:rFonts w:ascii="Arial" w:cs="Arial" w:eastAsia="Arial" w:hAnsi="Arial"/>
          <w:sz w:val="21"/>
          <w:szCs w:val="21"/>
          <w:color w:val="auto"/>
        </w:rPr>
      </w:pPr>
      <w:r>
        <w:rPr>
          <w:rFonts w:ascii="Arial" w:cs="Arial" w:eastAsia="Arial" w:hAnsi="Arial"/>
          <w:sz w:val="21"/>
          <w:szCs w:val="21"/>
          <w:color w:val="auto"/>
        </w:rPr>
        <w:t>Any consent by Landlord herein contained or hereafter given to any act of assignment, shall be held to apply only to the specific transaction hereby or thereby approved. Such consent shall not be construed as a waiver of the duty of Tenant, or its successors or assigns, to obtain Landlord’s consent to any other or subsequent assignment, or as a modification or limitation of the right of Landlord with respect to the foregoing covenant by Tenant.</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 xml:space="preserve">1.35 </w:t>
      </w:r>
      <w:r>
        <w:rPr>
          <w:rFonts w:ascii="Arial" w:cs="Arial" w:eastAsia="Arial" w:hAnsi="Arial"/>
          <w:sz w:val="19"/>
          <w:szCs w:val="19"/>
          <w:b w:val="1"/>
          <w:bCs w:val="1"/>
          <w:u w:val="single" w:color="auto"/>
          <w:color w:val="auto"/>
        </w:rPr>
        <w:t>Subleases</w:t>
      </w:r>
      <w:r>
        <w:rPr>
          <w:rFonts w:ascii="Arial" w:cs="Arial" w:eastAsia="Arial" w:hAnsi="Arial"/>
          <w:sz w:val="19"/>
          <w:szCs w:val="19"/>
          <w:color w:val="auto"/>
        </w:rPr>
        <w:t xml:space="preserve">. Tenant may sublease portions of the Premises, subject to the rights of Landlord, and neither the consent of Landlord nor the assumption of this Lease shall be required in connection with such renting or subleasing if all of the conditions set forth below are satisfied. Any Sublease shall be subject and subordinate to this Lease and the rights of Landlord hereunder and each such sublease shall provide that, in the event this Lease (or any new lease made pursuant to </w:t>
      </w:r>
      <w:r>
        <w:rPr>
          <w:rFonts w:ascii="Arial" w:cs="Arial" w:eastAsia="Arial" w:hAnsi="Arial"/>
          <w:sz w:val="19"/>
          <w:szCs w:val="19"/>
          <w:u w:val="single" w:color="auto"/>
          <w:color w:val="auto"/>
        </w:rPr>
        <w:t>Section 14.3D</w:t>
      </w:r>
      <w:r>
        <w:rPr>
          <w:rFonts w:ascii="Arial" w:cs="Arial" w:eastAsia="Arial" w:hAnsi="Arial"/>
          <w:sz w:val="19"/>
          <w:szCs w:val="19"/>
          <w:color w:val="auto"/>
        </w:rPr>
        <w:t>) is terminated, the subtenant will attorn to Landlord if Landlord shall accept such attornment upon such termination.</w:t>
      </w:r>
    </w:p>
    <w:p>
      <w:pPr>
        <w:spacing w:after="0" w:line="14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19"/>
          <w:szCs w:val="19"/>
          <w:b w:val="1"/>
          <w:bCs w:val="1"/>
          <w:u w:val="single" w:color="auto"/>
          <w:color w:val="auto"/>
        </w:rPr>
        <w:t>Permitted Mortgages</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68" w:lineRule="auto"/>
        <w:tabs>
          <w:tab w:leader="none" w:pos="1938" w:val="left"/>
        </w:tabs>
        <w:numPr>
          <w:ilvl w:val="0"/>
          <w:numId w:val="63"/>
        </w:numPr>
        <w:rPr>
          <w:rFonts w:ascii="Arial" w:cs="Arial" w:eastAsia="Arial" w:hAnsi="Arial"/>
          <w:sz w:val="19"/>
          <w:szCs w:val="19"/>
          <w:color w:val="auto"/>
        </w:rPr>
      </w:pPr>
      <w:r>
        <w:rPr>
          <w:rFonts w:ascii="Arial" w:cs="Arial" w:eastAsia="Arial" w:hAnsi="Arial"/>
          <w:sz w:val="19"/>
          <w:szCs w:val="19"/>
          <w:color w:val="auto"/>
        </w:rPr>
        <w:t>During the Term, Tenant shall have the ability to obtain and refinance any loans secured by the Permitted Mortgage, but any such loan transactions shall not be secured by liens on Landlord’s fee interest in the Premises. The refinanced loans may be secured by liens on Tenant’s leasehold interest under the Lease and shall be considered Permitted Mortgages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395" w:right="339" w:bottom="1440" w:gutter="0" w:footer="0" w:header="0"/>
        </w:sectPr>
      </w:pPr>
    </w:p>
    <w:bookmarkStart w:id="112" w:name="page113"/>
    <w:bookmarkEnd w:id="112"/>
    <w:p>
      <w:pPr>
        <w:jc w:val="both"/>
        <w:spacing w:after="0" w:line="229" w:lineRule="auto"/>
        <w:rPr>
          <w:sz w:val="20"/>
          <w:szCs w:val="20"/>
          <w:color w:val="auto"/>
        </w:rPr>
      </w:pPr>
      <w:r>
        <w:rPr>
          <w:rFonts w:ascii="Arial" w:cs="Arial" w:eastAsia="Arial" w:hAnsi="Arial"/>
          <w:sz w:val="21"/>
          <w:szCs w:val="21"/>
          <w:color w:val="auto"/>
        </w:rPr>
        <w:t xml:space="preserve">Landlord receives a written request from Tenant and Permitted Mortgagee to provide such status pursuant to the terms of this Lease. Landlord will enter into an agreement with Permitted Mortgagee acknowledging the applicability of the terms relating to Permitted Mortgages and Permitted Mortgagee, including the terms of </w:t>
      </w:r>
      <w:r>
        <w:rPr>
          <w:rFonts w:ascii="Arial" w:cs="Arial" w:eastAsia="Arial" w:hAnsi="Arial"/>
          <w:sz w:val="21"/>
          <w:szCs w:val="21"/>
          <w:u w:val="single" w:color="auto"/>
          <w:color w:val="auto"/>
        </w:rPr>
        <w:t>Section 14.1B</w:t>
      </w:r>
      <w:r>
        <w:rPr>
          <w:rFonts w:ascii="Arial" w:cs="Arial" w:eastAsia="Arial" w:hAnsi="Arial"/>
          <w:sz w:val="21"/>
          <w:szCs w:val="21"/>
          <w:color w:val="auto"/>
        </w:rPr>
        <w:t>. During the Term, Tenant is responsible for notifying Landlord of any change in the identity of a Permitted Mortgagee.</w:t>
      </w:r>
    </w:p>
    <w:p>
      <w:pPr>
        <w:spacing w:after="0" w:line="158" w:lineRule="exact"/>
        <w:rPr>
          <w:sz w:val="20"/>
          <w:szCs w:val="20"/>
          <w:color w:val="auto"/>
        </w:rPr>
      </w:pPr>
    </w:p>
    <w:p>
      <w:pPr>
        <w:jc w:val="both"/>
        <w:ind w:firstLine="1304"/>
        <w:spacing w:after="0" w:line="246" w:lineRule="auto"/>
        <w:tabs>
          <w:tab w:leader="none" w:pos="19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So long as the Permitted Mortgage shall remain a lien on Tenant’s leasehold estate hereunder and Landlord has received a written request to provide the notification required by the terms of this Lease, Landlord agrees, simultaneously with the giving of any notice required by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to Tenant (i) of default, or (ii) of a termination hereof, to give duplicate copies thereof or of any process in any action or proceeding brought to terminate or to otherwise in any way affect this Lease, to the Permitted Mortgagee, and no such notice to Tenant or process shall be effective unless a copy of such notice is given to the Permitted Mortgagee in the manner herein provided. Concurrently with Tenant, the Permitted Mortgagee will have the same period after receipt of the aforesaid notice by Tenant to remedy the default or cause the same to be remedied, and Landlord agrees to accept such performance on the part of the Permitted Mortgagee as though the same had been done or performed by Tenant.</w:t>
      </w:r>
    </w:p>
    <w:p>
      <w:pPr>
        <w:spacing w:after="0" w:line="152" w:lineRule="exact"/>
        <w:rPr>
          <w:rFonts w:ascii="Arial" w:cs="Arial" w:eastAsia="Arial" w:hAnsi="Arial"/>
          <w:sz w:val="19"/>
          <w:szCs w:val="19"/>
          <w:color w:val="auto"/>
        </w:rPr>
      </w:pPr>
    </w:p>
    <w:p>
      <w:pPr>
        <w:jc w:val="both"/>
        <w:ind w:firstLine="1304"/>
        <w:spacing w:after="0" w:line="244" w:lineRule="auto"/>
        <w:tabs>
          <w:tab w:leader="none" w:pos="19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Landlord will take no action to effect a termination of this Lease by reasons of any default without first giving a reasonable time (which time may run concurrently with any applicable Tenant notice and cure periods) within which either (i) to obtain possession of the Premises (including possession by a receiver) and thereafter to cure such default if the default is one that can be cured with the exercise of reasonable diligence by the Permitted Mortgagee, or (ii) to institute foreclosure proceedings and to complete such foreclosure, or otherwise to acquire Tenant’s interest under this Lease with diligence and without unreasonable delay in the case of a default which cannot be cured with the exercise of reasonable diligence by the Permitted Mortgagee. The Permitted Mortgagee shall not be required to continue such foreclosure proceedings if the default shall be cured by Tenant; provided, further, that nothing herein shall preclude Landlord from exercising any rights or remedies under this Lease with respect to any other default by Tenant during any period of such forbearance.</w:t>
      </w:r>
    </w:p>
    <w:p>
      <w:pPr>
        <w:spacing w:after="0" w:line="160" w:lineRule="exact"/>
        <w:rPr>
          <w:rFonts w:ascii="Arial" w:cs="Arial" w:eastAsia="Arial" w:hAnsi="Arial"/>
          <w:sz w:val="19"/>
          <w:szCs w:val="19"/>
          <w:color w:val="auto"/>
        </w:rPr>
      </w:pPr>
    </w:p>
    <w:p>
      <w:pPr>
        <w:jc w:val="both"/>
        <w:ind w:firstLine="1304"/>
        <w:spacing w:after="0" w:line="241" w:lineRule="auto"/>
        <w:tabs>
          <w:tab w:leader="none" w:pos="1938" w:val="left"/>
        </w:tabs>
        <w:numPr>
          <w:ilvl w:val="0"/>
          <w:numId w:val="64"/>
        </w:numPr>
        <w:rPr>
          <w:rFonts w:ascii="Arial" w:cs="Arial" w:eastAsia="Arial" w:hAnsi="Arial"/>
          <w:sz w:val="19"/>
          <w:szCs w:val="19"/>
          <w:color w:val="auto"/>
        </w:rPr>
      </w:pPr>
      <w:r>
        <w:rPr>
          <w:rFonts w:ascii="Arial" w:cs="Arial" w:eastAsia="Arial" w:hAnsi="Arial"/>
          <w:sz w:val="19"/>
          <w:szCs w:val="19"/>
          <w:color w:val="auto"/>
        </w:rPr>
        <w:t>If this Lease is terminated prior to its stated expiration date, Landlord agrees that it will give the Permitted Mortgagee notice of such termination and will enter into a new lease of the Premises with the Permitted Mortgagee or, at the request of the Permitted Mortgagee, with Permitted Mortgagee’s assignee, designee, or nominee for the remainder of the Term effective as of the date of such termination, upon the same covenants, agreements, terms, provisions, and limitations herein contained, provided: (i) the Permitted Mortgagee makes written request upon Landlord for such new lease within thirty (30) days after the Landlord’s giving notice of termination and such written request is accompanied by payment to Landlord of all amounts then due to Landlord of which Landlord shall have given the Permitted Mortgagee notice, and (ii) the Permitted Mortgagee pays or causes to be paid to Landlord at the time of the execution and delivery of such new lease any and all additional sums which would at the time of the execution and delivery thereof be due under this Lease but for such termination and pays or causes to be paid any and all expenses, including reasonable attorney’s fees, court costs, and costs and disbursements incurred by Landlord in connection with any such termination and in connection with the execution and delivery of such new lease, less the net income from the Premises collected by Landlord subsequent to the date of the termination of this Lease and prior to the execution and delivery of such new lease. The provisions of this Section shall survive the termination of this Lease and shall continue in full force and effect thereafter to the same extent as if this Section were a separate and independent contract among Landlord, Tenant, and Permitted Mortgagee.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01" w:right="339" w:bottom="1440" w:gutter="0" w:footer="0" w:header="0"/>
        </w:sectPr>
      </w:pPr>
    </w:p>
    <w:bookmarkStart w:id="113" w:name="page114"/>
    <w:bookmarkEnd w:id="113"/>
    <w:p>
      <w:pPr>
        <w:spacing w:after="0"/>
        <w:rPr>
          <w:sz w:val="20"/>
          <w:szCs w:val="20"/>
          <w:color w:val="auto"/>
        </w:rPr>
      </w:pPr>
      <w:r>
        <w:rPr>
          <w:rFonts w:ascii="Arial" w:cs="Arial" w:eastAsia="Arial" w:hAnsi="Arial"/>
          <w:sz w:val="22"/>
          <w:szCs w:val="22"/>
          <w:b w:val="1"/>
          <w:bCs w:val="1"/>
          <w:color w:val="auto"/>
        </w:rPr>
        <w:t xml:space="preserve">SECTION 15. </w:t>
      </w:r>
      <w:r>
        <w:rPr>
          <w:rFonts w:ascii="Arial" w:cs="Arial" w:eastAsia="Arial" w:hAnsi="Arial"/>
          <w:sz w:val="22"/>
          <w:szCs w:val="22"/>
          <w:b w:val="1"/>
          <w:bCs w:val="1"/>
          <w:u w:val="single" w:color="auto"/>
          <w:color w:val="auto"/>
        </w:rPr>
        <w:t>DEFAULT BY TENANT</w:t>
      </w:r>
    </w:p>
    <w:p>
      <w:pPr>
        <w:spacing w:after="0" w:line="179"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 xml:space="preserve">1.37 </w:t>
      </w:r>
      <w:r>
        <w:rPr>
          <w:rFonts w:ascii="Arial" w:cs="Arial" w:eastAsia="Arial" w:hAnsi="Arial"/>
          <w:sz w:val="22"/>
          <w:szCs w:val="22"/>
          <w:b w:val="1"/>
          <w:bCs w:val="1"/>
          <w:u w:val="single" w:color="auto"/>
          <w:color w:val="auto"/>
        </w:rPr>
        <w:t>Events of Default</w:t>
      </w:r>
      <w:r>
        <w:rPr>
          <w:rFonts w:ascii="Arial" w:cs="Arial" w:eastAsia="Arial" w:hAnsi="Arial"/>
          <w:sz w:val="22"/>
          <w:szCs w:val="22"/>
          <w:color w:val="auto"/>
        </w:rPr>
        <w:t>. The happening of any one of the following events (each, an “</w:t>
      </w:r>
      <w:r>
        <w:rPr>
          <w:rFonts w:ascii="Arial" w:cs="Arial" w:eastAsia="Arial" w:hAnsi="Arial"/>
          <w:sz w:val="22"/>
          <w:szCs w:val="22"/>
          <w:b w:val="1"/>
          <w:bCs w:val="1"/>
          <w:color w:val="auto"/>
        </w:rPr>
        <w:t>Event of Default</w:t>
      </w:r>
      <w:r>
        <w:rPr>
          <w:rFonts w:ascii="Arial" w:cs="Arial" w:eastAsia="Arial" w:hAnsi="Arial"/>
          <w:sz w:val="22"/>
          <w:szCs w:val="22"/>
          <w:color w:val="auto"/>
        </w:rPr>
        <w:t>”) shall be considered a material breach and default by Tenant under this Lease:</w:t>
      </w:r>
    </w:p>
    <w:p>
      <w:pPr>
        <w:spacing w:after="0" w:line="159" w:lineRule="exact"/>
        <w:rPr>
          <w:sz w:val="20"/>
          <w:szCs w:val="20"/>
          <w:color w:val="auto"/>
        </w:rPr>
      </w:pPr>
    </w:p>
    <w:p>
      <w:pPr>
        <w:jc w:val="both"/>
        <w:ind w:firstLine="1304"/>
        <w:spacing w:after="0" w:line="223" w:lineRule="auto"/>
        <w:tabs>
          <w:tab w:leader="none" w:pos="1941"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Monetary Default</w:t>
      </w:r>
      <w:r>
        <w:rPr>
          <w:rFonts w:ascii="Arial" w:cs="Arial" w:eastAsia="Arial" w:hAnsi="Arial"/>
          <w:sz w:val="22"/>
          <w:szCs w:val="22"/>
          <w:color w:val="auto"/>
        </w:rPr>
        <w:t>. If default shall be made in the due and punctual payment of any Net Rent or Additional Payments (including, without limitation, any Purchase Price Prepayment Amount) within ninety (90) days after delivery of written notice specifying such default (“</w:t>
      </w:r>
      <w:r>
        <w:rPr>
          <w:rFonts w:ascii="Arial" w:cs="Arial" w:eastAsia="Arial" w:hAnsi="Arial"/>
          <w:sz w:val="22"/>
          <w:szCs w:val="22"/>
          <w:b w:val="1"/>
          <w:bCs w:val="1"/>
          <w:color w:val="auto"/>
        </w:rPr>
        <w:t>First Notice</w:t>
      </w:r>
      <w:r>
        <w:rPr>
          <w:rFonts w:ascii="Arial" w:cs="Arial" w:eastAsia="Arial" w:hAnsi="Arial"/>
          <w:sz w:val="22"/>
          <w:szCs w:val="22"/>
          <w:color w:val="auto"/>
        </w:rPr>
        <w:t>”) to Tenant (a “</w:t>
      </w:r>
      <w:r>
        <w:rPr>
          <w:rFonts w:ascii="Arial" w:cs="Arial" w:eastAsia="Arial" w:hAnsi="Arial"/>
          <w:sz w:val="22"/>
          <w:szCs w:val="22"/>
          <w:b w:val="1"/>
          <w:bCs w:val="1"/>
          <w:color w:val="auto"/>
        </w:rPr>
        <w:t>Monetary Default</w:t>
      </w:r>
      <w:r>
        <w:rPr>
          <w:rFonts w:ascii="Arial" w:cs="Arial" w:eastAsia="Arial" w:hAnsi="Arial"/>
          <w:sz w:val="22"/>
          <w:szCs w:val="22"/>
          <w:color w:val="auto"/>
        </w:rPr>
        <w:t>”); or</w:t>
      </w:r>
    </w:p>
    <w:p>
      <w:pPr>
        <w:spacing w:after="0" w:line="158" w:lineRule="exact"/>
        <w:rPr>
          <w:rFonts w:ascii="Arial" w:cs="Arial" w:eastAsia="Arial" w:hAnsi="Arial"/>
          <w:sz w:val="22"/>
          <w:szCs w:val="22"/>
          <w:color w:val="auto"/>
        </w:rPr>
      </w:pPr>
    </w:p>
    <w:p>
      <w:pPr>
        <w:jc w:val="both"/>
        <w:ind w:firstLine="1304"/>
        <w:spacing w:after="0" w:line="214" w:lineRule="auto"/>
        <w:tabs>
          <w:tab w:leader="none" w:pos="1925"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Non-Monetary Default</w:t>
      </w:r>
      <w:r>
        <w:rPr>
          <w:rFonts w:ascii="Arial" w:cs="Arial" w:eastAsia="Arial" w:hAnsi="Arial"/>
          <w:sz w:val="22"/>
          <w:szCs w:val="22"/>
          <w:color w:val="auto"/>
        </w:rPr>
        <w:t>. If default shall be made by Tenant in the performance of or compliance with any of the covenants, agreements, terms, limitations, or conditions hereof other than those referred to in the foregoing subsection (A), and such default shall continue for a period of one hundred eighty (180) days after delivery of First Notice to Tenant, provided, that if Tenant proceeds with due diligence during such one hundred eighty (180) period to substantially cure such default and is unable by reason of the nature of the work involved, Tenant’s time to do so shall be extended by the time reasonably necessary to cure the same; or</w:t>
      </w:r>
    </w:p>
    <w:p>
      <w:pPr>
        <w:spacing w:after="0" w:line="158" w:lineRule="exact"/>
        <w:rPr>
          <w:rFonts w:ascii="Arial" w:cs="Arial" w:eastAsia="Arial" w:hAnsi="Arial"/>
          <w:sz w:val="22"/>
          <w:szCs w:val="22"/>
          <w:color w:val="auto"/>
        </w:rPr>
      </w:pPr>
    </w:p>
    <w:p>
      <w:pPr>
        <w:jc w:val="both"/>
        <w:ind w:firstLine="1304"/>
        <w:spacing w:after="0" w:line="252" w:lineRule="auto"/>
        <w:tabs>
          <w:tab w:leader="none" w:pos="1938"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Bankruptcy, Voluntary</w:t>
      </w:r>
      <w:r>
        <w:rPr>
          <w:rFonts w:ascii="Arial" w:cs="Arial" w:eastAsia="Arial" w:hAnsi="Arial"/>
          <w:sz w:val="19"/>
          <w:szCs w:val="19"/>
          <w:color w:val="auto"/>
        </w:rPr>
        <w:t>. If Tenant shall file a voluntary petition in bankruptcy or shall be adjudicated a bankrupt or insolvent, or shall file any petition or answer seeking any reorganization, arrangement, composition, readjustment, liquidation, dissolution or similar relief for itself under any present or future federal, state, or other statute, law or regulation, or if Tenant shall seek or consent to or acquiesce in the appointment of any trustee, receiver or liquidator of Tenant or of all or any substantial part of its properties, or shall make any general assignment for the benefit of creditors; or</w:t>
      </w:r>
    </w:p>
    <w:p>
      <w:pPr>
        <w:spacing w:after="0" w:line="148" w:lineRule="exact"/>
        <w:rPr>
          <w:rFonts w:ascii="Arial" w:cs="Arial" w:eastAsia="Arial" w:hAnsi="Arial"/>
          <w:sz w:val="19"/>
          <w:szCs w:val="19"/>
          <w:color w:val="auto"/>
        </w:rPr>
      </w:pPr>
    </w:p>
    <w:p>
      <w:pPr>
        <w:jc w:val="both"/>
        <w:ind w:firstLine="1304"/>
        <w:spacing w:after="0" w:line="252" w:lineRule="auto"/>
        <w:tabs>
          <w:tab w:leader="none" w:pos="1938"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Bankruptcy, Involuntary</w:t>
      </w:r>
      <w:r>
        <w:rPr>
          <w:rFonts w:ascii="Arial" w:cs="Arial" w:eastAsia="Arial" w:hAnsi="Arial"/>
          <w:sz w:val="19"/>
          <w:szCs w:val="19"/>
          <w:color w:val="auto"/>
        </w:rPr>
        <w:t>. If a petition shall be filed against Tenant seeking any reorganization, arrangement, composition, readjustment, liquidation, dissolution or similar relief under any present or future federal, state, or other statue, law or regulation, and shall remain undismissed or unstayed for one hundred eighty (180) days, or if any trustee, receiver or liquidator of Tenant, or of all or substantial part of its properties, shall be appointed without the consent or acquiescence of Tenant and such appointment shall remain unvacated and unstayed for one hundred eighty (180) days.</w:t>
      </w:r>
    </w:p>
    <w:p>
      <w:pPr>
        <w:spacing w:after="0" w:line="143"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1"/>
          <w:szCs w:val="21"/>
          <w:color w:val="auto"/>
        </w:rPr>
        <w:t xml:space="preserve">1.38 </w:t>
      </w:r>
      <w:r>
        <w:rPr>
          <w:rFonts w:ascii="Arial" w:cs="Arial" w:eastAsia="Arial" w:hAnsi="Arial"/>
          <w:sz w:val="21"/>
          <w:szCs w:val="21"/>
          <w:b w:val="1"/>
          <w:bCs w:val="1"/>
          <w:u w:val="single" w:color="auto"/>
          <w:color w:val="auto"/>
        </w:rPr>
        <w:t>Notice and Termination for Monetary Default</w:t>
      </w:r>
      <w:r>
        <w:rPr>
          <w:rFonts w:ascii="Arial" w:cs="Arial" w:eastAsia="Arial" w:hAnsi="Arial"/>
          <w:sz w:val="21"/>
          <w:szCs w:val="21"/>
          <w:color w:val="auto"/>
        </w:rPr>
        <w:t>. Upon the occurrence of one or more Monetary Default(s), Landlord at any time thereafter, but not after such default is cured, may give written notice (“</w:t>
      </w:r>
      <w:r>
        <w:rPr>
          <w:rFonts w:ascii="Arial" w:cs="Arial" w:eastAsia="Arial" w:hAnsi="Arial"/>
          <w:sz w:val="21"/>
          <w:szCs w:val="21"/>
          <w:b w:val="1"/>
          <w:bCs w:val="1"/>
          <w:color w:val="auto"/>
        </w:rPr>
        <w:t>Second Notice</w:t>
      </w:r>
      <w:r>
        <w:rPr>
          <w:rFonts w:ascii="Arial" w:cs="Arial" w:eastAsia="Arial" w:hAnsi="Arial"/>
          <w:sz w:val="21"/>
          <w:szCs w:val="21"/>
          <w:color w:val="auto"/>
        </w:rPr>
        <w:t xml:space="preserve">”) to Tenant specifying such Event(s) of Default and stating that this Lease and the Term hereby demised shall expire and terminate on the date specified in such notice, which shall be at least thirty (30) days after the giving of such Second Notice, subject to the provisions of </w:t>
      </w:r>
      <w:r>
        <w:rPr>
          <w:rFonts w:ascii="Arial" w:cs="Arial" w:eastAsia="Arial" w:hAnsi="Arial"/>
          <w:sz w:val="21"/>
          <w:szCs w:val="21"/>
          <w:u w:val="single" w:color="auto"/>
          <w:color w:val="auto"/>
        </w:rPr>
        <w:t>Section 15.4</w:t>
      </w:r>
      <w:r>
        <w:rPr>
          <w:rFonts w:ascii="Arial" w:cs="Arial" w:eastAsia="Arial" w:hAnsi="Arial"/>
          <w:sz w:val="21"/>
          <w:szCs w:val="21"/>
          <w:color w:val="auto"/>
        </w:rPr>
        <w:t>, this Lease and the Term hereby demised and all rights of Tenant under this Lease shall expire and terminate as though such date were the date originally set forth herein for the termination hereof. Landlord shall have no right to terminate on account of any default that is not a Monetary Default.</w:t>
      </w:r>
    </w:p>
    <w:p>
      <w:pPr>
        <w:spacing w:after="0" w:line="1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9"/>
          <w:szCs w:val="19"/>
          <w:color w:val="auto"/>
        </w:rPr>
        <w:t xml:space="preserve">1.39 </w:t>
      </w:r>
      <w:r>
        <w:rPr>
          <w:rFonts w:ascii="Arial" w:cs="Arial" w:eastAsia="Arial" w:hAnsi="Arial"/>
          <w:sz w:val="19"/>
          <w:szCs w:val="19"/>
          <w:b w:val="1"/>
          <w:bCs w:val="1"/>
          <w:u w:val="single" w:color="auto"/>
          <w:color w:val="auto"/>
        </w:rPr>
        <w:t>No Implied Waivers</w:t>
      </w:r>
      <w:r>
        <w:rPr>
          <w:rFonts w:ascii="Arial" w:cs="Arial" w:eastAsia="Arial" w:hAnsi="Arial"/>
          <w:sz w:val="19"/>
          <w:szCs w:val="19"/>
          <w:color w:val="auto"/>
        </w:rPr>
        <w:t>. No failure by Landlord to insist upon the strict performance of any covenant, agreement, term or condition hereof or to exercise any right or remedy consequent upon a breach hereof, and no acceptance of full or partial rent during the continuance of any such breach, shall constitute a waiver of any such breach or of such covenant, agreement, term or condition. No covenant, agreement, term or condition hereof to be performed or complied with by Landlord or Tenant, and no breach thereof, shall be waived, altered or modified, except by a written instrument executed by the party to be charged therewith. No waiver of any breach shall affect or alter this Lease, but each and every covenant,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395" w:right="339" w:bottom="1440" w:gutter="0" w:footer="0" w:header="0"/>
        </w:sectPr>
      </w:pPr>
    </w:p>
    <w:bookmarkStart w:id="114" w:name="page115"/>
    <w:bookmarkEnd w:id="114"/>
    <w:p>
      <w:pPr>
        <w:jc w:val="both"/>
        <w:spacing w:after="0" w:line="232" w:lineRule="auto"/>
        <w:rPr>
          <w:sz w:val="20"/>
          <w:szCs w:val="20"/>
          <w:color w:val="auto"/>
        </w:rPr>
      </w:pPr>
      <w:r>
        <w:rPr>
          <w:rFonts w:ascii="Arial" w:cs="Arial" w:eastAsia="Arial" w:hAnsi="Arial"/>
          <w:sz w:val="22"/>
          <w:szCs w:val="22"/>
          <w:color w:val="auto"/>
        </w:rPr>
        <w:t>term, limitation and condition hereof shall continue in full force and effect with respect to any other then existing or subsequent breach hereof.</w:t>
      </w:r>
    </w:p>
    <w:p>
      <w:pPr>
        <w:spacing w:after="0" w:line="153"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1.40 </w:t>
      </w:r>
      <w:r>
        <w:rPr>
          <w:rFonts w:ascii="Arial" w:cs="Arial" w:eastAsia="Arial" w:hAnsi="Arial"/>
          <w:sz w:val="21"/>
          <w:szCs w:val="21"/>
          <w:b w:val="1"/>
          <w:bCs w:val="1"/>
          <w:u w:val="single" w:color="auto"/>
          <w:color w:val="auto"/>
        </w:rPr>
        <w:t>Remedies Cumulative; Limitation on Damages</w:t>
      </w:r>
      <w:r>
        <w:rPr>
          <w:rFonts w:ascii="Arial" w:cs="Arial" w:eastAsia="Arial" w:hAnsi="Arial"/>
          <w:sz w:val="21"/>
          <w:szCs w:val="21"/>
          <w:color w:val="auto"/>
        </w:rPr>
        <w:t xml:space="preserve">. In the event of any breach by Tenant of any of the covenants, agreements, terms or conditions hereof, Landlord, in addition to any and all other rights, shall be entitled to enjoin such breach and shall have the right to invoke any right and remedy allowed at law or in equity or by statute or otherwise for such breach. In the event of Tenant’s failure to pay Net Rent or Additional Payments (including, without limitation, any Purchase Price Prepayment Amount) on the date when due, Tenant shall pay Landlord interest on any such overdue payments and associated late charges at the rate of twelve percent (12%) per annum, but in no event an amount greater than permitted under Applicable Laws, but this shall in no way limit any claim for damages for Landlord for any breach or default by Tenant. Notwithstanding the foregoing, the Parties agree that Landlord’s right to terminate the Lease following a breach shall be limited to Monetary Defaults as set forth in </w:t>
      </w:r>
      <w:r>
        <w:rPr>
          <w:rFonts w:ascii="Arial" w:cs="Arial" w:eastAsia="Arial" w:hAnsi="Arial"/>
          <w:sz w:val="21"/>
          <w:szCs w:val="21"/>
          <w:u w:val="single" w:color="auto"/>
          <w:color w:val="auto"/>
        </w:rPr>
        <w:t>Section 15.2</w:t>
      </w:r>
      <w:r>
        <w:rPr>
          <w:rFonts w:ascii="Arial" w:cs="Arial" w:eastAsia="Arial" w:hAnsi="Arial"/>
          <w:sz w:val="21"/>
          <w:szCs w:val="21"/>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16. </w:t>
      </w:r>
      <w:r>
        <w:rPr>
          <w:rFonts w:ascii="Arial" w:cs="Arial" w:eastAsia="Arial" w:hAnsi="Arial"/>
          <w:sz w:val="22"/>
          <w:szCs w:val="22"/>
          <w:b w:val="1"/>
          <w:bCs w:val="1"/>
          <w:u w:val="single" w:color="auto"/>
          <w:color w:val="auto"/>
        </w:rPr>
        <w:t>DEFAULT BY LANDLORD</w:t>
      </w:r>
    </w:p>
    <w:p>
      <w:pPr>
        <w:spacing w:after="0" w:line="179"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 xml:space="preserve">1.41 </w:t>
      </w:r>
      <w:r>
        <w:rPr>
          <w:rFonts w:ascii="Arial" w:cs="Arial" w:eastAsia="Arial" w:hAnsi="Arial"/>
          <w:sz w:val="22"/>
          <w:szCs w:val="22"/>
          <w:b w:val="1"/>
          <w:bCs w:val="1"/>
          <w:u w:val="single" w:color="auto"/>
          <w:color w:val="auto"/>
        </w:rPr>
        <w:t>Limitations of Landlord’s Liability</w:t>
      </w:r>
      <w:r>
        <w:rPr>
          <w:rFonts w:ascii="Arial" w:cs="Arial" w:eastAsia="Arial" w:hAnsi="Arial"/>
          <w:sz w:val="22"/>
          <w:szCs w:val="22"/>
          <w:color w:val="auto"/>
        </w:rPr>
        <w:t>. The term “Landlord,” as used herein, so far as Landlord’s covenants and agreements hereunder are concerned, shall be limited to mean and include only the owner of the fee title to the Premises. In the event of any breach by Landlord of any of the covenants, agreements, terms, or conditions hereof, Tenant, in addition to any and all other rights, shall be entitled to enjoin such breach and shall have the right to invoke any right and remedy allowed at law or in equity or by statute or otherwise for such breach.</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17. </w:t>
      </w:r>
      <w:r>
        <w:rPr>
          <w:rFonts w:ascii="Arial" w:cs="Arial" w:eastAsia="Arial" w:hAnsi="Arial"/>
          <w:sz w:val="22"/>
          <w:szCs w:val="22"/>
          <w:b w:val="1"/>
          <w:bCs w:val="1"/>
          <w:u w:val="single" w:color="auto"/>
          <w:color w:val="auto"/>
        </w:rPr>
        <w:t>UNENFORCEABLE TERMS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1.42 </w:t>
      </w:r>
      <w:r>
        <w:rPr>
          <w:rFonts w:ascii="Arial" w:cs="Arial" w:eastAsia="Arial" w:hAnsi="Arial"/>
          <w:sz w:val="19"/>
          <w:szCs w:val="19"/>
          <w:b w:val="1"/>
          <w:bCs w:val="1"/>
          <w:u w:val="single" w:color="auto"/>
          <w:color w:val="auto"/>
        </w:rPr>
        <w:t>Provisions Severable</w:t>
      </w:r>
      <w:r>
        <w:rPr>
          <w:rFonts w:ascii="Arial" w:cs="Arial" w:eastAsia="Arial" w:hAnsi="Arial"/>
          <w:sz w:val="19"/>
          <w:szCs w:val="19"/>
          <w:color w:val="auto"/>
        </w:rPr>
        <w:t>. If any term or provision hereof or the application thereof to any person or circumstances shall, to any extent, be invalid or unenforceable, the remainder of this Lease, or the application of such term or provision to persons or circumstances other than those as to which it is held invalid or unenforceable, shall not be affected thereby, and each term and provision hereof shall be valid and be enforced to the fullest extent permitted by law.</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18. </w:t>
      </w:r>
      <w:r>
        <w:rPr>
          <w:rFonts w:ascii="Arial" w:cs="Arial" w:eastAsia="Arial" w:hAnsi="Arial"/>
          <w:sz w:val="22"/>
          <w:szCs w:val="22"/>
          <w:b w:val="1"/>
          <w:bCs w:val="1"/>
          <w:u w:val="single" w:color="auto"/>
          <w:color w:val="auto"/>
        </w:rPr>
        <w:t>NOTICES</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1"/>
          <w:szCs w:val="21"/>
          <w:color w:val="auto"/>
        </w:rPr>
        <w:t xml:space="preserve">1.43 </w:t>
      </w:r>
      <w:r>
        <w:rPr>
          <w:rFonts w:ascii="Arial" w:cs="Arial" w:eastAsia="Arial" w:hAnsi="Arial"/>
          <w:sz w:val="21"/>
          <w:szCs w:val="21"/>
          <w:b w:val="1"/>
          <w:bCs w:val="1"/>
          <w:u w:val="single" w:color="auto"/>
          <w:color w:val="auto"/>
        </w:rPr>
        <w:t>Notices</w:t>
      </w:r>
      <w:r>
        <w:rPr>
          <w:rFonts w:ascii="Arial" w:cs="Arial" w:eastAsia="Arial" w:hAnsi="Arial"/>
          <w:sz w:val="21"/>
          <w:szCs w:val="21"/>
          <w:color w:val="auto"/>
        </w:rPr>
        <w:t>. Except as otherwise required by law, any notice, demand or other communication given hereunder shall be in writing and shall be deemed to have been given, received and become effective: (a) if given by personal delivery, on the date of personal delivery; (b) if delivered by any nationally recognized express or overnight delivery service (e.g., FedEx or UPS), on the next business day if designated for next day delivery; (c) if sent by electronic mail (email), on the date of delivery, provided that notice shall also be delivered within two (2) business days by another method permitted under this Section; or (d) if mailed to the party by certified mail, postage prepaid, return receipt requested, on the date that is three (3) days after deposit in the mail. Notices shall be addressed as follows:</w:t>
      </w:r>
    </w:p>
    <w:p>
      <w:pPr>
        <w:spacing w:after="0" w:line="144"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Landlord:</w:t>
      </w:r>
      <w:r>
        <w:rPr>
          <w:sz w:val="20"/>
          <w:szCs w:val="20"/>
          <w:color w:val="auto"/>
        </w:rPr>
        <w:tab/>
      </w:r>
      <w:r>
        <w:rPr>
          <w:rFonts w:ascii="Arial" w:cs="Arial" w:eastAsia="Arial" w:hAnsi="Arial"/>
          <w:sz w:val="19"/>
          <w:szCs w:val="19"/>
          <w:color w:val="auto"/>
        </w:rPr>
        <w:t>Pinal County</w:t>
      </w:r>
    </w:p>
    <w:p>
      <w:pPr>
        <w:ind w:left="2600"/>
        <w:spacing w:after="0" w:line="204" w:lineRule="auto"/>
        <w:rPr>
          <w:sz w:val="20"/>
          <w:szCs w:val="20"/>
          <w:color w:val="auto"/>
        </w:rPr>
      </w:pPr>
      <w:r>
        <w:rPr>
          <w:rFonts w:ascii="Arial" w:cs="Arial" w:eastAsia="Arial" w:hAnsi="Arial"/>
          <w:sz w:val="22"/>
          <w:szCs w:val="22"/>
          <w:color w:val="auto"/>
        </w:rPr>
        <w:t>135 N. Pinal Street</w:t>
      </w:r>
    </w:p>
    <w:p>
      <w:pPr>
        <w:ind w:left="2600"/>
        <w:spacing w:after="0" w:line="205" w:lineRule="auto"/>
        <w:rPr>
          <w:sz w:val="20"/>
          <w:szCs w:val="20"/>
          <w:color w:val="auto"/>
        </w:rPr>
      </w:pPr>
      <w:r>
        <w:rPr>
          <w:rFonts w:ascii="Arial" w:cs="Arial" w:eastAsia="Arial" w:hAnsi="Arial"/>
          <w:sz w:val="22"/>
          <w:szCs w:val="22"/>
          <w:color w:val="auto"/>
        </w:rPr>
        <w:t>Administrative Complex</w:t>
      </w:r>
    </w:p>
    <w:p>
      <w:pPr>
        <w:ind w:left="2600"/>
        <w:spacing w:after="0" w:line="205" w:lineRule="auto"/>
        <w:rPr>
          <w:sz w:val="20"/>
          <w:szCs w:val="20"/>
          <w:color w:val="auto"/>
        </w:rPr>
      </w:pPr>
      <w:r>
        <w:rPr>
          <w:rFonts w:ascii="Arial" w:cs="Arial" w:eastAsia="Arial" w:hAnsi="Arial"/>
          <w:sz w:val="22"/>
          <w:szCs w:val="22"/>
          <w:color w:val="auto"/>
        </w:rPr>
        <w:t>PO Box 827</w:t>
      </w:r>
    </w:p>
    <w:p>
      <w:pPr>
        <w:ind w:left="2600"/>
        <w:spacing w:after="0" w:line="205" w:lineRule="auto"/>
        <w:rPr>
          <w:sz w:val="20"/>
          <w:szCs w:val="20"/>
          <w:color w:val="auto"/>
        </w:rPr>
      </w:pPr>
      <w:r>
        <w:rPr>
          <w:rFonts w:ascii="Arial" w:cs="Arial" w:eastAsia="Arial" w:hAnsi="Arial"/>
          <w:sz w:val="22"/>
          <w:szCs w:val="22"/>
          <w:color w:val="auto"/>
        </w:rPr>
        <w:t>Florence, Arizona 85132</w:t>
      </w:r>
    </w:p>
    <w:p>
      <w:pPr>
        <w:ind w:left="2600"/>
        <w:spacing w:after="0" w:line="205" w:lineRule="auto"/>
        <w:rPr>
          <w:sz w:val="20"/>
          <w:szCs w:val="20"/>
          <w:color w:val="auto"/>
        </w:rPr>
      </w:pPr>
      <w:r>
        <w:rPr>
          <w:rFonts w:ascii="Arial" w:cs="Arial" w:eastAsia="Arial" w:hAnsi="Arial"/>
          <w:sz w:val="22"/>
          <w:szCs w:val="22"/>
          <w:color w:val="auto"/>
        </w:rPr>
        <w:t>Attention: County Manager</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Email: leo.lew@pinal.gov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01" w:right="339" w:bottom="1440" w:gutter="0" w:footer="0" w:header="0"/>
        </w:sectPr>
      </w:pPr>
    </w:p>
    <w:bookmarkStart w:id="115" w:name="page116"/>
    <w:bookmarkEnd w:id="115"/>
    <w:p>
      <w:pPr>
        <w:ind w:left="660"/>
        <w:spacing w:after="0"/>
        <w:tabs>
          <w:tab w:leader="none" w:pos="2140" w:val="left"/>
        </w:tabs>
        <w:rPr>
          <w:sz w:val="20"/>
          <w:szCs w:val="20"/>
          <w:color w:val="auto"/>
        </w:rPr>
      </w:pPr>
      <w:r>
        <w:rPr>
          <w:rFonts w:ascii="Arial" w:cs="Arial" w:eastAsia="Arial" w:hAnsi="Arial"/>
          <w:sz w:val="22"/>
          <w:szCs w:val="22"/>
          <w:color w:val="auto"/>
        </w:rPr>
        <w:t>with a copy to:</w:t>
      </w:r>
      <w:r>
        <w:rPr>
          <w:sz w:val="20"/>
          <w:szCs w:val="20"/>
          <w:color w:val="auto"/>
        </w:rPr>
        <w:tab/>
      </w:r>
      <w:r>
        <w:rPr>
          <w:rFonts w:ascii="Arial" w:cs="Arial" w:eastAsia="Arial" w:hAnsi="Arial"/>
          <w:sz w:val="19"/>
          <w:szCs w:val="19"/>
          <w:color w:val="auto"/>
        </w:rPr>
        <w:t>Pinal County</w:t>
      </w:r>
    </w:p>
    <w:p>
      <w:pPr>
        <w:ind w:left="2600"/>
        <w:spacing w:after="0" w:line="204" w:lineRule="auto"/>
        <w:rPr>
          <w:sz w:val="20"/>
          <w:szCs w:val="20"/>
          <w:color w:val="auto"/>
        </w:rPr>
      </w:pPr>
      <w:r>
        <w:rPr>
          <w:rFonts w:ascii="Arial" w:cs="Arial" w:eastAsia="Arial" w:hAnsi="Arial"/>
          <w:sz w:val="22"/>
          <w:szCs w:val="22"/>
          <w:color w:val="auto"/>
        </w:rPr>
        <w:t>135 N. Pinal Street</w:t>
      </w:r>
    </w:p>
    <w:p>
      <w:pPr>
        <w:ind w:left="2600"/>
        <w:spacing w:after="0" w:line="205" w:lineRule="auto"/>
        <w:rPr>
          <w:sz w:val="20"/>
          <w:szCs w:val="20"/>
          <w:color w:val="auto"/>
        </w:rPr>
      </w:pPr>
      <w:r>
        <w:rPr>
          <w:rFonts w:ascii="Arial" w:cs="Arial" w:eastAsia="Arial" w:hAnsi="Arial"/>
          <w:sz w:val="22"/>
          <w:szCs w:val="22"/>
          <w:color w:val="auto"/>
        </w:rPr>
        <w:t>Administrative Complex</w:t>
      </w:r>
    </w:p>
    <w:p>
      <w:pPr>
        <w:ind w:left="2600"/>
        <w:spacing w:after="0" w:line="205" w:lineRule="auto"/>
        <w:rPr>
          <w:sz w:val="20"/>
          <w:szCs w:val="20"/>
          <w:color w:val="auto"/>
        </w:rPr>
      </w:pPr>
      <w:r>
        <w:rPr>
          <w:rFonts w:ascii="Arial" w:cs="Arial" w:eastAsia="Arial" w:hAnsi="Arial"/>
          <w:sz w:val="22"/>
          <w:szCs w:val="22"/>
          <w:color w:val="auto"/>
        </w:rPr>
        <w:t>PO Box 827</w:t>
      </w:r>
    </w:p>
    <w:p>
      <w:pPr>
        <w:ind w:left="2600"/>
        <w:spacing w:after="0" w:line="205" w:lineRule="auto"/>
        <w:rPr>
          <w:sz w:val="20"/>
          <w:szCs w:val="20"/>
          <w:color w:val="auto"/>
        </w:rPr>
      </w:pPr>
      <w:r>
        <w:rPr>
          <w:rFonts w:ascii="Arial" w:cs="Arial" w:eastAsia="Arial" w:hAnsi="Arial"/>
          <w:sz w:val="22"/>
          <w:szCs w:val="22"/>
          <w:color w:val="auto"/>
        </w:rPr>
        <w:t>Florence, Arizona 85132</w:t>
      </w:r>
    </w:p>
    <w:p>
      <w:pPr>
        <w:ind w:left="2600"/>
        <w:spacing w:after="0" w:line="205" w:lineRule="auto"/>
        <w:rPr>
          <w:sz w:val="20"/>
          <w:szCs w:val="20"/>
          <w:color w:val="auto"/>
        </w:rPr>
      </w:pPr>
      <w:r>
        <w:rPr>
          <w:rFonts w:ascii="Arial" w:cs="Arial" w:eastAsia="Arial" w:hAnsi="Arial"/>
          <w:sz w:val="22"/>
          <w:szCs w:val="22"/>
          <w:color w:val="auto"/>
        </w:rPr>
        <w:t>Attention: County Attorney</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Email: pinalcountyattorney@pinal.gov</w:t>
      </w:r>
    </w:p>
    <w:p>
      <w:pPr>
        <w:spacing w:after="0" w:line="142"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22"/>
          <w:szCs w:val="22"/>
          <w:color w:val="auto"/>
        </w:rPr>
        <w:t>Tenant:</w:t>
      </w:r>
      <w:r>
        <w:rPr>
          <w:sz w:val="20"/>
          <w:szCs w:val="20"/>
          <w:color w:val="auto"/>
        </w:rPr>
        <w:tab/>
      </w:r>
      <w:r>
        <w:rPr>
          <w:rFonts w:ascii="Arial" w:cs="Arial" w:eastAsia="Arial" w:hAnsi="Arial"/>
          <w:sz w:val="19"/>
          <w:szCs w:val="19"/>
          <w:color w:val="auto"/>
        </w:rPr>
        <w:t>Lucid USA, Inc.</w:t>
      </w:r>
    </w:p>
    <w:p>
      <w:pPr>
        <w:ind w:left="2600"/>
        <w:spacing w:after="0" w:line="204" w:lineRule="auto"/>
        <w:rPr>
          <w:sz w:val="20"/>
          <w:szCs w:val="20"/>
          <w:color w:val="auto"/>
        </w:rPr>
      </w:pPr>
      <w:r>
        <w:rPr>
          <w:rFonts w:ascii="Arial" w:cs="Arial" w:eastAsia="Arial" w:hAnsi="Arial"/>
          <w:sz w:val="22"/>
          <w:szCs w:val="22"/>
          <w:color w:val="auto"/>
        </w:rPr>
        <w:t>317 S. Thornton Road</w:t>
      </w:r>
    </w:p>
    <w:p>
      <w:pPr>
        <w:ind w:left="880"/>
        <w:spacing w:after="0" w:line="205" w:lineRule="auto"/>
        <w:rPr>
          <w:sz w:val="20"/>
          <w:szCs w:val="20"/>
          <w:color w:val="auto"/>
        </w:rPr>
      </w:pPr>
      <w:r>
        <w:rPr>
          <w:rFonts w:ascii="Arial" w:cs="Arial" w:eastAsia="Arial" w:hAnsi="Arial"/>
          <w:sz w:val="22"/>
          <w:szCs w:val="22"/>
          <w:color w:val="auto"/>
        </w:rPr>
        <w:t>Casa Grande, AZ 85193</w:t>
      </w:r>
    </w:p>
    <w:p>
      <w:pPr>
        <w:ind w:left="860"/>
        <w:spacing w:after="0" w:line="205" w:lineRule="auto"/>
        <w:rPr>
          <w:sz w:val="20"/>
          <w:szCs w:val="20"/>
          <w:color w:val="auto"/>
        </w:rPr>
      </w:pPr>
      <w:r>
        <w:rPr>
          <w:rFonts w:ascii="Arial" w:cs="Arial" w:eastAsia="Arial" w:hAnsi="Arial"/>
          <w:sz w:val="22"/>
          <w:szCs w:val="22"/>
          <w:color w:val="auto"/>
        </w:rPr>
        <w:t>Attention: Jeffrey Conner and Ted Klaassen</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Email: jeffreyconner@lucidmotors.com; and TedKlaassen@lucidmotors.com</w:t>
      </w:r>
    </w:p>
    <w:p>
      <w:pPr>
        <w:spacing w:after="0" w:line="142"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with a copy to:</w:t>
      </w:r>
      <w:r>
        <w:rPr>
          <w:sz w:val="20"/>
          <w:szCs w:val="20"/>
          <w:color w:val="auto"/>
        </w:rPr>
        <w:tab/>
      </w:r>
      <w:r>
        <w:rPr>
          <w:rFonts w:ascii="Arial" w:cs="Arial" w:eastAsia="Arial" w:hAnsi="Arial"/>
          <w:sz w:val="21"/>
          <w:szCs w:val="21"/>
          <w:color w:val="auto"/>
        </w:rPr>
        <w:t xml:space="preserve">Snell &amp; Wilmer </w:t>
      </w:r>
      <w:r>
        <w:rPr>
          <w:rFonts w:ascii="Arial" w:cs="Arial" w:eastAsia="Arial" w:hAnsi="Arial"/>
          <w:sz w:val="16"/>
          <w:szCs w:val="16"/>
          <w:color w:val="auto"/>
        </w:rPr>
        <w:t>L</w:t>
      </w:r>
      <w:r>
        <w:rPr>
          <w:rFonts w:ascii="Arial" w:cs="Arial" w:eastAsia="Arial" w:hAnsi="Arial"/>
          <w:sz w:val="21"/>
          <w:szCs w:val="21"/>
          <w:color w:val="auto"/>
        </w:rPr>
        <w:t>.</w:t>
      </w:r>
      <w:r>
        <w:rPr>
          <w:rFonts w:ascii="Arial" w:cs="Arial" w:eastAsia="Arial" w:hAnsi="Arial"/>
          <w:sz w:val="16"/>
          <w:szCs w:val="16"/>
          <w:color w:val="auto"/>
        </w:rPr>
        <w:t>L</w:t>
      </w:r>
      <w:r>
        <w:rPr>
          <w:rFonts w:ascii="Arial" w:cs="Arial" w:eastAsia="Arial" w:hAnsi="Arial"/>
          <w:sz w:val="21"/>
          <w:szCs w:val="21"/>
          <w:color w:val="auto"/>
        </w:rPr>
        <w:t>.</w:t>
      </w:r>
      <w:r>
        <w:rPr>
          <w:rFonts w:ascii="Arial" w:cs="Arial" w:eastAsia="Arial" w:hAnsi="Arial"/>
          <w:sz w:val="16"/>
          <w:szCs w:val="16"/>
          <w:color w:val="auto"/>
        </w:rPr>
        <w:t>P</w:t>
      </w:r>
      <w:r>
        <w:rPr>
          <w:rFonts w:ascii="Arial" w:cs="Arial" w:eastAsia="Arial" w:hAnsi="Arial"/>
          <w:sz w:val="21"/>
          <w:szCs w:val="21"/>
          <w:color w:val="auto"/>
        </w:rPr>
        <w:t>.</w:t>
      </w:r>
    </w:p>
    <w:p>
      <w:pPr>
        <w:ind w:left="2600"/>
        <w:spacing w:after="0" w:line="204" w:lineRule="auto"/>
        <w:rPr>
          <w:sz w:val="20"/>
          <w:szCs w:val="20"/>
          <w:color w:val="auto"/>
        </w:rPr>
      </w:pPr>
      <w:r>
        <w:rPr>
          <w:rFonts w:ascii="Arial" w:cs="Arial" w:eastAsia="Arial" w:hAnsi="Arial"/>
          <w:sz w:val="22"/>
          <w:szCs w:val="22"/>
          <w:color w:val="auto"/>
        </w:rPr>
        <w:t>One Arizona Center</w:t>
      </w:r>
    </w:p>
    <w:p>
      <w:pPr>
        <w:ind w:left="2600"/>
        <w:spacing w:after="0" w:line="205" w:lineRule="auto"/>
        <w:rPr>
          <w:sz w:val="20"/>
          <w:szCs w:val="20"/>
          <w:color w:val="auto"/>
        </w:rPr>
      </w:pPr>
      <w:r>
        <w:rPr>
          <w:rFonts w:ascii="Arial" w:cs="Arial" w:eastAsia="Arial" w:hAnsi="Arial"/>
          <w:sz w:val="22"/>
          <w:szCs w:val="22"/>
          <w:color w:val="auto"/>
        </w:rPr>
        <w:t>400 E. Van Buren</w:t>
      </w:r>
    </w:p>
    <w:p>
      <w:pPr>
        <w:ind w:left="2600"/>
        <w:spacing w:after="0" w:line="205" w:lineRule="auto"/>
        <w:rPr>
          <w:sz w:val="20"/>
          <w:szCs w:val="20"/>
          <w:color w:val="auto"/>
        </w:rPr>
      </w:pPr>
      <w:r>
        <w:rPr>
          <w:rFonts w:ascii="Arial" w:cs="Arial" w:eastAsia="Arial" w:hAnsi="Arial"/>
          <w:sz w:val="22"/>
          <w:szCs w:val="22"/>
          <w:color w:val="auto"/>
        </w:rPr>
        <w:t>Phoenix, AZ 85004-2202</w:t>
      </w:r>
    </w:p>
    <w:p>
      <w:pPr>
        <w:ind w:left="2600"/>
        <w:spacing w:after="0" w:line="205" w:lineRule="auto"/>
        <w:rPr>
          <w:sz w:val="20"/>
          <w:szCs w:val="20"/>
          <w:color w:val="auto"/>
        </w:rPr>
      </w:pPr>
      <w:r>
        <w:rPr>
          <w:rFonts w:ascii="Arial" w:cs="Arial" w:eastAsia="Arial" w:hAnsi="Arial"/>
          <w:sz w:val="22"/>
          <w:szCs w:val="22"/>
          <w:color w:val="auto"/>
        </w:rPr>
        <w:t>Attention: Brett Rufer</w:t>
      </w:r>
    </w:p>
    <w:p>
      <w:pPr>
        <w:ind w:left="2600"/>
        <w:spacing w:after="0" w:line="205" w:lineRule="auto"/>
        <w:rPr>
          <w:sz w:val="20"/>
          <w:szCs w:val="20"/>
          <w:color w:val="auto"/>
        </w:rPr>
      </w:pPr>
      <w:r>
        <w:rPr>
          <w:rFonts w:ascii="Arial" w:cs="Arial" w:eastAsia="Arial" w:hAnsi="Arial"/>
          <w:sz w:val="22"/>
          <w:szCs w:val="22"/>
          <w:color w:val="auto"/>
        </w:rPr>
        <w:t>Fax No.: 602-382-6332</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Email: brufer@swlaw.com</w:t>
      </w:r>
    </w:p>
    <w:p>
      <w:pPr>
        <w:spacing w:after="0" w:line="161"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Each Party may by notice in writing change its address for the purpose of this Lease, which address shall thereafter be used in place of the former address. Notwithstanding the foregoing, no payment shall be deemed to be made until actually received in good and available funds by the intended payee.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19. </w:t>
      </w:r>
      <w:r>
        <w:rPr>
          <w:rFonts w:ascii="Arial" w:cs="Arial" w:eastAsia="Arial" w:hAnsi="Arial"/>
          <w:sz w:val="22"/>
          <w:szCs w:val="22"/>
          <w:b w:val="1"/>
          <w:bCs w:val="1"/>
          <w:u w:val="single" w:color="auto"/>
          <w:color w:val="auto"/>
        </w:rPr>
        <w:t>QUIET ENJOYMENT</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 xml:space="preserve">1.44 </w:t>
      </w:r>
      <w:r>
        <w:rPr>
          <w:rFonts w:ascii="Arial" w:cs="Arial" w:eastAsia="Arial" w:hAnsi="Arial"/>
          <w:sz w:val="22"/>
          <w:szCs w:val="22"/>
          <w:b w:val="1"/>
          <w:bCs w:val="1"/>
          <w:u w:val="single" w:color="auto"/>
          <w:color w:val="auto"/>
        </w:rPr>
        <w:t>Quiet Enjoyment</w:t>
      </w:r>
      <w:r>
        <w:rPr>
          <w:rFonts w:ascii="Arial" w:cs="Arial" w:eastAsia="Arial" w:hAnsi="Arial"/>
          <w:sz w:val="22"/>
          <w:szCs w:val="22"/>
          <w:color w:val="auto"/>
        </w:rPr>
        <w:t>. Subject to all of the conditions, terms, and provisions contained in this Lease, Landlord covenants that Tenant shall quietly have and enjoy the Premises during the Term hereof, without hindrance or molestation by Landlord.</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20. </w:t>
      </w:r>
      <w:r>
        <w:rPr>
          <w:rFonts w:ascii="Arial" w:cs="Arial" w:eastAsia="Arial" w:hAnsi="Arial"/>
          <w:sz w:val="22"/>
          <w:szCs w:val="22"/>
          <w:b w:val="1"/>
          <w:bCs w:val="1"/>
          <w:u w:val="single" w:color="auto"/>
          <w:color w:val="auto"/>
        </w:rPr>
        <w:t>ESTOPPEL</w:t>
      </w:r>
    </w:p>
    <w:p>
      <w:pPr>
        <w:spacing w:after="0" w:line="179"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color w:val="auto"/>
        </w:rPr>
        <w:t xml:space="preserve">1.45 </w:t>
      </w:r>
      <w:r>
        <w:rPr>
          <w:rFonts w:ascii="Arial" w:cs="Arial" w:eastAsia="Arial" w:hAnsi="Arial"/>
          <w:sz w:val="22"/>
          <w:szCs w:val="22"/>
          <w:b w:val="1"/>
          <w:bCs w:val="1"/>
          <w:u w:val="single" w:color="auto"/>
          <w:color w:val="auto"/>
        </w:rPr>
        <w:t>Estoppel Certificates</w:t>
      </w:r>
      <w:r>
        <w:rPr>
          <w:rFonts w:ascii="Arial" w:cs="Arial" w:eastAsia="Arial" w:hAnsi="Arial"/>
          <w:sz w:val="22"/>
          <w:szCs w:val="22"/>
          <w:color w:val="auto"/>
        </w:rPr>
        <w:t>. Landlord or Tenant may request, a certificate evidencing whether or not: (A) the Lease is in full force and effect along with the amount and current status of the Net Rent and Additional Payments due hereunder; (B) the Lease has been modified or amended in any respect or describing such modifications or amendments, if any; and (C) there are any existing defaults thereunder to the knowledge of the Party executing the certificate, and specifying the nature of such defaults, if any. The Party from whom an estoppel certificate is being sought shall respond to the requesting Party within thirty (30) days.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21. </w:t>
      </w:r>
      <w:r>
        <w:rPr>
          <w:rFonts w:ascii="Arial" w:cs="Arial" w:eastAsia="Arial" w:hAnsi="Arial"/>
          <w:sz w:val="22"/>
          <w:szCs w:val="22"/>
          <w:b w:val="1"/>
          <w:bCs w:val="1"/>
          <w:u w:val="single" w:color="auto"/>
          <w:color w:val="auto"/>
        </w:rPr>
        <w:t>CONSENTS</w:t>
      </w:r>
    </w:p>
    <w:p>
      <w:pPr>
        <w:spacing w:after="0" w:line="179"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 xml:space="preserve">1.46 </w:t>
      </w:r>
      <w:r>
        <w:rPr>
          <w:rFonts w:ascii="Arial" w:cs="Arial" w:eastAsia="Arial" w:hAnsi="Arial"/>
          <w:sz w:val="19"/>
          <w:szCs w:val="19"/>
          <w:b w:val="1"/>
          <w:bCs w:val="1"/>
          <w:u w:val="single" w:color="auto"/>
          <w:color w:val="auto"/>
        </w:rPr>
        <w:t>No Unreasonable Withholding</w:t>
      </w:r>
      <w:r>
        <w:rPr>
          <w:rFonts w:ascii="Arial" w:cs="Arial" w:eastAsia="Arial" w:hAnsi="Arial"/>
          <w:sz w:val="19"/>
          <w:szCs w:val="19"/>
          <w:color w:val="auto"/>
        </w:rPr>
        <w:t>. Wherever in this Lease the consent or approval of either Party is required, such consent or approval shall not be unreasonably withheld, conditioned or delayed, except where otherwise specifically provided.</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22. </w:t>
      </w:r>
      <w:r>
        <w:rPr>
          <w:rFonts w:ascii="Arial" w:cs="Arial" w:eastAsia="Arial" w:hAnsi="Arial"/>
          <w:sz w:val="22"/>
          <w:szCs w:val="22"/>
          <w:b w:val="1"/>
          <w:bCs w:val="1"/>
          <w:u w:val="single" w:color="auto"/>
          <w:color w:val="auto"/>
        </w:rPr>
        <w:t>LIMITATION OF LIABILITY</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1.47 </w:t>
      </w:r>
      <w:r>
        <w:rPr>
          <w:rFonts w:ascii="Arial" w:cs="Arial" w:eastAsia="Arial" w:hAnsi="Arial"/>
          <w:sz w:val="22"/>
          <w:szCs w:val="22"/>
          <w:b w:val="1"/>
          <w:bCs w:val="1"/>
          <w:u w:val="single" w:color="auto"/>
          <w:color w:val="auto"/>
        </w:rPr>
        <w:t>Landlord</w:t>
      </w:r>
      <w:r>
        <w:rPr>
          <w:rFonts w:ascii="Arial" w:cs="Arial" w:eastAsia="Arial" w:hAnsi="Arial"/>
          <w:sz w:val="22"/>
          <w:szCs w:val="22"/>
          <w:color w:val="auto"/>
        </w:rPr>
        <w:t>. No Pinal County Supervisor or Landlord official representative, agent, attorney or employee shall be personally liable to Tenant, in the event of any default or breach by</w:t>
      </w:r>
    </w:p>
    <w:p>
      <w:pPr>
        <w:sectPr>
          <w:pgSz w:w="11900" w:h="16838" w:orient="portrait"/>
          <w:cols w:equalWidth="0" w:num="1">
            <w:col w:w="11240"/>
          </w:cols>
          <w:pgMar w:left="320" w:top="1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382" w:right="33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22"/>
          <w:szCs w:val="22"/>
          <w:color w:val="auto"/>
        </w:rPr>
        <w:t>Landlord or for any amount which may become due to Tenant, or with respect to any obligation of Landlord.</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1.48 </w:t>
      </w:r>
      <w:r>
        <w:rPr>
          <w:rFonts w:ascii="Arial" w:cs="Arial" w:eastAsia="Arial" w:hAnsi="Arial"/>
          <w:sz w:val="19"/>
          <w:szCs w:val="19"/>
          <w:b w:val="1"/>
          <w:bCs w:val="1"/>
          <w:u w:val="single" w:color="auto"/>
          <w:color w:val="auto"/>
        </w:rPr>
        <w:t>Tenant</w:t>
      </w:r>
      <w:r>
        <w:rPr>
          <w:rFonts w:ascii="Arial" w:cs="Arial" w:eastAsia="Arial" w:hAnsi="Arial"/>
          <w:sz w:val="19"/>
          <w:szCs w:val="19"/>
          <w:color w:val="auto"/>
        </w:rPr>
        <w:t>. The liability of Tenant under this Lease shall be limited solely to the Tenant’s interest in the Premises and Improvements and shall not extend to or be enforceable against: (i) the individual assets of any of the individuals or entities who are shareholders, members, managers, constituent partners, officers or directors of the general partners, managers or members of Tenant; or (ii) the officers, shareholders, members or managers or constituent partners of Tenant.</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23. </w:t>
      </w:r>
      <w:r>
        <w:rPr>
          <w:rFonts w:ascii="Arial" w:cs="Arial" w:eastAsia="Arial" w:hAnsi="Arial"/>
          <w:sz w:val="22"/>
          <w:szCs w:val="22"/>
          <w:b w:val="1"/>
          <w:bCs w:val="1"/>
          <w:u w:val="single" w:color="auto"/>
          <w:color w:val="auto"/>
        </w:rPr>
        <w:t>MISCELLANEOUS</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1.49 </w:t>
      </w:r>
      <w:r>
        <w:rPr>
          <w:rFonts w:ascii="Arial" w:cs="Arial" w:eastAsia="Arial" w:hAnsi="Arial"/>
          <w:sz w:val="22"/>
          <w:szCs w:val="22"/>
          <w:b w:val="1"/>
          <w:bCs w:val="1"/>
          <w:u w:val="single" w:color="auto"/>
          <w:color w:val="auto"/>
        </w:rPr>
        <w:t>Development Agreement</w:t>
      </w:r>
      <w:r>
        <w:rPr>
          <w:rFonts w:ascii="Arial" w:cs="Arial" w:eastAsia="Arial" w:hAnsi="Arial"/>
          <w:sz w:val="22"/>
          <w:szCs w:val="22"/>
          <w:color w:val="auto"/>
        </w:rPr>
        <w:t>. This Lease is subject to the provisions of, and is made pursuant to, the Development Agreement.</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1.50 </w:t>
      </w:r>
      <w:r>
        <w:rPr>
          <w:rFonts w:ascii="Arial" w:cs="Arial" w:eastAsia="Arial" w:hAnsi="Arial"/>
          <w:sz w:val="22"/>
          <w:szCs w:val="22"/>
          <w:b w:val="1"/>
          <w:bCs w:val="1"/>
          <w:u w:val="single" w:color="auto"/>
          <w:color w:val="auto"/>
        </w:rPr>
        <w:t>Right of Cancellation</w:t>
      </w:r>
      <w:r>
        <w:rPr>
          <w:rFonts w:ascii="Arial" w:cs="Arial" w:eastAsia="Arial" w:hAnsi="Arial"/>
          <w:sz w:val="22"/>
          <w:szCs w:val="22"/>
          <w:color w:val="auto"/>
        </w:rPr>
        <w:t>. All Parties hereto acknowledge that this agreement is subject to cancellation by Landlord pursuant to the provisions of A.R.S. § 38-511.</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9"/>
          <w:szCs w:val="19"/>
          <w:b w:val="1"/>
          <w:bCs w:val="1"/>
          <w:u w:val="single" w:color="auto"/>
          <w:color w:val="auto"/>
        </w:rPr>
        <w:t>Choice of Law</w:t>
      </w:r>
      <w:r>
        <w:rPr>
          <w:rFonts w:ascii="Arial" w:cs="Arial" w:eastAsia="Arial" w:hAnsi="Arial"/>
          <w:sz w:val="19"/>
          <w:szCs w:val="19"/>
          <w:color w:val="auto"/>
        </w:rPr>
        <w:t>. This Lease shall be construed and enforced in accordance with the laws of the State of Arizona.</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 xml:space="preserve">1.52 </w:t>
      </w:r>
      <w:r>
        <w:rPr>
          <w:rFonts w:ascii="Arial" w:cs="Arial" w:eastAsia="Arial" w:hAnsi="Arial"/>
          <w:sz w:val="22"/>
          <w:szCs w:val="22"/>
          <w:b w:val="1"/>
          <w:bCs w:val="1"/>
          <w:u w:val="single" w:color="auto"/>
          <w:color w:val="auto"/>
        </w:rPr>
        <w:t>Memorandum</w:t>
      </w:r>
      <w:r>
        <w:rPr>
          <w:rFonts w:ascii="Arial" w:cs="Arial" w:eastAsia="Arial" w:hAnsi="Arial"/>
          <w:sz w:val="22"/>
          <w:szCs w:val="22"/>
          <w:color w:val="auto"/>
        </w:rPr>
        <w:t xml:space="preserve">. Tenant agrees to execute the form of memorandum of this Lease in substantially the form attached hereto as </w:t>
      </w:r>
      <w:r>
        <w:rPr>
          <w:rFonts w:ascii="Arial" w:cs="Arial" w:eastAsia="Arial" w:hAnsi="Arial"/>
          <w:sz w:val="22"/>
          <w:szCs w:val="22"/>
          <w:b w:val="1"/>
          <w:bCs w:val="1"/>
          <w:color w:val="auto"/>
        </w:rPr>
        <w:t>Exhibit G</w:t>
      </w:r>
      <w:r>
        <w:rPr>
          <w:rFonts w:ascii="Arial" w:cs="Arial" w:eastAsia="Arial" w:hAnsi="Arial"/>
          <w:sz w:val="22"/>
          <w:szCs w:val="22"/>
          <w:color w:val="auto"/>
        </w:rPr>
        <w:t>, and Landlord agrees to record the memorandum in the Office of the County Recorder, Pinal County, Arizona.</w:t>
      </w:r>
    </w:p>
    <w:p>
      <w:pPr>
        <w:spacing w:after="0" w:line="153"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color w:val="auto"/>
        </w:rPr>
        <w:t xml:space="preserve">1.53 </w:t>
      </w:r>
      <w:r>
        <w:rPr>
          <w:rFonts w:ascii="Arial" w:cs="Arial" w:eastAsia="Arial" w:hAnsi="Arial"/>
          <w:sz w:val="22"/>
          <w:szCs w:val="22"/>
          <w:b w:val="1"/>
          <w:bCs w:val="1"/>
          <w:u w:val="single" w:color="auto"/>
          <w:color w:val="auto"/>
        </w:rPr>
        <w:t>Entire Agreement</w:t>
      </w:r>
      <w:r>
        <w:rPr>
          <w:rFonts w:ascii="Arial" w:cs="Arial" w:eastAsia="Arial" w:hAnsi="Arial"/>
          <w:sz w:val="22"/>
          <w:szCs w:val="22"/>
          <w:color w:val="auto"/>
        </w:rPr>
        <w:t>. This Lease, its exhibits and the Development Agreement contain the entire agreement between Landlord and Tenant concerning the rental of and development of the Premises, and any executory agreement hereafter made between Landlord and Tenant shall be ineffective to change, modify, waive, release, discharge, terminate, or effect an abandonment of this Lease, in whole or in part, unless such executory agreement is in writing and signed by the Party against whom enforcement of the change, modification, waiver, release, discharge, termination, or the effect of the abandonment is sought.</w:t>
      </w:r>
    </w:p>
    <w:p>
      <w:pPr>
        <w:spacing w:after="0" w:line="15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 xml:space="preserve">1.54 </w:t>
      </w:r>
      <w:r>
        <w:rPr>
          <w:rFonts w:ascii="Arial" w:cs="Arial" w:eastAsia="Arial" w:hAnsi="Arial"/>
          <w:sz w:val="22"/>
          <w:szCs w:val="22"/>
          <w:b w:val="1"/>
          <w:bCs w:val="1"/>
          <w:u w:val="single" w:color="auto"/>
          <w:color w:val="auto"/>
        </w:rPr>
        <w:t>Captions</w:t>
      </w:r>
      <w:r>
        <w:rPr>
          <w:rFonts w:ascii="Arial" w:cs="Arial" w:eastAsia="Arial" w:hAnsi="Arial"/>
          <w:sz w:val="22"/>
          <w:szCs w:val="22"/>
          <w:color w:val="auto"/>
        </w:rPr>
        <w:t>. The captions of Sections in this Lease are inserted only as a convenience and for reference and they in no way define, limit, or describe the scope of this Lease or the intent of any provision thereof. References to Section numbers are to those in this Lease unless otherwise noted.</w:t>
      </w:r>
    </w:p>
    <w:p>
      <w:pPr>
        <w:spacing w:after="0" w:line="15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 xml:space="preserve">1.55 </w:t>
      </w:r>
      <w:r>
        <w:rPr>
          <w:rFonts w:ascii="Arial" w:cs="Arial" w:eastAsia="Arial" w:hAnsi="Arial"/>
          <w:sz w:val="22"/>
          <w:szCs w:val="22"/>
          <w:b w:val="1"/>
          <w:bCs w:val="1"/>
          <w:u w:val="single" w:color="auto"/>
          <w:color w:val="auto"/>
        </w:rPr>
        <w:t>Singular and Plural, Gender</w:t>
      </w:r>
      <w:r>
        <w:rPr>
          <w:rFonts w:ascii="Arial" w:cs="Arial" w:eastAsia="Arial" w:hAnsi="Arial"/>
          <w:sz w:val="22"/>
          <w:szCs w:val="22"/>
          <w:color w:val="auto"/>
        </w:rPr>
        <w:t>. If two or more persons, firms, corporations, or other entities constitute either the Landlord or the Tenant, the word “Landlord” or the word “Tenant” shall be construed as if it reads “Landlords” or “Tenants” and the pronouns “it,” “he,” and “him” appearing herein shall be construed to be the singular or plural, masculine, feminine, or neuter gender as the context in which it is used shall require.</w:t>
      </w:r>
    </w:p>
    <w:p>
      <w:pPr>
        <w:spacing w:after="0" w:line="13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1.56</w:t>
      </w:r>
      <w:r>
        <w:rPr>
          <w:sz w:val="20"/>
          <w:szCs w:val="20"/>
          <w:color w:val="auto"/>
        </w:rPr>
        <w:tab/>
      </w:r>
      <w:r>
        <w:rPr>
          <w:rFonts w:ascii="Arial" w:cs="Arial" w:eastAsia="Arial" w:hAnsi="Arial"/>
          <w:sz w:val="19"/>
          <w:szCs w:val="19"/>
          <w:b w:val="1"/>
          <w:bCs w:val="1"/>
          <w:u w:val="single" w:color="auto"/>
          <w:color w:val="auto"/>
        </w:rPr>
        <w:t>Exhibits and Incorporation</w:t>
      </w:r>
      <w:r>
        <w:rPr>
          <w:rFonts w:ascii="Arial" w:cs="Arial" w:eastAsia="Arial" w:hAnsi="Arial"/>
          <w:sz w:val="19"/>
          <w:szCs w:val="19"/>
          <w:color w:val="auto"/>
        </w:rPr>
        <w:t>. The following exhibits, which are attached hereto or are in the possession of the</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Landlord and Tenant, are incorporated herein by reference as though fully set forth:</w:t>
      </w:r>
    </w:p>
    <w:p>
      <w:pPr>
        <w:spacing w:after="0" w:line="142"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Legal Description</w:t>
      </w:r>
    </w:p>
    <w:p>
      <w:pPr>
        <w:ind w:left="1300"/>
        <w:spacing w:after="0" w:line="237" w:lineRule="auto"/>
        <w:tabs>
          <w:tab w:leader="none" w:pos="252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Intentionally Omitted</w:t>
      </w:r>
    </w:p>
    <w:p>
      <w:pPr>
        <w:ind w:left="1300"/>
        <w:spacing w:after="0" w:line="237" w:lineRule="auto"/>
        <w:tabs>
          <w:tab w:leader="none" w:pos="2520" w:val="left"/>
        </w:tabs>
        <w:rPr>
          <w:sz w:val="20"/>
          <w:szCs w:val="20"/>
          <w:color w:val="auto"/>
        </w:rPr>
      </w:pPr>
      <w:r>
        <w:rPr>
          <w:rFonts w:ascii="Arial" w:cs="Arial" w:eastAsia="Arial" w:hAnsi="Arial"/>
          <w:sz w:val="22"/>
          <w:szCs w:val="22"/>
          <w:color w:val="auto"/>
        </w:rPr>
        <w:t>Exhibit “C”</w:t>
      </w:r>
      <w:r>
        <w:rPr>
          <w:sz w:val="20"/>
          <w:szCs w:val="20"/>
          <w:color w:val="auto"/>
        </w:rPr>
        <w:tab/>
      </w:r>
      <w:r>
        <w:rPr>
          <w:rFonts w:ascii="Arial" w:cs="Arial" w:eastAsia="Arial" w:hAnsi="Arial"/>
          <w:sz w:val="19"/>
          <w:szCs w:val="19"/>
          <w:color w:val="auto"/>
        </w:rPr>
        <w:t>Permitted Encumbrances</w:t>
      </w:r>
    </w:p>
    <w:p>
      <w:pPr>
        <w:ind w:left="1300"/>
        <w:spacing w:after="0" w:line="237" w:lineRule="auto"/>
        <w:tabs>
          <w:tab w:leader="none" w:pos="2540" w:val="left"/>
        </w:tabs>
        <w:rPr>
          <w:sz w:val="20"/>
          <w:szCs w:val="20"/>
          <w:color w:val="auto"/>
        </w:rPr>
      </w:pPr>
      <w:r>
        <w:rPr>
          <w:rFonts w:ascii="Arial" w:cs="Arial" w:eastAsia="Arial" w:hAnsi="Arial"/>
          <w:sz w:val="22"/>
          <w:szCs w:val="22"/>
          <w:color w:val="auto"/>
        </w:rPr>
        <w:t>Exhibit “D”</w:t>
      </w:r>
      <w:r>
        <w:rPr>
          <w:sz w:val="20"/>
          <w:szCs w:val="20"/>
          <w:color w:val="auto"/>
        </w:rPr>
        <w:tab/>
      </w:r>
      <w:r>
        <w:rPr>
          <w:rFonts w:ascii="Arial" w:cs="Arial" w:eastAsia="Arial" w:hAnsi="Arial"/>
          <w:sz w:val="19"/>
          <w:szCs w:val="19"/>
          <w:color w:val="auto"/>
        </w:rPr>
        <w:t>Intentionally Omitted</w:t>
      </w:r>
    </w:p>
    <w:p>
      <w:pPr>
        <w:ind w:left="1300"/>
        <w:spacing w:after="0"/>
        <w:tabs>
          <w:tab w:leader="none" w:pos="2520" w:val="left"/>
        </w:tabs>
        <w:rPr>
          <w:sz w:val="20"/>
          <w:szCs w:val="20"/>
          <w:color w:val="auto"/>
        </w:rPr>
      </w:pPr>
      <w:r>
        <w:rPr>
          <w:rFonts w:ascii="Arial" w:cs="Arial" w:eastAsia="Arial" w:hAnsi="Arial"/>
          <w:sz w:val="22"/>
          <w:szCs w:val="22"/>
          <w:color w:val="auto"/>
        </w:rPr>
        <w:t>Exhibit “E”</w:t>
      </w:r>
      <w:r>
        <w:rPr>
          <w:sz w:val="20"/>
          <w:szCs w:val="20"/>
          <w:color w:val="auto"/>
        </w:rPr>
        <w:tab/>
      </w:r>
      <w:r>
        <w:rPr>
          <w:rFonts w:ascii="Arial" w:cs="Arial" w:eastAsia="Arial" w:hAnsi="Arial"/>
          <w:sz w:val="19"/>
          <w:szCs w:val="19"/>
          <w:color w:val="auto"/>
        </w:rPr>
        <w:t>Escrow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01" w:right="339" w:bottom="1440" w:gutter="0" w:footer="0" w:header="0"/>
        </w:sectPr>
      </w:pPr>
    </w:p>
    <w:bookmarkStart w:id="117" w:name="page118"/>
    <w:bookmarkEnd w:id="117"/>
    <w:p>
      <w:pPr>
        <w:ind w:left="1300"/>
        <w:spacing w:after="0"/>
        <w:tabs>
          <w:tab w:leader="none" w:pos="2500" w:val="left"/>
        </w:tabs>
        <w:rPr>
          <w:sz w:val="20"/>
          <w:szCs w:val="20"/>
          <w:color w:val="auto"/>
        </w:rPr>
      </w:pPr>
      <w:r>
        <w:rPr>
          <w:rFonts w:ascii="Arial" w:cs="Arial" w:eastAsia="Arial" w:hAnsi="Arial"/>
          <w:sz w:val="22"/>
          <w:szCs w:val="22"/>
          <w:color w:val="auto"/>
        </w:rPr>
        <w:t>Exhibit “F”</w:t>
      </w:r>
      <w:r>
        <w:rPr>
          <w:sz w:val="20"/>
          <w:szCs w:val="20"/>
          <w:color w:val="auto"/>
        </w:rPr>
        <w:tab/>
      </w:r>
      <w:r>
        <w:rPr>
          <w:rFonts w:ascii="Arial" w:cs="Arial" w:eastAsia="Arial" w:hAnsi="Arial"/>
          <w:sz w:val="19"/>
          <w:szCs w:val="19"/>
          <w:color w:val="auto"/>
        </w:rPr>
        <w:t>Intentionally Omitted</w:t>
      </w:r>
    </w:p>
    <w:p>
      <w:pPr>
        <w:ind w:left="1300"/>
        <w:spacing w:after="0" w:line="237" w:lineRule="auto"/>
        <w:tabs>
          <w:tab w:leader="none" w:pos="2540" w:val="left"/>
        </w:tabs>
        <w:rPr>
          <w:sz w:val="20"/>
          <w:szCs w:val="20"/>
          <w:color w:val="auto"/>
        </w:rPr>
      </w:pPr>
      <w:r>
        <w:rPr>
          <w:rFonts w:ascii="Arial" w:cs="Arial" w:eastAsia="Arial" w:hAnsi="Arial"/>
          <w:sz w:val="22"/>
          <w:szCs w:val="22"/>
          <w:color w:val="auto"/>
        </w:rPr>
        <w:t>Exhibit “G”</w:t>
      </w:r>
      <w:r>
        <w:rPr>
          <w:sz w:val="20"/>
          <w:szCs w:val="20"/>
          <w:color w:val="auto"/>
        </w:rPr>
        <w:tab/>
      </w:r>
      <w:r>
        <w:rPr>
          <w:rFonts w:ascii="Arial" w:cs="Arial" w:eastAsia="Arial" w:hAnsi="Arial"/>
          <w:sz w:val="19"/>
          <w:szCs w:val="19"/>
          <w:color w:val="auto"/>
        </w:rPr>
        <w:t>Memorandum of Lease</w:t>
      </w:r>
    </w:p>
    <w:p>
      <w:pPr>
        <w:ind w:left="1300"/>
        <w:spacing w:after="0"/>
        <w:tabs>
          <w:tab w:leader="none" w:pos="2540" w:val="left"/>
        </w:tabs>
        <w:rPr>
          <w:sz w:val="20"/>
          <w:szCs w:val="20"/>
          <w:color w:val="auto"/>
        </w:rPr>
      </w:pPr>
      <w:r>
        <w:rPr>
          <w:rFonts w:ascii="Arial" w:cs="Arial" w:eastAsia="Arial" w:hAnsi="Arial"/>
          <w:sz w:val="22"/>
          <w:szCs w:val="22"/>
          <w:color w:val="auto"/>
        </w:rPr>
        <w:t>Exhibit “H”</w:t>
      </w:r>
      <w:r>
        <w:rPr>
          <w:sz w:val="20"/>
          <w:szCs w:val="20"/>
          <w:color w:val="auto"/>
        </w:rPr>
        <w:tab/>
      </w:r>
      <w:r>
        <w:rPr>
          <w:rFonts w:ascii="Arial" w:cs="Arial" w:eastAsia="Arial" w:hAnsi="Arial"/>
          <w:sz w:val="19"/>
          <w:szCs w:val="19"/>
          <w:color w:val="auto"/>
        </w:rPr>
        <w:t>Special Warranty Deed</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1.57</w:t>
      </w:r>
      <w:r>
        <w:rPr>
          <w:sz w:val="20"/>
          <w:szCs w:val="20"/>
          <w:color w:val="auto"/>
        </w:rPr>
        <w:tab/>
      </w:r>
      <w:r>
        <w:rPr>
          <w:rFonts w:ascii="Arial" w:cs="Arial" w:eastAsia="Arial" w:hAnsi="Arial"/>
          <w:sz w:val="19"/>
          <w:szCs w:val="19"/>
          <w:b w:val="1"/>
          <w:bCs w:val="1"/>
          <w:u w:val="single" w:color="auto"/>
          <w:color w:val="auto"/>
        </w:rPr>
        <w:t>Time of Essence</w:t>
      </w:r>
      <w:r>
        <w:rPr>
          <w:rFonts w:ascii="Arial" w:cs="Arial" w:eastAsia="Arial" w:hAnsi="Arial"/>
          <w:sz w:val="19"/>
          <w:szCs w:val="19"/>
          <w:color w:val="auto"/>
        </w:rPr>
        <w:t>. Time is of the essence in the performance of each and every provision of this Lease.</w:t>
      </w:r>
    </w:p>
    <w:p>
      <w:pPr>
        <w:spacing w:after="0" w:line="17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1.58 </w:t>
      </w:r>
      <w:r>
        <w:rPr>
          <w:rFonts w:ascii="Arial" w:cs="Arial" w:eastAsia="Arial" w:hAnsi="Arial"/>
          <w:sz w:val="19"/>
          <w:szCs w:val="19"/>
          <w:b w:val="1"/>
          <w:bCs w:val="1"/>
          <w:u w:val="single" w:color="auto"/>
          <w:color w:val="auto"/>
        </w:rPr>
        <w:t>Unavoidable Delay; Extension of Time of Performance</w:t>
      </w:r>
      <w:r>
        <w:rPr>
          <w:rFonts w:ascii="Arial" w:cs="Arial" w:eastAsia="Arial" w:hAnsi="Arial"/>
          <w:sz w:val="19"/>
          <w:szCs w:val="19"/>
          <w:color w:val="auto"/>
        </w:rPr>
        <w:t xml:space="preserve">. In addition to specific provisions of this Lease, performance by any Party hereunder shall not be deemed to be in default where delays or defaults are due to any Force Majeure Event. Performance by Tenant shall not be deemed in default where delays are defaults are due to delays in granting of governmental approvals contemplated by the Development Agreement or this Lease. An extension of time for any such cause shall be one day for each day during the continuance of any Force Majeure Event. Each of Landlord and Tenant shall inform the other of the occurrence of a Force Majeure Event where an extension of time is claimed. In addition to automatic extensions for Force Majeure Events, Landlord may extend time for performance for up to a total of sixty (60) days upon good faith showing by Tenant of the need for such extension. </w:t>
      </w:r>
      <w:r>
        <w:rPr>
          <w:rFonts w:ascii="Arial" w:cs="Arial" w:eastAsia="Arial" w:hAnsi="Arial"/>
          <w:sz w:val="19"/>
          <w:szCs w:val="19"/>
          <w:b w:val="1"/>
          <w:bCs w:val="1"/>
          <w:color w:val="auto"/>
        </w:rPr>
        <w:t>“Force Majeure Event”</w:t>
      </w:r>
      <w:r>
        <w:rPr>
          <w:rFonts w:ascii="Arial" w:cs="Arial" w:eastAsia="Arial" w:hAnsi="Arial"/>
          <w:sz w:val="19"/>
          <w:szCs w:val="19"/>
          <w:color w:val="auto"/>
        </w:rPr>
        <w:t xml:space="preserve"> means any event which prohibits or materially interferes with, delays or alters the performance of the applicable duty under this Lease, including, but not limited to the following: strikes or lockouts; unanticipated shortages of material or labor (excluding those caused by lack of funds); acts of the public enemy; confiscation or seizure by any government or public authority; injunction, restraining order or other court order or decree, initiative or referendum action; wars or war-like action (whether actual and pending or expected, and whether de jure or de facto); blockades; insurrections; riots; civil disturbances; pandemic; and acts of God; but excluding delays caused by lack of funds. The provisions of this Section shall not apply to nor operate to excuse Tenant from the payment of Net Rent or any other payments to be made in accordance with the terms of this Lease.</w:t>
      </w:r>
    </w:p>
    <w:p>
      <w:pPr>
        <w:spacing w:after="0" w:line="37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1.59 </w:t>
      </w:r>
      <w:r>
        <w:rPr>
          <w:rFonts w:ascii="Arial" w:cs="Arial" w:eastAsia="Arial" w:hAnsi="Arial"/>
          <w:sz w:val="22"/>
          <w:szCs w:val="22"/>
          <w:b w:val="1"/>
          <w:bCs w:val="1"/>
          <w:u w:val="single" w:color="auto"/>
          <w:color w:val="auto"/>
        </w:rPr>
        <w:t>No Boycott of Israel</w:t>
      </w:r>
      <w:r>
        <w:rPr>
          <w:rFonts w:ascii="Arial" w:cs="Arial" w:eastAsia="Arial" w:hAnsi="Arial"/>
          <w:sz w:val="22"/>
          <w:szCs w:val="22"/>
          <w:color w:val="auto"/>
        </w:rPr>
        <w:t>. As required by A.R.S. § 35-393.01, Tenant is not engaged in a boycott of Israel as of the Effective Date, and will not engage in a boycott of Israel during the Term.</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24. </w:t>
      </w:r>
      <w:r>
        <w:rPr>
          <w:rFonts w:ascii="Arial" w:cs="Arial" w:eastAsia="Arial" w:hAnsi="Arial"/>
          <w:sz w:val="22"/>
          <w:szCs w:val="22"/>
          <w:b w:val="1"/>
          <w:bCs w:val="1"/>
          <w:u w:val="single" w:color="auto"/>
          <w:color w:val="auto"/>
        </w:rPr>
        <w:t>OPTION TO PURCHASE</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1.60 </w:t>
      </w:r>
      <w:r>
        <w:rPr>
          <w:rFonts w:ascii="Arial" w:cs="Arial" w:eastAsia="Arial" w:hAnsi="Arial"/>
          <w:sz w:val="22"/>
          <w:szCs w:val="22"/>
          <w:b w:val="1"/>
          <w:bCs w:val="1"/>
          <w:u w:val="single" w:color="auto"/>
          <w:color w:val="auto"/>
        </w:rPr>
        <w:t>Option to Purchase</w:t>
      </w:r>
      <w:r>
        <w:rPr>
          <w:rFonts w:ascii="Arial" w:cs="Arial" w:eastAsia="Arial" w:hAnsi="Arial"/>
          <w:sz w:val="22"/>
          <w:szCs w:val="22"/>
          <w:color w:val="auto"/>
        </w:rPr>
        <w:t>. Landlord hereby grants to Tenant the exclusive option to purchase the Premises (“</w:t>
      </w:r>
      <w:r>
        <w:rPr>
          <w:rFonts w:ascii="Arial" w:cs="Arial" w:eastAsia="Arial" w:hAnsi="Arial"/>
          <w:sz w:val="22"/>
          <w:szCs w:val="22"/>
          <w:b w:val="1"/>
          <w:bCs w:val="1"/>
          <w:color w:val="auto"/>
        </w:rPr>
        <w:t>Purchase</w:t>
      </w:r>
      <w:r>
        <w:rPr>
          <w:rFonts w:ascii="Arial" w:cs="Arial" w:eastAsia="Arial" w:hAnsi="Arial"/>
          <w:sz w:val="22"/>
          <w:szCs w:val="22"/>
          <w:color w:val="auto"/>
        </w:rPr>
        <w:t xml:space="preserve"> </w:t>
      </w:r>
      <w:r>
        <w:rPr>
          <w:rFonts w:ascii="Arial" w:cs="Arial" w:eastAsia="Arial" w:hAnsi="Arial"/>
          <w:sz w:val="22"/>
          <w:szCs w:val="22"/>
          <w:b w:val="1"/>
          <w:bCs w:val="1"/>
          <w:color w:val="auto"/>
        </w:rPr>
        <w:t>Option</w:t>
      </w:r>
      <w:r>
        <w:rPr>
          <w:rFonts w:ascii="Arial" w:cs="Arial" w:eastAsia="Arial" w:hAnsi="Arial"/>
          <w:sz w:val="22"/>
          <w:szCs w:val="22"/>
          <w:color w:val="auto"/>
        </w:rPr>
        <w:t>”), according to the terms and conditions hereinafter set forth.</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0"/>
          <w:szCs w:val="20"/>
          <w:color w:val="auto"/>
        </w:rPr>
        <w:t xml:space="preserve">1.61 </w:t>
      </w:r>
      <w:r>
        <w:rPr>
          <w:rFonts w:ascii="Arial" w:cs="Arial" w:eastAsia="Arial" w:hAnsi="Arial"/>
          <w:sz w:val="20"/>
          <w:szCs w:val="20"/>
          <w:b w:val="1"/>
          <w:bCs w:val="1"/>
          <w:u w:val="single" w:color="auto"/>
          <w:color w:val="auto"/>
        </w:rPr>
        <w:t>Option Period</w:t>
      </w:r>
      <w:r>
        <w:rPr>
          <w:rFonts w:ascii="Arial" w:cs="Arial" w:eastAsia="Arial" w:hAnsi="Arial"/>
          <w:sz w:val="20"/>
          <w:szCs w:val="20"/>
          <w:color w:val="auto"/>
        </w:rPr>
        <w:t>. The Purchase Option granted herein shall become effective as of the Commencement Date, and Tenant shall have the right to exercise the Purchase Option hereunder by delivering written notice of exercise (the “</w:t>
      </w:r>
      <w:r>
        <w:rPr>
          <w:rFonts w:ascii="Arial" w:cs="Arial" w:eastAsia="Arial" w:hAnsi="Arial"/>
          <w:sz w:val="20"/>
          <w:szCs w:val="20"/>
          <w:b w:val="1"/>
          <w:bCs w:val="1"/>
          <w:color w:val="auto"/>
        </w:rPr>
        <w:t>Option</w:t>
      </w:r>
      <w:r>
        <w:rPr>
          <w:rFonts w:ascii="Arial" w:cs="Arial" w:eastAsia="Arial" w:hAnsi="Arial"/>
          <w:sz w:val="20"/>
          <w:szCs w:val="20"/>
          <w:color w:val="auto"/>
        </w:rPr>
        <w:t xml:space="preserve"> </w:t>
      </w:r>
      <w:r>
        <w:rPr>
          <w:rFonts w:ascii="Arial" w:cs="Arial" w:eastAsia="Arial" w:hAnsi="Arial"/>
          <w:sz w:val="20"/>
          <w:szCs w:val="20"/>
          <w:b w:val="1"/>
          <w:bCs w:val="1"/>
          <w:color w:val="auto"/>
        </w:rPr>
        <w:t>Notice</w:t>
      </w:r>
      <w:r>
        <w:rPr>
          <w:rFonts w:ascii="Arial" w:cs="Arial" w:eastAsia="Arial" w:hAnsi="Arial"/>
          <w:sz w:val="20"/>
          <w:szCs w:val="20"/>
          <w:color w:val="auto"/>
        </w:rPr>
        <w:t>”) to Landlord at any time prior to the expiration of the Term of the Lease (“</w:t>
      </w:r>
      <w:r>
        <w:rPr>
          <w:rFonts w:ascii="Arial" w:cs="Arial" w:eastAsia="Arial" w:hAnsi="Arial"/>
          <w:sz w:val="20"/>
          <w:szCs w:val="20"/>
          <w:b w:val="1"/>
          <w:bCs w:val="1"/>
          <w:color w:val="auto"/>
        </w:rPr>
        <w:t>Option Period</w:t>
      </w:r>
      <w:r>
        <w:rPr>
          <w:rFonts w:ascii="Arial" w:cs="Arial" w:eastAsia="Arial" w:hAnsi="Arial"/>
          <w:sz w:val="20"/>
          <w:szCs w:val="20"/>
          <w:color w:val="auto"/>
        </w:rPr>
        <w:t>”). If Tenant has not delivered</w:t>
      </w:r>
      <w:r>
        <w:rPr>
          <w:rFonts w:ascii="Arial" w:cs="Arial" w:eastAsia="Arial" w:hAnsi="Arial"/>
          <w:sz w:val="20"/>
          <w:szCs w:val="20"/>
          <w:b w:val="1"/>
          <w:bCs w:val="1"/>
          <w:color w:val="auto"/>
        </w:rPr>
        <w:t xml:space="preserve"> </w:t>
      </w:r>
      <w:r>
        <w:rPr>
          <w:rFonts w:ascii="Arial" w:cs="Arial" w:eastAsia="Arial" w:hAnsi="Arial"/>
          <w:sz w:val="20"/>
          <w:szCs w:val="20"/>
          <w:color w:val="auto"/>
        </w:rPr>
        <w:t>the Option Notice on or before the one hundred eightieth (180</w:t>
      </w:r>
      <w:r>
        <w:rPr>
          <w:rFonts w:ascii="Arial" w:cs="Arial" w:eastAsia="Arial" w:hAnsi="Arial"/>
          <w:sz w:val="13"/>
          <w:szCs w:val="13"/>
          <w:color w:val="auto"/>
        </w:rPr>
        <w:t>th</w:t>
      </w:r>
      <w:r>
        <w:rPr>
          <w:rFonts w:ascii="Arial" w:cs="Arial" w:eastAsia="Arial" w:hAnsi="Arial"/>
          <w:sz w:val="20"/>
          <w:szCs w:val="20"/>
          <w:color w:val="auto"/>
        </w:rPr>
        <w:t>) day prior to the expiration of the Term of the Lease, Landlord shall deliver notice to Tenant stating that Landlord has not received the Option Notice. Tenant’s Option Notice shall set forth a date for conveyance of the Premises pursuant to the Option (the “</w:t>
      </w:r>
      <w:r>
        <w:rPr>
          <w:rFonts w:ascii="Arial" w:cs="Arial" w:eastAsia="Arial" w:hAnsi="Arial"/>
          <w:sz w:val="20"/>
          <w:szCs w:val="20"/>
          <w:b w:val="1"/>
          <w:bCs w:val="1"/>
          <w:color w:val="auto"/>
        </w:rPr>
        <w:t>Closing</w:t>
      </w:r>
      <w:r>
        <w:rPr>
          <w:rFonts w:ascii="Arial" w:cs="Arial" w:eastAsia="Arial" w:hAnsi="Arial"/>
          <w:sz w:val="20"/>
          <w:szCs w:val="20"/>
          <w:color w:val="auto"/>
        </w:rPr>
        <w:t>”), which date shall be no later than the last day of the Term and coincide with a contemplated defeasance date for the Bonds.</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18"/>
          <w:szCs w:val="18"/>
          <w:b w:val="1"/>
          <w:bCs w:val="1"/>
          <w:u w:val="single" w:color="auto"/>
          <w:color w:val="auto"/>
        </w:rPr>
        <w:t>Conveyance of Premises</w:t>
      </w:r>
      <w:r>
        <w:rPr>
          <w:rFonts w:ascii="Arial" w:cs="Arial" w:eastAsia="Arial" w:hAnsi="Arial"/>
          <w:sz w:val="18"/>
          <w:szCs w:val="18"/>
          <w:color w:val="auto"/>
        </w:rPr>
        <w:t>.</w:t>
      </w:r>
    </w:p>
    <w:p>
      <w:pPr>
        <w:spacing w:after="0" w:line="185" w:lineRule="exact"/>
        <w:rPr>
          <w:sz w:val="20"/>
          <w:szCs w:val="20"/>
          <w:color w:val="auto"/>
        </w:rPr>
      </w:pPr>
    </w:p>
    <w:p>
      <w:pPr>
        <w:ind w:left="1940" w:hanging="636"/>
        <w:spacing w:after="0"/>
        <w:tabs>
          <w:tab w:leader="none" w:pos="194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Purchase Price</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660" w:right="20" w:firstLine="1292"/>
        <w:spacing w:after="0" w:line="232" w:lineRule="auto"/>
        <w:tabs>
          <w:tab w:leader="none" w:pos="2592" w:val="left"/>
        </w:tabs>
        <w:numPr>
          <w:ilvl w:val="1"/>
          <w:numId w:val="66"/>
        </w:numPr>
        <w:rPr>
          <w:rFonts w:ascii="Arial" w:cs="Arial" w:eastAsia="Arial" w:hAnsi="Arial"/>
          <w:sz w:val="22"/>
          <w:szCs w:val="22"/>
          <w:color w:val="auto"/>
        </w:rPr>
      </w:pPr>
      <w:r>
        <w:rPr>
          <w:rFonts w:ascii="Arial" w:cs="Arial" w:eastAsia="Arial" w:hAnsi="Arial"/>
          <w:sz w:val="22"/>
          <w:szCs w:val="22"/>
          <w:color w:val="auto"/>
        </w:rPr>
        <w:t>Landlord and Tenant acknowledge that (i) a portion of the proceeds from the issuance of Landlord’s Pledged Revenue Obligations, Series 2022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382" w:right="339" w:bottom="1440" w:gutter="0" w:footer="0" w:header="0"/>
        </w:sectPr>
      </w:pPr>
    </w:p>
    <w:bookmarkStart w:id="118" w:name="page119"/>
    <w:bookmarkEnd w:id="118"/>
    <w:p>
      <w:pPr>
        <w:jc w:val="both"/>
        <w:ind w:left="660"/>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Bonds</w:t>
      </w:r>
      <w:r>
        <w:rPr>
          <w:rFonts w:ascii="Arial" w:cs="Arial" w:eastAsia="Arial" w:hAnsi="Arial"/>
          <w:sz w:val="21"/>
          <w:szCs w:val="21"/>
          <w:color w:val="auto"/>
        </w:rPr>
        <w:t>”) will be used by Landlord to acquire the Initial Premises and to pay for Approved Landlord Costs and (ii) Net Rent payments under this Lease may be less than the aggregate amount of payments due to the holders of the Bonds during the Term. If the Net Rent payments under this Lease are less than the amount required to be paid under the Bonds, the difference is referred to herein as the “</w:t>
      </w:r>
      <w:r>
        <w:rPr>
          <w:rFonts w:ascii="Arial" w:cs="Arial" w:eastAsia="Arial" w:hAnsi="Arial"/>
          <w:sz w:val="21"/>
          <w:szCs w:val="21"/>
          <w:b w:val="1"/>
          <w:bCs w:val="1"/>
          <w:color w:val="auto"/>
        </w:rPr>
        <w:t>Purchase Price Prepayment Amount</w:t>
      </w:r>
      <w:r>
        <w:rPr>
          <w:rFonts w:ascii="Arial" w:cs="Arial" w:eastAsia="Arial" w:hAnsi="Arial"/>
          <w:sz w:val="21"/>
          <w:szCs w:val="21"/>
          <w:color w:val="auto"/>
        </w:rPr>
        <w:t>.”</w:t>
      </w:r>
    </w:p>
    <w:p>
      <w:pPr>
        <w:spacing w:after="0" w:line="154" w:lineRule="exact"/>
        <w:rPr>
          <w:sz w:val="20"/>
          <w:szCs w:val="20"/>
          <w:color w:val="auto"/>
        </w:rPr>
      </w:pPr>
    </w:p>
    <w:p>
      <w:pPr>
        <w:jc w:val="both"/>
        <w:ind w:left="660" w:firstLine="1292"/>
        <w:spacing w:after="0" w:line="225" w:lineRule="auto"/>
        <w:tabs>
          <w:tab w:leader="none" w:pos="2598" w:val="left"/>
        </w:tabs>
        <w:numPr>
          <w:ilvl w:val="1"/>
          <w:numId w:val="67"/>
        </w:numPr>
        <w:rPr>
          <w:rFonts w:ascii="Arial" w:cs="Arial" w:eastAsia="Arial" w:hAnsi="Arial"/>
          <w:sz w:val="22"/>
          <w:szCs w:val="22"/>
          <w:color w:val="auto"/>
        </w:rPr>
      </w:pPr>
      <w:r>
        <w:rPr>
          <w:rFonts w:ascii="Arial" w:cs="Arial" w:eastAsia="Arial" w:hAnsi="Arial"/>
          <w:sz w:val="22"/>
          <w:szCs w:val="22"/>
          <w:color w:val="auto"/>
        </w:rPr>
        <w:t>The “</w:t>
      </w:r>
      <w:r>
        <w:rPr>
          <w:rFonts w:ascii="Arial" w:cs="Arial" w:eastAsia="Arial" w:hAnsi="Arial"/>
          <w:sz w:val="22"/>
          <w:szCs w:val="22"/>
          <w:b w:val="1"/>
          <w:bCs w:val="1"/>
          <w:color w:val="auto"/>
        </w:rPr>
        <w:t>Purchase Price</w:t>
      </w:r>
      <w:r>
        <w:rPr>
          <w:rFonts w:ascii="Arial" w:cs="Arial" w:eastAsia="Arial" w:hAnsi="Arial"/>
          <w:sz w:val="22"/>
          <w:szCs w:val="22"/>
          <w:color w:val="auto"/>
        </w:rPr>
        <w:t>” for the Premises shall be calculated as the Applicable Bond Retirement Amount, plus the Rent Shortfall, plus the Accrued Net Rent, less any Condemnation Purchase Price Credit, less any Reserve Credit. For purposes of this calculation:</w:t>
      </w:r>
    </w:p>
    <w:p>
      <w:pPr>
        <w:spacing w:after="0" w:line="152" w:lineRule="exact"/>
        <w:rPr>
          <w:rFonts w:ascii="Arial" w:cs="Arial" w:eastAsia="Arial" w:hAnsi="Arial"/>
          <w:sz w:val="22"/>
          <w:szCs w:val="22"/>
          <w:color w:val="auto"/>
        </w:rPr>
      </w:pPr>
    </w:p>
    <w:p>
      <w:pPr>
        <w:ind w:left="3240" w:hanging="640"/>
        <w:spacing w:after="0"/>
        <w:tabs>
          <w:tab w:leader="none" w:pos="3240" w:val="left"/>
        </w:tabs>
        <w:numPr>
          <w:ilvl w:val="2"/>
          <w:numId w:val="6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Accrued Net Rent</w:t>
      </w:r>
      <w:r>
        <w:rPr>
          <w:rFonts w:ascii="Arial" w:cs="Arial" w:eastAsia="Arial" w:hAnsi="Arial"/>
          <w:sz w:val="22"/>
          <w:szCs w:val="22"/>
          <w:color w:val="auto"/>
        </w:rPr>
        <w:t>” means the Net Rent accrued, but not paid as of the Closing.</w:t>
      </w:r>
    </w:p>
    <w:p>
      <w:pPr>
        <w:spacing w:after="0" w:line="179" w:lineRule="exact"/>
        <w:rPr>
          <w:rFonts w:ascii="Arial" w:cs="Arial" w:eastAsia="Arial" w:hAnsi="Arial"/>
          <w:sz w:val="22"/>
          <w:szCs w:val="22"/>
          <w:color w:val="auto"/>
        </w:rPr>
      </w:pPr>
    </w:p>
    <w:p>
      <w:pPr>
        <w:ind w:left="1300" w:firstLine="1300"/>
        <w:spacing w:after="0" w:line="235" w:lineRule="auto"/>
        <w:tabs>
          <w:tab w:leader="none" w:pos="3239" w:val="left"/>
        </w:tabs>
        <w:numPr>
          <w:ilvl w:val="2"/>
          <w:numId w:val="6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Bond Retirement Amount</w:t>
      </w:r>
      <w:r>
        <w:rPr>
          <w:rFonts w:ascii="Arial" w:cs="Arial" w:eastAsia="Arial" w:hAnsi="Arial"/>
          <w:sz w:val="22"/>
          <w:szCs w:val="22"/>
          <w:color w:val="auto"/>
        </w:rPr>
        <w:t>” means the product of (a) the Applicable Percentage multiplied by (b) the Bond Retirement Amount.</w:t>
      </w:r>
    </w:p>
    <w:p>
      <w:pPr>
        <w:spacing w:after="0" w:line="152" w:lineRule="exact"/>
        <w:rPr>
          <w:rFonts w:ascii="Arial" w:cs="Arial" w:eastAsia="Arial" w:hAnsi="Arial"/>
          <w:sz w:val="22"/>
          <w:szCs w:val="22"/>
          <w:color w:val="auto"/>
        </w:rPr>
      </w:pPr>
    </w:p>
    <w:p>
      <w:pPr>
        <w:jc w:val="both"/>
        <w:ind w:left="1300" w:firstLine="1300"/>
        <w:spacing w:after="0" w:line="225" w:lineRule="auto"/>
        <w:tabs>
          <w:tab w:leader="none" w:pos="3239" w:val="left"/>
        </w:tabs>
        <w:numPr>
          <w:ilvl w:val="2"/>
          <w:numId w:val="6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Percentage</w:t>
      </w:r>
      <w:r>
        <w:rPr>
          <w:rFonts w:ascii="Arial" w:cs="Arial" w:eastAsia="Arial" w:hAnsi="Arial"/>
          <w:sz w:val="22"/>
          <w:szCs w:val="22"/>
          <w:color w:val="auto"/>
        </w:rPr>
        <w:t>” means a percentage determined by dividing (a) the portion of the proceeds of the Bonds used to acquire the Initial Premises and pay Approved Landlord Costs by (b) total proceeds of the Bonds.</w:t>
      </w:r>
    </w:p>
    <w:p>
      <w:pPr>
        <w:spacing w:after="0" w:line="152" w:lineRule="exact"/>
        <w:rPr>
          <w:rFonts w:ascii="Arial" w:cs="Arial" w:eastAsia="Arial" w:hAnsi="Arial"/>
          <w:sz w:val="22"/>
          <w:szCs w:val="22"/>
          <w:color w:val="auto"/>
        </w:rPr>
      </w:pPr>
    </w:p>
    <w:p>
      <w:pPr>
        <w:jc w:val="both"/>
        <w:ind w:left="1300" w:firstLine="1300"/>
        <w:spacing w:after="0" w:line="250" w:lineRule="auto"/>
        <w:tabs>
          <w:tab w:leader="none" w:pos="3239" w:val="left"/>
        </w:tabs>
        <w:numPr>
          <w:ilvl w:val="2"/>
          <w:numId w:val="6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Approved Landlord Costs</w:t>
      </w:r>
      <w:r>
        <w:rPr>
          <w:rFonts w:ascii="Arial" w:cs="Arial" w:eastAsia="Arial" w:hAnsi="Arial"/>
          <w:sz w:val="19"/>
          <w:szCs w:val="19"/>
          <w:color w:val="auto"/>
        </w:rPr>
        <w:t>” means Landlord’s reasonable and actual costs and expenses related to the transactions contemplated in this Lease and the Development Agreement, including: (a) any debt service reserve fund for the Bonds; (b) costs for updating any ALTA land survey, Phase I environmental report and appraisal, all to the extent previously requested by Tenant; and (c) one-half (1/2) of the costs incurred by Landlord to engage outside counsel with respect to the transactions contemplated in this Lease and the Development Agreement, provided, however, that in any case such amount shall be capped at $20,000.</w:t>
      </w:r>
    </w:p>
    <w:p>
      <w:pPr>
        <w:spacing w:after="0" w:line="146" w:lineRule="exact"/>
        <w:rPr>
          <w:rFonts w:ascii="Arial" w:cs="Arial" w:eastAsia="Arial" w:hAnsi="Arial"/>
          <w:sz w:val="19"/>
          <w:szCs w:val="19"/>
          <w:color w:val="auto"/>
        </w:rPr>
      </w:pPr>
    </w:p>
    <w:p>
      <w:pPr>
        <w:ind w:left="1300" w:firstLine="1300"/>
        <w:spacing w:after="0" w:line="235" w:lineRule="auto"/>
        <w:tabs>
          <w:tab w:leader="none" w:pos="3239" w:val="left"/>
        </w:tabs>
        <w:numPr>
          <w:ilvl w:val="2"/>
          <w:numId w:val="6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Bond Retirement Amount</w:t>
      </w:r>
      <w:r>
        <w:rPr>
          <w:rFonts w:ascii="Arial" w:cs="Arial" w:eastAsia="Arial" w:hAnsi="Arial"/>
          <w:sz w:val="22"/>
          <w:szCs w:val="22"/>
          <w:color w:val="auto"/>
        </w:rPr>
        <w:t>” means the sum of all actual costs and expenses of whatever type or kind incurred by Landlord relating to defeasance or retirement of the Bonds.</w:t>
      </w:r>
    </w:p>
    <w:p>
      <w:pPr>
        <w:spacing w:after="0" w:line="152" w:lineRule="exact"/>
        <w:rPr>
          <w:rFonts w:ascii="Arial" w:cs="Arial" w:eastAsia="Arial" w:hAnsi="Arial"/>
          <w:sz w:val="22"/>
          <w:szCs w:val="22"/>
          <w:color w:val="auto"/>
        </w:rPr>
      </w:pPr>
    </w:p>
    <w:p>
      <w:pPr>
        <w:ind w:left="3240" w:hanging="640"/>
        <w:spacing w:after="0"/>
        <w:tabs>
          <w:tab w:leader="none" w:pos="3240" w:val="left"/>
        </w:tabs>
        <w:numPr>
          <w:ilvl w:val="2"/>
          <w:numId w:val="6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Bond Servicing Costs</w:t>
      </w:r>
      <w:r>
        <w:rPr>
          <w:rFonts w:ascii="Arial" w:cs="Arial" w:eastAsia="Arial" w:hAnsi="Arial"/>
          <w:sz w:val="19"/>
          <w:szCs w:val="19"/>
          <w:color w:val="auto"/>
        </w:rPr>
        <w:t>” mean the product of (a) the Applicable Percentage multiplied by</w:t>
      </w:r>
    </w:p>
    <w:p>
      <w:pPr>
        <w:spacing w:after="0" w:line="21" w:lineRule="exact"/>
        <w:rPr>
          <w:rFonts w:ascii="Arial" w:cs="Arial" w:eastAsia="Arial" w:hAnsi="Arial"/>
          <w:sz w:val="19"/>
          <w:szCs w:val="19"/>
          <w:color w:val="auto"/>
        </w:rPr>
      </w:pPr>
    </w:p>
    <w:p>
      <w:pPr>
        <w:ind w:left="1600" w:hanging="296"/>
        <w:spacing w:after="0"/>
        <w:tabs>
          <w:tab w:leader="none" w:pos="160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actual out-of-pocket costs paid by Landlord as debt service on the Bonds prior to Closing.</w:t>
      </w:r>
    </w:p>
    <w:p>
      <w:pPr>
        <w:spacing w:after="0" w:line="155" w:lineRule="exact"/>
        <w:rPr>
          <w:rFonts w:ascii="Arial" w:cs="Arial" w:eastAsia="Arial" w:hAnsi="Arial"/>
          <w:sz w:val="22"/>
          <w:szCs w:val="22"/>
          <w:color w:val="auto"/>
        </w:rPr>
      </w:pPr>
    </w:p>
    <w:p>
      <w:pPr>
        <w:ind w:left="3240" w:hanging="640"/>
        <w:spacing w:after="0"/>
        <w:tabs>
          <w:tab w:leader="none" w:pos="3240" w:val="left"/>
        </w:tabs>
        <w:numPr>
          <w:ilvl w:val="2"/>
          <w:numId w:val="6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Condemnation Purchase Price Credit</w:t>
      </w:r>
      <w:r>
        <w:rPr>
          <w:rFonts w:ascii="Arial" w:cs="Arial" w:eastAsia="Arial" w:hAnsi="Arial"/>
          <w:sz w:val="22"/>
          <w:szCs w:val="22"/>
          <w:color w:val="auto"/>
        </w:rPr>
        <w:t xml:space="preserve">” shall be as defined in </w:t>
      </w:r>
      <w:r>
        <w:rPr>
          <w:rFonts w:ascii="Arial" w:cs="Arial" w:eastAsia="Arial" w:hAnsi="Arial"/>
          <w:sz w:val="22"/>
          <w:szCs w:val="22"/>
          <w:u w:val="single" w:color="auto"/>
          <w:color w:val="auto"/>
        </w:rPr>
        <w:t>Section 13.2B</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1300" w:firstLine="1300"/>
        <w:spacing w:after="0" w:line="225" w:lineRule="auto"/>
        <w:tabs>
          <w:tab w:leader="none" w:pos="3239" w:val="left"/>
        </w:tabs>
        <w:numPr>
          <w:ilvl w:val="2"/>
          <w:numId w:val="6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Reserve Credit</w:t>
      </w:r>
      <w:r>
        <w:rPr>
          <w:rFonts w:ascii="Arial" w:cs="Arial" w:eastAsia="Arial" w:hAnsi="Arial"/>
          <w:sz w:val="22"/>
          <w:szCs w:val="22"/>
          <w:color w:val="auto"/>
        </w:rPr>
        <w:t>” means the amount of any reserves or other funds held for the benefit of Landlord or the issuer of the Bonds and not yet credited as of Closing, including, without limitation, any debt service reserve fund included in Approved Landlord Costs.</w:t>
      </w:r>
    </w:p>
    <w:p>
      <w:pPr>
        <w:spacing w:after="0" w:line="152" w:lineRule="exact"/>
        <w:rPr>
          <w:rFonts w:ascii="Arial" w:cs="Arial" w:eastAsia="Arial" w:hAnsi="Arial"/>
          <w:sz w:val="22"/>
          <w:szCs w:val="22"/>
          <w:color w:val="auto"/>
        </w:rPr>
      </w:pPr>
    </w:p>
    <w:p>
      <w:pPr>
        <w:ind w:left="3240" w:hanging="640"/>
        <w:spacing w:after="0"/>
        <w:tabs>
          <w:tab w:leader="none" w:pos="3240" w:val="left"/>
        </w:tabs>
        <w:numPr>
          <w:ilvl w:val="2"/>
          <w:numId w:val="6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Rent Shortfall</w:t>
      </w:r>
      <w:r>
        <w:rPr>
          <w:rFonts w:ascii="Arial" w:cs="Arial" w:eastAsia="Arial" w:hAnsi="Arial"/>
          <w:sz w:val="19"/>
          <w:szCs w:val="19"/>
          <w:color w:val="auto"/>
        </w:rPr>
        <w:t>” means the Bond Servicing Costs less Net Rent paid under the Lease prior</w:t>
      </w:r>
    </w:p>
    <w:p>
      <w:pPr>
        <w:spacing w:after="0" w:line="21"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to Closing.</w:t>
      </w:r>
    </w:p>
    <w:p>
      <w:pPr>
        <w:spacing w:after="0" w:line="161" w:lineRule="exact"/>
        <w:rPr>
          <w:sz w:val="20"/>
          <w:szCs w:val="20"/>
          <w:color w:val="auto"/>
        </w:rPr>
      </w:pPr>
    </w:p>
    <w:p>
      <w:pPr>
        <w:ind w:firstLine="1304"/>
        <w:spacing w:after="0" w:line="232" w:lineRule="auto"/>
        <w:tabs>
          <w:tab w:leader="none" w:pos="1938"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Landlord’s Calculation</w:t>
      </w:r>
      <w:r>
        <w:rPr>
          <w:rFonts w:ascii="Arial" w:cs="Arial" w:eastAsia="Arial" w:hAnsi="Arial"/>
          <w:sz w:val="22"/>
          <w:szCs w:val="22"/>
          <w:color w:val="auto"/>
        </w:rPr>
        <w:t>. Promptly following delivery of the Option Notice, Landlord shall deliver notice to Tenant setting forth Landlord’s calculation of the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395" w:right="339" w:bottom="1440" w:gutter="0" w:footer="0" w:header="0"/>
        </w:sectPr>
      </w:pPr>
    </w:p>
    <w:bookmarkStart w:id="119" w:name="page120"/>
    <w:bookmarkEnd w:id="119"/>
    <w:p>
      <w:pPr>
        <w:jc w:val="both"/>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Landlord’s Calculation</w:t>
      </w:r>
      <w:r>
        <w:rPr>
          <w:rFonts w:ascii="Arial" w:cs="Arial" w:eastAsia="Arial" w:hAnsi="Arial"/>
          <w:sz w:val="22"/>
          <w:szCs w:val="22"/>
          <w:color w:val="auto"/>
        </w:rPr>
        <w:t>”), together with reasonable evidence of the Applicable Bond Retirement Amount, Applicable Percentage, Approved Landlord Costs, Bond Retirement Amount, Bond Servicing Costs, current Rent Shortfall and any Condemnation Purchase Price Credit.</w:t>
      </w:r>
    </w:p>
    <w:p>
      <w:pPr>
        <w:spacing w:after="0" w:line="159" w:lineRule="exact"/>
        <w:rPr>
          <w:sz w:val="20"/>
          <w:szCs w:val="20"/>
          <w:color w:val="auto"/>
        </w:rPr>
      </w:pPr>
    </w:p>
    <w:p>
      <w:pPr>
        <w:jc w:val="both"/>
        <w:ind w:firstLine="1304"/>
        <w:spacing w:after="0" w:line="214" w:lineRule="auto"/>
        <w:tabs>
          <w:tab w:leader="none" w:pos="194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Calculation of Purchase Price</w:t>
      </w:r>
      <w:r>
        <w:rPr>
          <w:rFonts w:ascii="Arial" w:cs="Arial" w:eastAsia="Arial" w:hAnsi="Arial"/>
          <w:sz w:val="22"/>
          <w:szCs w:val="22"/>
          <w:color w:val="auto"/>
        </w:rPr>
        <w:t>. If Tenant objects to Landlord’s Calculation, Landlord and Tenant shall confer to determine the Purchase Price on or prior to Closing. If Landlord and Tenant are unable to agree upon the Purchase Price calculation prior to Closing, the Purchase Price shall be deemed to be as set forth in Landlord’s Calculation; provided that the Purchase Price may be reconciled post-Closing based on the documented Applicable Bond Retirement Amount, Applicable Percentage, Approved Landlord Costs, Bond Retirement Amount, Bond Servicing Costs, Rent Shortfall and any Condemnation Purchase Price Credit.</w:t>
      </w:r>
    </w:p>
    <w:p>
      <w:pPr>
        <w:spacing w:after="0" w:line="158" w:lineRule="exact"/>
        <w:rPr>
          <w:rFonts w:ascii="Arial" w:cs="Arial" w:eastAsia="Arial" w:hAnsi="Arial"/>
          <w:sz w:val="22"/>
          <w:szCs w:val="22"/>
          <w:color w:val="auto"/>
        </w:rPr>
      </w:pPr>
    </w:p>
    <w:p>
      <w:pPr>
        <w:jc w:val="both"/>
        <w:ind w:firstLine="1304"/>
        <w:spacing w:after="0" w:line="257" w:lineRule="auto"/>
        <w:tabs>
          <w:tab w:leader="none" w:pos="1940"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Accounting</w:t>
      </w:r>
      <w:r>
        <w:rPr>
          <w:rFonts w:ascii="Arial" w:cs="Arial" w:eastAsia="Arial" w:hAnsi="Arial"/>
          <w:sz w:val="19"/>
          <w:szCs w:val="19"/>
          <w:color w:val="auto"/>
        </w:rPr>
        <w:t>. Landlord agrees to maintain books and records for the components of the Purchase Price for two (2) years following the Closing. Tenant, or Tenant’s designee, at its sole cost and expense, upon prior written notice and during regular business hours at a time and place reasonably designated by Landlord (which may be the location where Landlord maintains the applicable records), may inspect Landlord’s records relating to the Purchase Price.</w:t>
      </w:r>
    </w:p>
    <w:p>
      <w:pPr>
        <w:spacing w:after="0" w:line="144" w:lineRule="exact"/>
        <w:rPr>
          <w:rFonts w:ascii="Arial" w:cs="Arial" w:eastAsia="Arial" w:hAnsi="Arial"/>
          <w:sz w:val="19"/>
          <w:szCs w:val="19"/>
          <w:color w:val="auto"/>
        </w:rPr>
      </w:pPr>
    </w:p>
    <w:p>
      <w:pPr>
        <w:ind w:right="20" w:firstLine="1304"/>
        <w:spacing w:after="0" w:line="232" w:lineRule="auto"/>
        <w:tabs>
          <w:tab w:leader="none" w:pos="1938"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The rights and obligations for reconciliation of the Purchase Price shall survive Closing and the expiration or earlier termination of this Lease for a period of two (2) years following the Closing.</w:t>
      </w:r>
    </w:p>
    <w:p>
      <w:pPr>
        <w:spacing w:after="0" w:line="158" w:lineRule="exact"/>
        <w:rPr>
          <w:rFonts w:ascii="Arial" w:cs="Arial" w:eastAsia="Arial" w:hAnsi="Arial"/>
          <w:sz w:val="22"/>
          <w:szCs w:val="22"/>
          <w:color w:val="auto"/>
        </w:rPr>
      </w:pPr>
    </w:p>
    <w:p>
      <w:pPr>
        <w:jc w:val="both"/>
        <w:ind w:firstLine="1304"/>
        <w:spacing w:after="0" w:line="242" w:lineRule="auto"/>
        <w:tabs>
          <w:tab w:leader="none" w:pos="1941"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Conveyance of Title and Delivery of Possession</w:t>
      </w:r>
      <w:r>
        <w:rPr>
          <w:rFonts w:ascii="Arial" w:cs="Arial" w:eastAsia="Arial" w:hAnsi="Arial"/>
          <w:sz w:val="19"/>
          <w:szCs w:val="19"/>
          <w:color w:val="auto"/>
        </w:rPr>
        <w:t xml:space="preserve">. Landlord and Tenant agree to perform all acts and execute all documents necessary for conveyance in sufficient time for the Premises and Improvements thereon (including all of Landlord’s interest in this Lease) to be conveyed to Tenant, or Tenant’s designee, within ninety (90) days after delivery of the Option Notice, but in no event later than the expiration of the Term. Landlord’s entire interest in the Premises (including any rights or claims with respect to any pending condemnation and any rights or claims with respect to property insurance proceeds) shall be conveyed by special warranty deed, in the form attached hereto as </w:t>
      </w:r>
      <w:r>
        <w:rPr>
          <w:rFonts w:ascii="Arial" w:cs="Arial" w:eastAsia="Arial" w:hAnsi="Arial"/>
          <w:sz w:val="19"/>
          <w:szCs w:val="19"/>
          <w:b w:val="1"/>
          <w:bCs w:val="1"/>
          <w:color w:val="auto"/>
        </w:rPr>
        <w:t>Exhibit H</w:t>
      </w:r>
      <w:r>
        <w:rPr>
          <w:rFonts w:ascii="Arial" w:cs="Arial" w:eastAsia="Arial" w:hAnsi="Arial"/>
          <w:sz w:val="19"/>
          <w:szCs w:val="19"/>
          <w:color w:val="auto"/>
        </w:rPr>
        <w:t xml:space="preserve"> (the “</w:t>
      </w:r>
      <w:r>
        <w:rPr>
          <w:rFonts w:ascii="Arial" w:cs="Arial" w:eastAsia="Arial" w:hAnsi="Arial"/>
          <w:sz w:val="19"/>
          <w:szCs w:val="19"/>
          <w:b w:val="1"/>
          <w:bCs w:val="1"/>
          <w:color w:val="auto"/>
        </w:rPr>
        <w:t>Special Warranty Deed</w:t>
      </w:r>
      <w:r>
        <w:rPr>
          <w:rFonts w:ascii="Arial" w:cs="Arial" w:eastAsia="Arial" w:hAnsi="Arial"/>
          <w:sz w:val="19"/>
          <w:szCs w:val="19"/>
          <w:color w:val="auto"/>
        </w:rPr>
        <w:t xml:space="preserve">”). The Premises shall be conveyed subject only to the Permitted Encumbrances and any additional encumbrances permitted pursuant to </w:t>
      </w:r>
      <w:r>
        <w:rPr>
          <w:rFonts w:ascii="Arial" w:cs="Arial" w:eastAsia="Arial" w:hAnsi="Arial"/>
          <w:sz w:val="19"/>
          <w:szCs w:val="19"/>
          <w:u w:val="single" w:color="auto"/>
          <w:color w:val="auto"/>
        </w:rPr>
        <w:t>Sections 1.2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7.5</w:t>
      </w:r>
      <w:r>
        <w:rPr>
          <w:rFonts w:ascii="Arial" w:cs="Arial" w:eastAsia="Arial" w:hAnsi="Arial"/>
          <w:sz w:val="19"/>
          <w:szCs w:val="19"/>
          <w:color w:val="auto"/>
        </w:rPr>
        <w:t>. Any monetary liens or encumbrances related to the Bonds shall be released at conveyance. Otherwise, the Premises shall be conveyed in an “as is” condition, with no warranty, express or implied, by Landlord as to the physical condition of the soil, its geology, the condition of the improvements, or the presence of faults, Hazardous Substances or other substances unknown to Landlord. All expenses in connection with conveyance of the Premises to Tenant, or Tenant’s designee, including, but not limited to, title insurance, recordation and notary fees and all other Closing costs, shall be paid by Tenant. Possession shall be delivered to Tenant concurrently with the conveyance of title.</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25. </w:t>
      </w:r>
      <w:r>
        <w:rPr>
          <w:rFonts w:ascii="Arial" w:cs="Arial" w:eastAsia="Arial" w:hAnsi="Arial"/>
          <w:sz w:val="22"/>
          <w:szCs w:val="22"/>
          <w:b w:val="1"/>
          <w:bCs w:val="1"/>
          <w:u w:val="single" w:color="auto"/>
          <w:color w:val="auto"/>
        </w:rPr>
        <w:t>COMPLIANCE WITH ENVIRONMENTAL LAWS</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1"/>
          <w:szCs w:val="21"/>
          <w:color w:val="auto"/>
        </w:rPr>
        <w:t xml:space="preserve">1.63 </w:t>
      </w:r>
      <w:r>
        <w:rPr>
          <w:rFonts w:ascii="Arial" w:cs="Arial" w:eastAsia="Arial" w:hAnsi="Arial"/>
          <w:sz w:val="21"/>
          <w:szCs w:val="21"/>
          <w:b w:val="1"/>
          <w:bCs w:val="1"/>
          <w:u w:val="single" w:color="auto"/>
          <w:color w:val="auto"/>
        </w:rPr>
        <w:t>Restrictions on Tenant</w:t>
      </w:r>
      <w:r>
        <w:rPr>
          <w:rFonts w:ascii="Arial" w:cs="Arial" w:eastAsia="Arial" w:hAnsi="Arial"/>
          <w:sz w:val="21"/>
          <w:szCs w:val="21"/>
          <w:color w:val="auto"/>
        </w:rPr>
        <w:t>. Tenant will not dispose of, generate, manufacture, process, produce, release, store, transport, treat, or use, nor will it permit the disposal, generation, manufacture, presence, processing, production, release, storage, transportation, treatment, or use of Hazardous Substances on, under, or about the Premises in violation of Environmental Laws. In that connection, Tenant agrees that Tenant will comply and require all of its agents, employees, and contractors to (a) comply with all Environmental Laws; (b) obtain and maintain or cause to be obtained and maintained all permits, licenses, and approvals required under Environmental Laws or otherwise relating to Hazardous Substances; and (c) comply with all conditions and requirements of such permits, licenses, and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395" w:right="339" w:bottom="1440" w:gutter="0" w:footer="0" w:header="0"/>
        </w:sectPr>
      </w:pPr>
    </w:p>
    <w:bookmarkStart w:id="120" w:name="page121"/>
    <w:bookmarkEnd w:id="120"/>
    <w:p>
      <w:pPr>
        <w:jc w:val="both"/>
        <w:ind w:firstLine="648"/>
        <w:spacing w:after="0" w:line="248" w:lineRule="auto"/>
        <w:rPr>
          <w:sz w:val="20"/>
          <w:szCs w:val="20"/>
          <w:color w:val="auto"/>
        </w:rPr>
      </w:pPr>
      <w:r>
        <w:rPr>
          <w:rFonts w:ascii="Arial" w:cs="Arial" w:eastAsia="Arial" w:hAnsi="Arial"/>
          <w:sz w:val="19"/>
          <w:szCs w:val="19"/>
          <w:color w:val="auto"/>
        </w:rPr>
        <w:t xml:space="preserve">1.64 </w:t>
      </w:r>
      <w:r>
        <w:rPr>
          <w:rFonts w:ascii="Arial" w:cs="Arial" w:eastAsia="Arial" w:hAnsi="Arial"/>
          <w:sz w:val="19"/>
          <w:szCs w:val="19"/>
          <w:b w:val="1"/>
          <w:bCs w:val="1"/>
          <w:u w:val="single" w:color="auto"/>
          <w:color w:val="auto"/>
        </w:rPr>
        <w:t>Tenant’s Business Operations</w:t>
      </w:r>
      <w:r>
        <w:rPr>
          <w:rFonts w:ascii="Arial" w:cs="Arial" w:eastAsia="Arial" w:hAnsi="Arial"/>
          <w:sz w:val="19"/>
          <w:szCs w:val="19"/>
          <w:color w:val="auto"/>
        </w:rPr>
        <w:t xml:space="preserve">. Landlord acknowledges that it is not the intent of this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to prohibit Tenant from operating its business at the Premises for Tenant’s intended use, so long as the use or presence of Hazardous Substances is strictly and properly monitored according to all Environmental Laws. As a material inducement to Landlord to allow Tenant to use Hazardous Substances in connection with its business, Tenant agrees to develop emergency response/evacuation procedures in accordance with all applicable federal, state and local requirements. In connection with any Hazardous Substances utilized by Tenant on the Premises, Tenant shall be responsible, at its sole cost and expense, for making any necessary modifications or improvements either to the Premises or Tenant’s equipment as required by Environmental Laws.</w:t>
      </w:r>
    </w:p>
    <w:p>
      <w:pPr>
        <w:spacing w:after="0" w:line="14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1.65 </w:t>
      </w:r>
      <w:r>
        <w:rPr>
          <w:rFonts w:ascii="Arial" w:cs="Arial" w:eastAsia="Arial" w:hAnsi="Arial"/>
          <w:sz w:val="19"/>
          <w:szCs w:val="19"/>
          <w:b w:val="1"/>
          <w:bCs w:val="1"/>
          <w:u w:val="single" w:color="auto"/>
          <w:color w:val="auto"/>
        </w:rPr>
        <w:t>Indemnification by Tenant</w:t>
      </w:r>
      <w:r>
        <w:rPr>
          <w:rFonts w:ascii="Arial" w:cs="Arial" w:eastAsia="Arial" w:hAnsi="Arial"/>
          <w:sz w:val="19"/>
          <w:szCs w:val="19"/>
          <w:color w:val="auto"/>
        </w:rPr>
        <w:t>. Tenant shall indemnify, defend and hold harmless, on demand, Landlord, each Pinal County Supervisor and each Landlord official representative, agent, attorney or employee for, from and against any and all Claims and administrative orders, consent decrees or agreements, legal and investigation fees or costs, arising from or related to:</w:t>
      </w:r>
    </w:p>
    <w:p>
      <w:pPr>
        <w:spacing w:after="0" w:line="130" w:lineRule="exact"/>
        <w:rPr>
          <w:sz w:val="20"/>
          <w:szCs w:val="20"/>
          <w:color w:val="auto"/>
        </w:rPr>
      </w:pPr>
    </w:p>
    <w:p>
      <w:pPr>
        <w:ind w:firstLine="1304"/>
        <w:spacing w:after="0" w:line="232" w:lineRule="auto"/>
        <w:tabs>
          <w:tab w:leader="none" w:pos="1938"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violation of any Environmental Law by Tenant or its affiliated entities, agents, employees, invitees, contractors, visitors, subtenants or licensees;</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4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presence, use, generation, storage or release of Hazardous Substances occurring during the Term caused or resulting from the acts of any Tenant or its owners or affiliated entities, agents, employees, invitees, contractors, visitors, subtenants or licensees; or</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The breach by Tenant of any of its obligations under this </w:t>
      </w:r>
      <w:r>
        <w:rPr>
          <w:rFonts w:ascii="Arial" w:cs="Arial" w:eastAsia="Arial" w:hAnsi="Arial"/>
          <w:sz w:val="22"/>
          <w:szCs w:val="22"/>
          <w:u w:val="single" w:color="auto"/>
          <w:color w:val="auto"/>
        </w:rPr>
        <w:t>Section 25</w:t>
      </w:r>
      <w:r>
        <w:rPr>
          <w:rFonts w:ascii="Arial" w:cs="Arial" w:eastAsia="Arial" w:hAnsi="Arial"/>
          <w:sz w:val="22"/>
          <w:szCs w:val="22"/>
          <w:color w:val="auto"/>
        </w:rPr>
        <w:t>.</w:t>
      </w:r>
    </w:p>
    <w:p>
      <w:pPr>
        <w:spacing w:after="0" w:line="17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Without limiting the foregoing, this indemnification shall include any and all costs incurred in connection with any investigations of all or any portion of the Premises or any cleanup, removal, repair, remediation, detoxification or restoration and the preparation of any closure or other plans required under Applicable Laws. Tenant’s indemnification and defense obligations shall not extend to (a) the violation of any Environmental Law by parties other than Tenant and its affiliated entities, agents, employees, invitees, contractors, visitors, subtenants or licensees, or (b) the presence, use, generation, storage, or release of Hazardous Substances in, on, under, or above the Premises prior to the Effective Date.</w:t>
      </w:r>
    </w:p>
    <w:p>
      <w:pPr>
        <w:spacing w:after="0" w:line="146"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color w:val="auto"/>
        </w:rPr>
        <w:t xml:space="preserve">1.66 </w:t>
      </w:r>
      <w:r>
        <w:rPr>
          <w:rFonts w:ascii="Arial" w:cs="Arial" w:eastAsia="Arial" w:hAnsi="Arial"/>
          <w:sz w:val="22"/>
          <w:szCs w:val="22"/>
          <w:b w:val="1"/>
          <w:bCs w:val="1"/>
          <w:u w:val="single" w:color="auto"/>
          <w:color w:val="auto"/>
        </w:rPr>
        <w:t>Survival</w:t>
      </w:r>
      <w:r>
        <w:rPr>
          <w:rFonts w:ascii="Arial" w:cs="Arial" w:eastAsia="Arial" w:hAnsi="Arial"/>
          <w:sz w:val="22"/>
          <w:szCs w:val="22"/>
          <w:color w:val="auto"/>
        </w:rPr>
        <w:t xml:space="preserve">. Tenant’s indemnifications and obligations under this </w:t>
      </w:r>
      <w:r>
        <w:rPr>
          <w:rFonts w:ascii="Arial" w:cs="Arial" w:eastAsia="Arial" w:hAnsi="Arial"/>
          <w:sz w:val="22"/>
          <w:szCs w:val="22"/>
          <w:u w:val="single" w:color="auto"/>
          <w:color w:val="auto"/>
        </w:rPr>
        <w:t>Section 25</w:t>
      </w:r>
      <w:r>
        <w:rPr>
          <w:rFonts w:ascii="Arial" w:cs="Arial" w:eastAsia="Arial" w:hAnsi="Arial"/>
          <w:sz w:val="22"/>
          <w:szCs w:val="22"/>
          <w:color w:val="auto"/>
        </w:rPr>
        <w:t xml:space="preserve"> shall survive the expiration or termination of this Lease as to events occurring or liability arising prior to the termination of this Lease.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FOLLOW ON NEXT TWO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395" w:right="339" w:bottom="1440" w:gutter="0" w:footer="0" w:header="0"/>
        </w:sectPr>
      </w:pPr>
    </w:p>
    <w:bookmarkStart w:id="121" w:name="page122"/>
    <w:bookmarkEnd w:id="121"/>
    <w:p>
      <w:pPr>
        <w:ind w:left="3900"/>
        <w:spacing w:after="0"/>
        <w:rPr>
          <w:sz w:val="20"/>
          <w:szCs w:val="20"/>
          <w:color w:val="auto"/>
        </w:rPr>
      </w:pPr>
      <w:r>
        <w:rPr>
          <w:rFonts w:ascii="Arial" w:cs="Arial" w:eastAsia="Arial" w:hAnsi="Arial"/>
          <w:sz w:val="22"/>
          <w:szCs w:val="22"/>
          <w:b w:val="1"/>
          <w:bCs w:val="1"/>
          <w:color w:val="auto"/>
        </w:rPr>
        <w:t>LANDLORD</w:t>
      </w:r>
      <w:r>
        <w:rPr>
          <w:rFonts w:ascii="Arial" w:cs="Arial" w:eastAsia="Arial" w:hAnsi="Arial"/>
          <w:sz w:val="22"/>
          <w:szCs w:val="22"/>
          <w:color w:val="auto"/>
        </w:rPr>
        <w:t>:</w:t>
      </w:r>
    </w:p>
    <w:p>
      <w:pPr>
        <w:spacing w:after="0" w:line="38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PINAL COUNTY</w:t>
      </w:r>
      <w:r>
        <w:rPr>
          <w:rFonts w:ascii="Arial" w:cs="Arial" w:eastAsia="Arial" w:hAnsi="Arial"/>
          <w:sz w:val="22"/>
          <w:szCs w:val="22"/>
          <w:color w:val="auto"/>
        </w:rPr>
        <w:t>,</w:t>
      </w:r>
    </w:p>
    <w:p>
      <w:pPr>
        <w:ind w:left="3900"/>
        <w:spacing w:after="0"/>
        <w:rPr>
          <w:sz w:val="20"/>
          <w:szCs w:val="20"/>
          <w:color w:val="auto"/>
        </w:rPr>
      </w:pPr>
      <w:r>
        <w:rPr>
          <w:rFonts w:ascii="Arial" w:cs="Arial" w:eastAsia="Arial" w:hAnsi="Arial"/>
          <w:sz w:val="22"/>
          <w:szCs w:val="22"/>
          <w:color w:val="auto"/>
        </w:rPr>
        <w:t>an Arizona political subdivision</w:t>
      </w:r>
    </w:p>
    <w:p>
      <w:pPr>
        <w:spacing w:after="0" w:line="3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Leo Lew</w:t>
      </w:r>
      <w:r>
        <w:rPr>
          <w:rFonts w:ascii="Arial" w:cs="Arial" w:eastAsia="Arial" w:hAnsi="Arial"/>
          <w:sz w:val="22"/>
          <w:szCs w:val="22"/>
          <w:color w:val="auto"/>
        </w:rPr>
        <w:t>_________________</w:t>
      </w:r>
    </w:p>
    <w:p>
      <w:pPr>
        <w:ind w:left="3900"/>
        <w:spacing w:after="0" w:line="204" w:lineRule="auto"/>
        <w:rPr>
          <w:sz w:val="20"/>
          <w:szCs w:val="20"/>
          <w:color w:val="auto"/>
        </w:rPr>
      </w:pPr>
      <w:r>
        <w:rPr>
          <w:rFonts w:ascii="Arial" w:cs="Arial" w:eastAsia="Arial" w:hAnsi="Arial"/>
          <w:sz w:val="22"/>
          <w:szCs w:val="22"/>
          <w:color w:val="auto"/>
        </w:rPr>
        <w:t>Name: Leo Lew</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Its: County Manager</w:t>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/s/ Natasha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3797300" cy="5918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797300" cy="591820"/>
                    </a:xfrm>
                    <a:prstGeom prst="rect">
                      <a:avLst/>
                    </a:prstGeom>
                    <a:noFill/>
                  </pic:spPr>
                </pic:pic>
              </a:graphicData>
            </a:graphic>
          </wp:anchor>
        </w:drawing>
      </w:r>
    </w:p>
    <w:p>
      <w:pPr>
        <w:ind w:left="80"/>
        <w:spacing w:after="0"/>
        <w:rPr>
          <w:sz w:val="20"/>
          <w:szCs w:val="20"/>
          <w:color w:val="auto"/>
        </w:rPr>
      </w:pPr>
      <w:r>
        <w:rPr>
          <w:rFonts w:ascii="Arial" w:cs="Arial" w:eastAsia="Arial" w:hAnsi="Arial"/>
          <w:sz w:val="22"/>
          <w:szCs w:val="22"/>
          <w:color w:val="auto"/>
        </w:rPr>
        <w:t>COUNTY</w:t>
      </w:r>
    </w:p>
    <w:p>
      <w:pPr>
        <w:ind w:left="80"/>
        <w:spacing w:after="0"/>
        <w:rPr>
          <w:sz w:val="20"/>
          <w:szCs w:val="20"/>
          <w:color w:val="auto"/>
        </w:rPr>
      </w:pPr>
      <w:r>
        <w:rPr>
          <w:rFonts w:ascii="Arial" w:cs="Arial" w:eastAsia="Arial" w:hAnsi="Arial"/>
          <w:sz w:val="22"/>
          <w:szCs w:val="22"/>
          <w:color w:val="auto"/>
        </w:rPr>
        <w:t>CLERK</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APPROVED AS TO FORM:</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/s/ Christopher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3934460" cy="8655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934460" cy="865505"/>
                    </a:xfrm>
                    <a:prstGeom prst="rect">
                      <a:avLst/>
                    </a:prstGeom>
                    <a:noFill/>
                  </pic:spPr>
                </pic:pic>
              </a:graphicData>
            </a:graphic>
          </wp:anchor>
        </w:drawing>
      </w:r>
    </w:p>
    <w:p>
      <w:pPr>
        <w:ind w:left="80"/>
        <w:spacing w:after="0"/>
        <w:rPr>
          <w:sz w:val="20"/>
          <w:szCs w:val="20"/>
          <w:color w:val="auto"/>
        </w:rPr>
      </w:pPr>
      <w:r>
        <w:rPr>
          <w:rFonts w:ascii="Arial" w:cs="Arial" w:eastAsia="Arial" w:hAnsi="Arial"/>
          <w:sz w:val="22"/>
          <w:szCs w:val="22"/>
          <w:color w:val="auto"/>
        </w:rPr>
        <w:t>PINAL</w:t>
      </w:r>
    </w:p>
    <w:p>
      <w:pPr>
        <w:ind w:left="80"/>
        <w:spacing w:after="0" w:line="204" w:lineRule="auto"/>
        <w:rPr>
          <w:sz w:val="20"/>
          <w:szCs w:val="20"/>
          <w:color w:val="auto"/>
        </w:rPr>
      </w:pPr>
      <w:r>
        <w:rPr>
          <w:rFonts w:ascii="Arial" w:cs="Arial" w:eastAsia="Arial" w:hAnsi="Arial"/>
          <w:sz w:val="22"/>
          <w:szCs w:val="22"/>
          <w:color w:val="auto"/>
        </w:rPr>
        <w:t>COUNTY</w:t>
      </w:r>
    </w:p>
    <w:p>
      <w:pPr>
        <w:spacing w:after="0" w:line="1" w:lineRule="exact"/>
        <w:rPr>
          <w:sz w:val="20"/>
          <w:szCs w:val="20"/>
          <w:color w:val="auto"/>
        </w:rPr>
      </w:pPr>
    </w:p>
    <w:p>
      <w:pPr>
        <w:ind w:left="80"/>
        <w:spacing w:after="0"/>
        <w:rPr>
          <w:sz w:val="20"/>
          <w:szCs w:val="20"/>
          <w:color w:val="auto"/>
        </w:rPr>
      </w:pPr>
      <w:r>
        <w:rPr>
          <w:rFonts w:ascii="Arial" w:cs="Arial" w:eastAsia="Arial" w:hAnsi="Arial"/>
          <w:sz w:val="22"/>
          <w:szCs w:val="22"/>
          <w:color w:val="auto"/>
        </w:rPr>
        <w:t>ATTORNEY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2180" w:val="left"/>
        </w:tabs>
        <w:rPr>
          <w:sz w:val="20"/>
          <w:szCs w:val="20"/>
          <w:color w:val="auto"/>
        </w:rPr>
      </w:pPr>
      <w:r>
        <w:rPr>
          <w:rFonts w:ascii="Arial" w:cs="Arial" w:eastAsia="Arial" w:hAnsi="Arial"/>
          <w:sz w:val="22"/>
          <w:szCs w:val="22"/>
          <w:color w:val="auto"/>
        </w:rPr>
        <w:t>STATE OF ARIZONA</w:t>
        <w:tab/>
        <w:t>)</w:t>
      </w:r>
    </w:p>
    <w:p>
      <w:pPr>
        <w:ind w:left="220"/>
        <w:spacing w:after="0" w:line="204" w:lineRule="auto"/>
        <w:rPr>
          <w:sz w:val="20"/>
          <w:szCs w:val="20"/>
          <w:color w:val="auto"/>
        </w:rPr>
      </w:pPr>
      <w:r>
        <w:rPr>
          <w:rFonts w:ascii="Arial" w:cs="Arial" w:eastAsia="Arial" w:hAnsi="Arial"/>
          <w:sz w:val="22"/>
          <w:szCs w:val="22"/>
          <w:color w:val="auto"/>
        </w:rPr>
        <w:t>) ss.</w:t>
      </w:r>
    </w:p>
    <w:p>
      <w:pPr>
        <w:spacing w:after="0" w:line="1" w:lineRule="exact"/>
        <w:rPr>
          <w:sz w:val="20"/>
          <w:szCs w:val="20"/>
          <w:color w:val="auto"/>
        </w:rPr>
      </w:pPr>
    </w:p>
    <w:p>
      <w:pPr>
        <w:spacing w:after="0"/>
        <w:tabs>
          <w:tab w:leader="none" w:pos="1580" w:val="left"/>
        </w:tabs>
        <w:rPr>
          <w:sz w:val="20"/>
          <w:szCs w:val="20"/>
          <w:color w:val="auto"/>
        </w:rPr>
      </w:pPr>
      <w:r>
        <w:rPr>
          <w:rFonts w:ascii="Arial" w:cs="Arial" w:eastAsia="Arial" w:hAnsi="Arial"/>
          <w:sz w:val="22"/>
          <w:szCs w:val="22"/>
          <w:color w:val="auto"/>
        </w:rPr>
        <w:t>County of Pinal</w:t>
      </w:r>
      <w:r>
        <w:rPr>
          <w:sz w:val="20"/>
          <w:szCs w:val="20"/>
          <w:color w:val="auto"/>
        </w:rPr>
        <w:tab/>
      </w:r>
      <w:r>
        <w:rPr>
          <w:rFonts w:ascii="Arial" w:cs="Arial" w:eastAsia="Arial" w:hAnsi="Arial"/>
          <w:sz w:val="18"/>
          <w:szCs w:val="18"/>
          <w:color w:val="auto"/>
        </w:rPr>
        <w:t>)</w:t>
      </w:r>
    </w:p>
    <w:p>
      <w:pPr>
        <w:spacing w:after="0" w:line="161"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The foregoing was acknowledged before me this 6th day of July, 2022, by Leo Lew, the County Manager of Pinal County, an Arizona political subdivision, on behalf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Tanya Martinez</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 Lease</w:t>
      </w:r>
    </w:p>
    <w:p>
      <w:pPr>
        <w:sectPr>
          <w:pgSz w:w="11900" w:h="16838" w:orient="portrait"/>
          <w:cols w:equalWidth="0" w:num="1">
            <w:col w:w="11240"/>
          </w:cols>
          <w:pgMar w:left="320" w:top="1395" w:right="339" w:bottom="1440" w:gutter="0" w:footer="0" w:header="0"/>
        </w:sectPr>
      </w:pPr>
    </w:p>
    <w:bookmarkStart w:id="122" w:name="page123"/>
    <w:bookmarkEnd w:id="122"/>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tabs>
          <w:tab w:leader="none" w:pos="8220" w:val="left"/>
        </w:tabs>
        <w:rPr>
          <w:sz w:val="20"/>
          <w:szCs w:val="20"/>
          <w:color w:val="auto"/>
        </w:rPr>
      </w:pPr>
      <w:r>
        <w:rPr>
          <w:rFonts w:ascii="Arial" w:cs="Arial" w:eastAsia="Arial" w:hAnsi="Arial"/>
          <w:sz w:val="22"/>
          <w:szCs w:val="22"/>
          <w:color w:val="auto"/>
        </w:rPr>
        <w:t>My Commission Expires:</w:t>
      </w:r>
      <w:r>
        <w:rPr>
          <w:sz w:val="20"/>
          <w:szCs w:val="20"/>
          <w:color w:val="auto"/>
        </w:rPr>
        <w:tab/>
      </w:r>
      <w:r>
        <w:rPr>
          <w:rFonts w:ascii="Arial" w:cs="Arial" w:eastAsia="Arial" w:hAnsi="Arial"/>
          <w:sz w:val="19"/>
          <w:szCs w:val="19"/>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16459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64592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22"/>
          <w:szCs w:val="22"/>
          <w:color w:val="auto"/>
        </w:rPr>
        <w:t>October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1035685</wp:posOffset>
            </wp:positionV>
            <wp:extent cx="17570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My Commission Expires:</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October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32143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Signature Page - Lease</w:t>
      </w:r>
    </w:p>
    <w:p>
      <w:pPr>
        <w:sectPr>
          <w:pgSz w:w="11900" w:h="16838" w:orient="portrait"/>
          <w:cols w:equalWidth="0" w:num="1">
            <w:col w:w="10139"/>
          </w:cols>
          <w:pgMar w:left="320" w:top="1440" w:right="1440" w:bottom="1440" w:gutter="0" w:footer="0" w:header="0"/>
        </w:sectPr>
      </w:pPr>
    </w:p>
    <w:bookmarkStart w:id="123" w:name="page124"/>
    <w:bookmarkEnd w:id="123"/>
    <w:p>
      <w:pPr>
        <w:ind w:left="3900"/>
        <w:spacing w:after="0"/>
        <w:rPr>
          <w:sz w:val="20"/>
          <w:szCs w:val="20"/>
          <w:color w:val="auto"/>
        </w:rPr>
      </w:pPr>
      <w:r>
        <w:rPr>
          <w:rFonts w:ascii="Arial" w:cs="Arial" w:eastAsia="Arial" w:hAnsi="Arial"/>
          <w:sz w:val="22"/>
          <w:szCs w:val="22"/>
          <w:b w:val="1"/>
          <w:bCs w:val="1"/>
          <w:color w:val="auto"/>
        </w:rPr>
        <w:t>TENANT</w:t>
      </w:r>
      <w:r>
        <w:rPr>
          <w:rFonts w:ascii="Arial" w:cs="Arial" w:eastAsia="Arial" w:hAnsi="Arial"/>
          <w:sz w:val="22"/>
          <w:szCs w:val="22"/>
          <w:color w:val="auto"/>
        </w:rPr>
        <w:t>:</w:t>
      </w:r>
    </w:p>
    <w:p>
      <w:pPr>
        <w:spacing w:after="0" w:line="38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LUCID USA, INC.</w:t>
      </w:r>
      <w:r>
        <w:rPr>
          <w:rFonts w:ascii="Arial" w:cs="Arial" w:eastAsia="Arial" w:hAnsi="Arial"/>
          <w:sz w:val="22"/>
          <w:szCs w:val="22"/>
          <w:color w:val="auto"/>
        </w:rPr>
        <w:t>,</w:t>
      </w:r>
    </w:p>
    <w:p>
      <w:pPr>
        <w:ind w:left="3900"/>
        <w:spacing w:after="0"/>
        <w:rPr>
          <w:sz w:val="20"/>
          <w:szCs w:val="20"/>
          <w:color w:val="auto"/>
        </w:rPr>
      </w:pPr>
      <w:r>
        <w:rPr>
          <w:rFonts w:ascii="Arial" w:cs="Arial" w:eastAsia="Arial" w:hAnsi="Arial"/>
          <w:sz w:val="22"/>
          <w:szCs w:val="22"/>
          <w:color w:val="auto"/>
        </w:rPr>
        <w:t>a Delaware corporation</w:t>
      </w:r>
    </w:p>
    <w:p>
      <w:pPr>
        <w:spacing w:after="0" w:line="3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Sherry House</w:t>
      </w:r>
      <w:r>
        <w:rPr>
          <w:rFonts w:ascii="Arial" w:cs="Arial" w:eastAsia="Arial" w:hAnsi="Arial"/>
          <w:sz w:val="22"/>
          <w:szCs w:val="22"/>
          <w:color w:val="auto"/>
        </w:rPr>
        <w:t>__________</w:t>
      </w:r>
    </w:p>
    <w:p>
      <w:pPr>
        <w:ind w:left="3900"/>
        <w:spacing w:after="0" w:line="204" w:lineRule="auto"/>
        <w:rPr>
          <w:sz w:val="20"/>
          <w:szCs w:val="20"/>
          <w:color w:val="auto"/>
        </w:rPr>
      </w:pPr>
      <w:r>
        <w:rPr>
          <w:rFonts w:ascii="Arial" w:cs="Arial" w:eastAsia="Arial" w:hAnsi="Arial"/>
          <w:sz w:val="22"/>
          <w:szCs w:val="22"/>
          <w:color w:val="auto"/>
        </w:rPr>
        <w:t>Name: Sherry House</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Its: Chief Financial Officer</w:t>
      </w:r>
    </w:p>
    <w:p>
      <w:pPr>
        <w:spacing w:after="0" w:line="358" w:lineRule="exact"/>
        <w:rPr>
          <w:sz w:val="20"/>
          <w:szCs w:val="20"/>
          <w:color w:val="auto"/>
        </w:rPr>
      </w:pPr>
    </w:p>
    <w:p>
      <w:pPr>
        <w:spacing w:after="0"/>
        <w:tabs>
          <w:tab w:leader="none" w:pos="2180" w:val="left"/>
        </w:tabs>
        <w:rPr>
          <w:sz w:val="20"/>
          <w:szCs w:val="20"/>
          <w:color w:val="auto"/>
        </w:rPr>
      </w:pPr>
      <w:r>
        <w:rPr>
          <w:rFonts w:ascii="Arial" w:cs="Arial" w:eastAsia="Arial" w:hAnsi="Arial"/>
          <w:sz w:val="22"/>
          <w:szCs w:val="22"/>
          <w:color w:val="auto"/>
        </w:rPr>
        <w:t>STATE OF ARIZONA</w:t>
        <w:tab/>
        <w:t>)</w:t>
      </w:r>
    </w:p>
    <w:p>
      <w:pPr>
        <w:ind w:left="220"/>
        <w:spacing w:after="0" w:line="204" w:lineRule="auto"/>
        <w:rPr>
          <w:sz w:val="20"/>
          <w:szCs w:val="20"/>
          <w:color w:val="auto"/>
        </w:rPr>
      </w:pPr>
      <w:r>
        <w:rPr>
          <w:rFonts w:ascii="Arial" w:cs="Arial" w:eastAsia="Arial" w:hAnsi="Arial"/>
          <w:sz w:val="22"/>
          <w:szCs w:val="22"/>
          <w:color w:val="auto"/>
        </w:rPr>
        <w:t>) ss.</w:t>
      </w:r>
    </w:p>
    <w:p>
      <w:pPr>
        <w:spacing w:after="0" w:line="1" w:lineRule="exact"/>
        <w:rPr>
          <w:sz w:val="20"/>
          <w:szCs w:val="20"/>
          <w:color w:val="auto"/>
        </w:rPr>
      </w:pPr>
    </w:p>
    <w:p>
      <w:pPr>
        <w:spacing w:after="0"/>
        <w:tabs>
          <w:tab w:leader="none" w:pos="1580" w:val="left"/>
        </w:tabs>
        <w:rPr>
          <w:sz w:val="20"/>
          <w:szCs w:val="20"/>
          <w:color w:val="auto"/>
        </w:rPr>
      </w:pPr>
      <w:r>
        <w:rPr>
          <w:rFonts w:ascii="Arial" w:cs="Arial" w:eastAsia="Arial" w:hAnsi="Arial"/>
          <w:sz w:val="22"/>
          <w:szCs w:val="22"/>
          <w:color w:val="auto"/>
        </w:rPr>
        <w:t>County of Pinal</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-29210</wp:posOffset>
            </wp:positionV>
            <wp:extent cx="4191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19100" cy="8890"/>
                    </a:xfrm>
                    <a:prstGeom prst="rect">
                      <a:avLst/>
                    </a:prstGeom>
                    <a:noFill/>
                  </pic:spPr>
                </pic:pic>
              </a:graphicData>
            </a:graphic>
          </wp:anchor>
        </w:drawing>
      </w:r>
    </w:p>
    <w:p>
      <w:pPr>
        <w:spacing w:after="0" w:line="141"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The foregoing was acknowledged before me this _</w:t>
      </w:r>
      <w:r>
        <w:rPr>
          <w:rFonts w:ascii="Arial" w:cs="Arial" w:eastAsia="Arial" w:hAnsi="Arial"/>
          <w:sz w:val="22"/>
          <w:szCs w:val="22"/>
          <w:u w:val="single" w:color="auto"/>
          <w:color w:val="auto"/>
        </w:rPr>
        <w:t>4</w:t>
      </w:r>
      <w:r>
        <w:rPr>
          <w:rFonts w:ascii="Arial" w:cs="Arial" w:eastAsia="Arial" w:hAnsi="Arial"/>
          <w:sz w:val="22"/>
          <w:szCs w:val="22"/>
          <w:color w:val="auto"/>
        </w:rPr>
        <w:t>_ day of August, 2022, by Sherry House, the Chief Financial Officer of LUCID USA, INC., a Delaware corporation, on behalf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/s/ Adrienne Elene Cox</w:t>
      </w:r>
    </w:p>
    <w:p>
      <w:pPr>
        <w:spacing w:after="0" w:line="21" w:lineRule="exact"/>
        <w:rPr>
          <w:sz w:val="20"/>
          <w:szCs w:val="20"/>
          <w:color w:val="auto"/>
        </w:rPr>
      </w:pPr>
    </w:p>
    <w:p>
      <w:pPr>
        <w:ind w:left="8720"/>
        <w:spacing w:after="0"/>
        <w:rPr>
          <w:sz w:val="20"/>
          <w:szCs w:val="20"/>
          <w:color w:val="auto"/>
        </w:rPr>
      </w:pPr>
      <w:r>
        <w:rPr>
          <w:rFonts w:ascii="Arial" w:cs="Arial" w:eastAsia="Arial" w:hAnsi="Arial"/>
          <w:sz w:val="22"/>
          <w:szCs w:val="22"/>
          <w:color w:val="auto"/>
        </w:rPr>
        <w:t>/s/ Adrienne Elene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-157480</wp:posOffset>
            </wp:positionV>
            <wp:extent cx="7123430" cy="127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23430" cy="127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0560"/>
        <w:spacing w:after="0"/>
        <w:rPr>
          <w:sz w:val="20"/>
          <w:szCs w:val="20"/>
          <w:color w:val="auto"/>
        </w:rPr>
      </w:pPr>
      <w:r>
        <w:rPr>
          <w:rFonts w:ascii="Arial" w:cs="Arial" w:eastAsia="Arial" w:hAnsi="Arial"/>
          <w:sz w:val="22"/>
          <w:szCs w:val="22"/>
          <w:color w:val="auto"/>
        </w:rPr>
        <w:t>Notary</w:t>
      </w:r>
    </w:p>
    <w:p>
      <w:pPr>
        <w:ind w:left="8680"/>
        <w:spacing w:after="0"/>
        <w:rPr>
          <w:sz w:val="20"/>
          <w:szCs w:val="20"/>
          <w:color w:val="auto"/>
        </w:rPr>
      </w:pPr>
      <w:r>
        <w:rPr>
          <w:rFonts w:ascii="Arial" w:cs="Arial" w:eastAsia="Arial" w:hAnsi="Arial"/>
          <w:sz w:val="22"/>
          <w:szCs w:val="22"/>
          <w:color w:val="auto"/>
        </w:rPr>
        <w:t>Public</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My Commission Expires:</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February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32143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 Lease</w:t>
      </w:r>
    </w:p>
    <w:p>
      <w:pPr>
        <w:sectPr>
          <w:pgSz w:w="11900" w:h="16838" w:orient="portrait"/>
          <w:cols w:equalWidth="0" w:num="1">
            <w:col w:w="11240"/>
          </w:cols>
          <w:pgMar w:left="320" w:top="1395"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Peter Rawlinson, certify that:</w:t>
      </w:r>
    </w:p>
    <w:p>
      <w:pPr>
        <w:spacing w:after="0" w:line="117"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Lucid Group, Inc.;</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7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right="140" w:hanging="320"/>
        <w:spacing w:after="0" w:line="277"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Date: November 8, 2022</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Rawlinson</w:t>
            </w:r>
          </w:p>
        </w:tc>
      </w:tr>
      <w:tr>
        <w:trPr>
          <w:trHeight w:val="222"/>
        </w:trPr>
        <w:tc>
          <w:tcPr>
            <w:tcW w:w="592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Peter Rawlinson</w:t>
            </w:r>
          </w:p>
        </w:tc>
      </w:tr>
      <w:tr>
        <w:trPr>
          <w:trHeight w:val="230"/>
        </w:trPr>
        <w:tc>
          <w:tcPr>
            <w:tcW w:w="592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r>
        <w:trPr>
          <w:trHeight w:val="230"/>
        </w:trPr>
        <w:tc>
          <w:tcPr>
            <w:tcW w:w="5920" w:type="dxa"/>
            <w:vAlign w:val="bottom"/>
          </w:tcPr>
          <w:p>
            <w:pPr>
              <w:spacing w:after="0"/>
              <w:rPr>
                <w:sz w:val="20"/>
                <w:szCs w:val="20"/>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039"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Sherry House, certify that:</w:t>
      </w:r>
    </w:p>
    <w:p>
      <w:pPr>
        <w:spacing w:after="0" w:line="117"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Lucid Group, Inc.;</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7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right="140" w:hanging="320"/>
        <w:spacing w:after="0" w:line="277"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Date: November 8, 2022</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Sherry House</w:t>
            </w:r>
          </w:p>
        </w:tc>
      </w:tr>
      <w:tr>
        <w:trPr>
          <w:trHeight w:val="222"/>
        </w:trPr>
        <w:tc>
          <w:tcPr>
            <w:tcW w:w="592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Sherry House</w:t>
            </w:r>
          </w:p>
        </w:tc>
      </w:tr>
      <w:tr>
        <w:trPr>
          <w:trHeight w:val="230"/>
        </w:trPr>
        <w:tc>
          <w:tcPr>
            <w:tcW w:w="592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230"/>
        </w:trPr>
        <w:tc>
          <w:tcPr>
            <w:tcW w:w="5920" w:type="dxa"/>
            <w:vAlign w:val="bottom"/>
          </w:tcPr>
          <w:p>
            <w:pPr>
              <w:spacing w:after="0"/>
              <w:rPr>
                <w:sz w:val="20"/>
                <w:szCs w:val="20"/>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039"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 (FURNISHED HEREWITH)</w:t>
      </w:r>
    </w:p>
    <w:p>
      <w:pPr>
        <w:spacing w:after="0" w:line="18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 Peter Rawlinson, Chief Executive Officer of Lucid Group, Inc. (the “Company”), certify, as of the date hereof and solely for purposes of and pursuant to 18 U.S.C. Section 1350 as adopted pursuant to Section 906 of the Sarbanes-Oxley Act of 2002, that, to my knowledge:</w:t>
      </w:r>
    </w:p>
    <w:p>
      <w:pPr>
        <w:spacing w:after="0" w:line="62" w:lineRule="exact"/>
        <w:rPr>
          <w:sz w:val="20"/>
          <w:szCs w:val="20"/>
          <w:color w:val="auto"/>
        </w:rPr>
      </w:pPr>
    </w:p>
    <w:p>
      <w:pPr>
        <w:ind w:left="820" w:hanging="326"/>
        <w:spacing w:after="0" w:line="277" w:lineRule="auto"/>
        <w:tabs>
          <w:tab w:leader="none" w:pos="81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September 30, 2022 (the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Date: November 8, 2022</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Rawlinson</w:t>
            </w:r>
          </w:p>
        </w:tc>
      </w:tr>
      <w:tr>
        <w:trPr>
          <w:trHeight w:val="222"/>
        </w:trPr>
        <w:tc>
          <w:tcPr>
            <w:tcW w:w="592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Peter Rawlinson</w:t>
            </w:r>
          </w:p>
        </w:tc>
      </w:tr>
      <w:tr>
        <w:trPr>
          <w:trHeight w:val="230"/>
        </w:trPr>
        <w:tc>
          <w:tcPr>
            <w:tcW w:w="592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r>
        <w:trPr>
          <w:trHeight w:val="230"/>
        </w:trPr>
        <w:tc>
          <w:tcPr>
            <w:tcW w:w="592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039"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 (FURNISHED HEREWITH)</w:t>
      </w:r>
    </w:p>
    <w:p>
      <w:pPr>
        <w:spacing w:after="0" w:line="18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 Sherry House, Chief Financial Officer of Lucid Group, Inc. (the “Company”), certify, as of the date hereof and solely for purposes of and pursuant to 18 U.S.C. Section 1350 as adopted pursuant to Section 906 of the Sarbanes-Oxley Act of 2002, that, to my knowledge:</w:t>
      </w:r>
    </w:p>
    <w:p>
      <w:pPr>
        <w:spacing w:after="0" w:line="62" w:lineRule="exact"/>
        <w:rPr>
          <w:sz w:val="20"/>
          <w:szCs w:val="20"/>
          <w:color w:val="auto"/>
        </w:rPr>
      </w:pPr>
    </w:p>
    <w:p>
      <w:pPr>
        <w:ind w:left="820" w:hanging="326"/>
        <w:spacing w:after="0" w:line="277" w:lineRule="auto"/>
        <w:tabs>
          <w:tab w:leader="none" w:pos="81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September 30, 2022 (the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Date: November 8, 2022</w:t>
            </w:r>
          </w:p>
        </w:tc>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Sherry House</w:t>
            </w:r>
          </w:p>
        </w:tc>
      </w:tr>
      <w:tr>
        <w:trPr>
          <w:trHeight w:val="222"/>
        </w:trPr>
        <w:tc>
          <w:tcPr>
            <w:tcW w:w="5700" w:type="dxa"/>
            <w:vAlign w:val="bottom"/>
          </w:tcPr>
          <w:p>
            <w:pPr>
              <w:spacing w:after="0"/>
              <w:rPr>
                <w:sz w:val="19"/>
                <w:szCs w:val="19"/>
                <w:color w:val="auto"/>
              </w:rPr>
            </w:pPr>
          </w:p>
        </w:tc>
        <w:tc>
          <w:tcPr>
            <w:tcW w:w="5480" w:type="dxa"/>
            <w:vAlign w:val="bottom"/>
          </w:tcPr>
          <w:p>
            <w:pPr>
              <w:ind w:left="40"/>
              <w:spacing w:after="0"/>
              <w:rPr>
                <w:sz w:val="20"/>
                <w:szCs w:val="20"/>
                <w:color w:val="auto"/>
              </w:rPr>
            </w:pPr>
            <w:r>
              <w:rPr>
                <w:rFonts w:ascii="Arial" w:cs="Arial" w:eastAsia="Arial" w:hAnsi="Arial"/>
                <w:sz w:val="18"/>
                <w:szCs w:val="18"/>
                <w:color w:val="auto"/>
              </w:rPr>
              <w:t>Sherry House</w:t>
            </w:r>
          </w:p>
        </w:tc>
      </w:tr>
      <w:tr>
        <w:trPr>
          <w:trHeight w:val="229"/>
        </w:trPr>
        <w:tc>
          <w:tcPr>
            <w:tcW w:w="5700" w:type="dxa"/>
            <w:vAlign w:val="bottom"/>
          </w:tcPr>
          <w:p>
            <w:pPr>
              <w:spacing w:after="0"/>
              <w:rPr>
                <w:sz w:val="19"/>
                <w:szCs w:val="19"/>
                <w:color w:val="auto"/>
              </w:rPr>
            </w:pPr>
          </w:p>
        </w:tc>
        <w:tc>
          <w:tcPr>
            <w:tcW w:w="54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5700" w:type="dxa"/>
            <w:vAlign w:val="bottom"/>
          </w:tcPr>
          <w:p>
            <w:pPr>
              <w:spacing w:after="0"/>
              <w:rPr>
                <w:sz w:val="20"/>
                <w:szCs w:val="20"/>
                <w:color w:val="auto"/>
              </w:rPr>
            </w:pPr>
          </w:p>
        </w:tc>
        <w:tc>
          <w:tcPr>
            <w:tcW w:w="548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x"/>
      <w:numFmt w:val="bullet"/>
      <w:start w:val="1"/>
    </w:lvl>
  </w:abstractNum>
  <w:abstractNum w:abstractNumId="1">
    <w:nsid w:val="2463B9EA"/>
    <w:multiLevelType w:val="hybridMultilevel"/>
    <w:lvl w:ilvl="0">
      <w:lvlJc w:val="left"/>
      <w:lvlText w:val="o"/>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1)"/>
      <w:numFmt w:val="decimal"/>
      <w:start w:val="1"/>
    </w:lvl>
  </w:abstractNum>
  <w:abstractNum w:abstractNumId="4">
    <w:nsid w:val="2D517796"/>
    <w:multiLevelType w:val="hybridMultilevel"/>
    <w:lvl w:ilvl="0">
      <w:lvlJc w:val="left"/>
      <w:lvlText w:val="(%1)"/>
      <w:numFmt w:val="decimal"/>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1)"/>
      <w:numFmt w:val="decimal"/>
      <w:start w:val="1"/>
    </w:lvl>
  </w:abstractNum>
  <w:abstractNum w:abstractNumId="8">
    <w:nsid w:val="70A64E2A"/>
    <w:multiLevelType w:val="hybridMultilevel"/>
    <w:lvl w:ilvl="0">
      <w:lvlJc w:val="left"/>
      <w:lvlText w:val="(%1)"/>
      <w:numFmt w:val="decimal"/>
      <w:start w:val="3"/>
    </w:lvl>
  </w:abstractNum>
  <w:abstractNum w:abstractNumId="9">
    <w:nsid w:val="6A2342EC"/>
    <w:multiLevelType w:val="hybridMultilevel"/>
    <w:lvl w:ilvl="0">
      <w:lvlJc w:val="left"/>
      <w:lvlText w:val="(%1)"/>
      <w:numFmt w:val="decimal"/>
      <w:start w:val="1"/>
    </w:lvl>
  </w:abstractNum>
  <w:abstractNum w:abstractNumId="10">
    <w:nsid w:val="2A487CB0"/>
    <w:multiLevelType w:val="hybridMultilevel"/>
    <w:lvl w:ilvl="0">
      <w:lvlJc w:val="left"/>
      <w:lvlText w:val="(%1)"/>
      <w:numFmt w:val="decimal"/>
      <w:start w:val="1"/>
    </w:lvl>
  </w:abstractNum>
  <w:abstractNum w:abstractNumId="11">
    <w:nsid w:val="1D4ED43B"/>
    <w:multiLevelType w:val="hybridMultilevel"/>
    <w:lvl w:ilvl="0">
      <w:lvlJc w:val="left"/>
      <w:lvlText w:val="(%1)"/>
      <w:numFmt w:val="decimal"/>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1)"/>
      <w:numFmt w:val="decimal"/>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1)"/>
      <w:numFmt w:val="decimal"/>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1."/>
      <w:numFmt w:val="upperLetter"/>
      <w:start w:val="1"/>
    </w:lvl>
  </w:abstractNum>
  <w:abstractNum w:abstractNumId="47">
    <w:nsid w:val="3F6AB60F"/>
    <w:multiLevelType w:val="hybridMultilevel"/>
    <w:lvl w:ilvl="0">
      <w:lvlJc w:val="left"/>
      <w:lvlText w:val="(%1)"/>
      <w:numFmt w:val="lowerLetter"/>
      <w:start w:val="3"/>
    </w:lvl>
  </w:abstractNum>
  <w:abstractNum w:abstractNumId="48">
    <w:nsid w:val="61574095"/>
    <w:multiLevelType w:val="hybridMultilevel"/>
    <w:lvl w:ilvl="0">
      <w:lvlJc w:val="left"/>
      <w:lvlText w:val="%1."/>
      <w:numFmt w:val="upperLetter"/>
      <w:start w:val="1"/>
    </w:lvl>
  </w:abstractNum>
  <w:abstractNum w:abstractNumId="49">
    <w:nsid w:val="7E0C57B1"/>
    <w:multiLevelType w:val="hybridMultilevel"/>
    <w:lvl w:ilvl="0">
      <w:lvlJc w:val="left"/>
      <w:lvlText w:val="%1."/>
      <w:numFmt w:val="upperLetter"/>
      <w:start w:val="2"/>
    </w:lvl>
  </w:abstractNum>
  <w:abstractNum w:abstractNumId="50">
    <w:nsid w:val="77AE35EB"/>
    <w:multiLevelType w:val="hybridMultilevel"/>
    <w:lvl w:ilvl="0">
      <w:lvlJc w:val="left"/>
      <w:lvlText w:val="%1."/>
      <w:numFmt w:val="upperLetter"/>
      <w:start w:val="1"/>
    </w:lvl>
  </w:abstractNum>
  <w:abstractNum w:abstractNumId="51">
    <w:nsid w:val="579BE4F1"/>
    <w:multiLevelType w:val="hybridMultilevel"/>
    <w:lvl w:ilvl="0">
      <w:lvlJc w:val="left"/>
      <w:lvlText w:val="%1."/>
      <w:numFmt w:val="upperLetter"/>
      <w:start w:val="1"/>
    </w:lvl>
    <w:lvl w:ilvl="1">
      <w:lvlJc w:val="left"/>
      <w:lvlText w:val="(%2)"/>
      <w:numFmt w:val="lowerRoman"/>
      <w:start w:val="1"/>
    </w:lvl>
  </w:abstractNum>
  <w:abstractNum w:abstractNumId="52">
    <w:nsid w:val="310C50B3"/>
    <w:multiLevelType w:val="hybridMultilevel"/>
    <w:lvl w:ilvl="0">
      <w:lvlJc w:val="left"/>
      <w:lvlText w:val="(%1)"/>
      <w:numFmt w:val="lowerRoman"/>
      <w:start w:val="2"/>
    </w:lvl>
  </w:abstractNum>
  <w:abstractNum w:abstractNumId="53">
    <w:nsid w:val="5FF87E05"/>
    <w:multiLevelType w:val="hybridMultilevel"/>
    <w:lvl w:ilvl="0">
      <w:lvlJc w:val="left"/>
      <w:lvlText w:val="%1"/>
      <w:numFmt w:val="upperLetter"/>
      <w:start w:val="1"/>
    </w:lvl>
    <w:lvl w:ilvl="1">
      <w:lvlJc w:val="left"/>
      <w:lvlText w:val="(%2)"/>
      <w:numFmt w:val="lowerRoman"/>
      <w:start w:val="3"/>
    </w:lvl>
  </w:abstractNum>
  <w:abstractNum w:abstractNumId="54">
    <w:nsid w:val="2F305DEF"/>
    <w:multiLevelType w:val="hybridMultilevel"/>
    <w:lvl w:ilvl="0">
      <w:lvlJc w:val="left"/>
      <w:lvlText w:val="%1."/>
      <w:numFmt w:val="upperLetter"/>
      <w:start w:val="1"/>
    </w:lvl>
    <w:lvl w:ilvl="1">
      <w:lvlJc w:val="left"/>
      <w:lvlText w:val="%2"/>
      <w:numFmt w:val="lowerRoman"/>
      <w:start w:val="1"/>
    </w:lvl>
  </w:abstractNum>
  <w:abstractNum w:abstractNumId="55">
    <w:nsid w:val="25A70BF7"/>
    <w:multiLevelType w:val="hybridMultilevel"/>
    <w:lvl w:ilvl="0">
      <w:lvlJc w:val="left"/>
      <w:lvlText w:val="(%1)"/>
      <w:numFmt w:val="lowerRoman"/>
      <w:start w:val="6"/>
    </w:lvl>
    <w:lvl w:ilvl="1">
      <w:lvlJc w:val="left"/>
      <w:lvlText w:val="(%2)"/>
      <w:numFmt w:val="decimal"/>
      <w:start w:val="1"/>
    </w:lvl>
  </w:abstractNum>
  <w:abstractNum w:abstractNumId="56">
    <w:nsid w:val="1DBABF00"/>
    <w:multiLevelType w:val="hybridMultilevel"/>
    <w:lvl w:ilvl="0">
      <w:lvlJc w:val="left"/>
      <w:lvlText w:val="%1"/>
      <w:numFmt w:val="upperLetter"/>
      <w:start w:val="1"/>
    </w:lvl>
    <w:lvl w:ilvl="1">
      <w:lvlJc w:val="left"/>
      <w:lvlText w:val="(%2)"/>
      <w:numFmt w:val="decimal"/>
      <w:start w:val="1"/>
    </w:lvl>
  </w:abstractNum>
  <w:abstractNum w:abstractNumId="57">
    <w:nsid w:val="4AD084E9"/>
    <w:multiLevelType w:val="hybridMultilevel"/>
    <w:lvl w:ilvl="0">
      <w:lvlJc w:val="left"/>
      <w:lvlText w:val="%1."/>
      <w:numFmt w:val="upperLetter"/>
      <w:start w:val="1"/>
    </w:lvl>
    <w:lvl w:ilvl="1">
      <w:lvlJc w:val="left"/>
      <w:lvlText w:val="%2"/>
      <w:numFmt w:val="decimal"/>
      <w:start w:val="1"/>
    </w:lvl>
  </w:abstractNum>
  <w:abstractNum w:abstractNumId="58">
    <w:nsid w:val="1F48EAA1"/>
    <w:multiLevelType w:val="hybridMultilevel"/>
    <w:lvl w:ilvl="0">
      <w:lvlJc w:val="left"/>
      <w:lvlText w:val="%1."/>
      <w:numFmt w:val="upperLetter"/>
      <w:start w:val="1"/>
    </w:lvl>
    <w:lvl w:ilvl="1">
      <w:lvlJc w:val="left"/>
      <w:lvlText w:val="(%2)"/>
      <w:numFmt w:val="lowerRoman"/>
      <w:start w:val="1"/>
    </w:lvl>
  </w:abstractNum>
  <w:abstractNum w:abstractNumId="59">
    <w:nsid w:val="1381823A"/>
    <w:multiLevelType w:val="hybridMultilevel"/>
    <w:lvl w:ilvl="0">
      <w:lvlJc w:val="left"/>
      <w:lvlText w:val="%1."/>
      <w:numFmt w:val="upperLetter"/>
      <w:start w:val="1"/>
    </w:lvl>
  </w:abstractNum>
  <w:abstractNum w:abstractNumId="60">
    <w:nsid w:val="5DB70AE5"/>
    <w:multiLevelType w:val="hybridMultilevel"/>
    <w:lvl w:ilvl="0">
      <w:lvlJc w:val="left"/>
      <w:lvlText w:val="%1."/>
      <w:numFmt w:val="upperLetter"/>
      <w:start w:val="1"/>
    </w:lvl>
  </w:abstractNum>
  <w:abstractNum w:abstractNumId="61">
    <w:nsid w:val="100F8FCA"/>
    <w:multiLevelType w:val="hybridMultilevel"/>
    <w:lvl w:ilvl="0">
      <w:lvlJc w:val="left"/>
      <w:lvlText w:val="%1."/>
      <w:numFmt w:val="upperLetter"/>
      <w:start w:val="1"/>
    </w:lvl>
  </w:abstractNum>
  <w:abstractNum w:abstractNumId="62">
    <w:nsid w:val="6590700B"/>
    <w:multiLevelType w:val="hybridMultilevel"/>
    <w:lvl w:ilvl="0">
      <w:lvlJc w:val="left"/>
      <w:lvlText w:val="%1."/>
      <w:numFmt w:val="upperLetter"/>
      <w:start w:val="1"/>
    </w:lvl>
  </w:abstractNum>
  <w:abstractNum w:abstractNumId="63">
    <w:nsid w:val="15014ACB"/>
    <w:multiLevelType w:val="hybridMultilevel"/>
    <w:lvl w:ilvl="0">
      <w:lvlJc w:val="left"/>
      <w:lvlText w:val="%1."/>
      <w:numFmt w:val="upperLetter"/>
      <w:start w:val="2"/>
    </w:lvl>
  </w:abstractNum>
  <w:abstractNum w:abstractNumId="64">
    <w:nsid w:val="5F5E7FD0"/>
    <w:multiLevelType w:val="hybridMultilevel"/>
    <w:lvl w:ilvl="0">
      <w:lvlJc w:val="left"/>
      <w:lvlText w:val="%1."/>
      <w:numFmt w:val="upperLetter"/>
      <w:start w:val="5"/>
    </w:lvl>
  </w:abstractNum>
  <w:abstractNum w:abstractNumId="65">
    <w:nsid w:val="98A3148"/>
    <w:multiLevelType w:val="hybridMultilevel"/>
    <w:lvl w:ilvl="0">
      <w:lvlJc w:val="left"/>
      <w:lvlText w:val="%1."/>
      <w:numFmt w:val="upperLetter"/>
      <w:start w:val="1"/>
    </w:lvl>
    <w:lvl w:ilvl="1">
      <w:lvlJc w:val="left"/>
      <w:lvlText w:val="(%2)"/>
      <w:numFmt w:val="lowerRoman"/>
      <w:start w:val="1"/>
    </w:lvl>
  </w:abstractNum>
  <w:abstractNum w:abstractNumId="66">
    <w:nsid w:val="799D0247"/>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67">
    <w:nsid w:val="6B94764"/>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7"/>
    </w:lvl>
  </w:abstractNum>
  <w:abstractNum w:abstractNumId="68">
    <w:nsid w:val="42C296BD"/>
    <w:multiLevelType w:val="hybridMultilevel"/>
    <w:lvl w:ilvl="0">
      <w:lvlJc w:val="left"/>
      <w:lvlText w:val="%1."/>
      <w:numFmt w:val="upperLetter"/>
      <w:start w:val="1"/>
    </w:lvl>
  </w:abstractNum>
  <w:abstractNum w:abstractNumId="69">
    <w:nsid w:val="168E121F"/>
    <w:multiLevelType w:val="hybridMultilevel"/>
    <w:lvl w:ilvl="0">
      <w:lvlJc w:val="left"/>
      <w:lvlText w:val="%1."/>
      <w:numFmt w:val="upperLetter"/>
      <w:start w:val="2"/>
    </w:lvl>
  </w:abstractNum>
  <w:abstractNum w:abstractNumId="70">
    <w:nsid w:val="1EBA5D23"/>
    <w:multiLevelType w:val="hybridMultilevel"/>
    <w:lvl w:ilvl="0">
      <w:lvlJc w:val="left"/>
      <w:lvlText w:val="%1."/>
      <w:numFmt w:val="upperLetter"/>
      <w:start w:val="1"/>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lowerLetter"/>
      <w:start w:val="1"/>
    </w:lvl>
  </w:abstractNum>
  <w:abstractNum w:abstractNumId="74">
    <w:nsid w:val="7BD3EE7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2022-11-08T16:14:10Z</dcterms:created>
  <dcterms:modified xsi:type="dcterms:W3CDTF">2022-11-08T16:14:10Z</dcterms:modified>
</cp:coreProperties>
</file>