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6052-8_424b5.htm"/>
        <w:bookmarkStart w:id="1" w:name="kstm24260528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18"/>
        </w:rPr>
        <w:t>Filed Pursuant to Rule 424(b)(5)</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 Registration No. 333-282677</w:t>
      </w:r>
      <w:r>
        <w:rPr>
          <w:rFonts w:ascii="Times New Roman;Times;serif" w:hAnsi="Times New Roman;Times;serif"/>
          <w:b/>
          <w:i w:val="false"/>
          <w:caps w:val="false"/>
          <w:smallCaps w:val="false"/>
          <w:color w:val="000000"/>
          <w:sz w:val="18"/>
        </w:rPr>
        <w:t>​</w:t>
      </w:r>
    </w:p>
    <w:p>
      <w:pPr>
        <w:pStyle w:val="TextBody"/>
        <w:bidi w:val="0"/>
        <w:spacing w:lineRule="atLeast" w:line="240" w:before="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October 16,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262,446,931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9338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5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Lucid Group,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offering 262,446,931 shares of our Class A common stock, par value $0.0001 per share (“common stock”).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common stock is listed on the Nasdaq Global Select Market (“Nasdaq”) under the symbol “LCID.” On October 16, 2024, the last reported sale price of our common stock was $3.28 per share.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 addition, our majority stockholder and affiliate of the Public Investment Fund (“PIF”), Ayar Third Investment Company (“Ayar”), has agreed to purchase from us, subject to certain conditions, 374,717,927 shares of our common stock in a private placement concurrently with this offering at the same price per share initially to be paid by BofA Securities, Inc. (the “underwriter”) for this offering as set forth in this prospectus supplement. We refer to this private placement as the “Ayar Investment.” The number of shares that Ayar has agreed to purchase from us in the Ayar Investment is equal to the number of shares of our common stock that we are selling in this offering, multiplied by a ratio (the “Ayar Investment Ratio”), the numerator of which is approximately 58.8%, which is the number of shares of our outstanding common stock owned by PIF (which does not include any share of common stock issuable upon conversion of our outstanding Series A and Series B Preferred Stock (together, the “Redeemable Convertible Preferred Stock”)), both directly and indirectly through Ayar, as a percentage of the total number of shares of our common stock outstanding as of September 30, 2024, and the denominator of which is approximately 41.2%, rounded down to the nearest whole share. Following the sale in this offering and the sale in the Ayar Investment, PIF, both directly and indirectly through Ayar, is expected to continue to own approximately 58.8% of our outstanding common stock (which does not include any share of common stock issuable upon conversion of our outstanding Redeemable Convertible Preferred Stock). We expect to settle the Ayar Investment on or about October 31, 2024 for an aggregate purchase price of approximately $970.2 million, after expenses.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Ayar Investment is not a part of this offering and is in addition to the 262,446,931 shares that we are selling in this offering. The completion of the Ayar Investment is contingent on the completion of this offering as well as certain other customary closing conditions.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underwriter has agreed to purchase the shares of common stock from us at a price of $2.591 per share, which will result in approximately $679.5 million of net proceeds to us, after expenses (assuming no exercise by the underwriter of the overallotment option described below).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underwriter may offer the shares of common stock from time to time for sale in one or more transactions on the Nasdaq, in the over-the-counter market, through negotiated transactions or otherwise at market prices prevailing at the time of sale, at prices related to prevailing market prices or at negotiated prices. The underwriter may effect such transactions by selling shares of common stock to or through dealers, and such dealers may receive compensation in the form of discounts, concessions or commissions from the underwriter and / or purchasers of shares of common stock for whom they may act as agents or to whom they may sell as principal. See “Underwriting.”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have granted the underwriter an option to purchase up to 39,367,040 additional shares of our common stock, solely to cover overallotments, for 30 days after the date of this prospectus supplement. Ayar has agreed to purchase from us in the Ayar Investment, in the event that the underwriter exercises its overallotment option to purchase additional shares of our common stock, additional shares of our common stock, in a number equal to the number of additional shares purchased by the underwriter, multiplied by the Ayar Investment Ratio. </w:t>
      </w:r>
    </w:p>
    <w:p>
      <w:pPr>
        <w:pStyle w:val="TextBody"/>
        <w:bidi w:val="0"/>
        <w:spacing w:lineRule="atLeast" w:line="210" w:before="80" w:after="283"/>
        <w:ind w:left="17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Delivery of the shares of our common stock will be made on or about October 18, 2024. </w:t>
      </w:r>
    </w:p>
    <w:p>
      <w:pPr>
        <w:pStyle w:val="TextBody"/>
        <w:bidi w:val="0"/>
        <w:spacing w:lineRule="atLeast" w:line="210" w:before="80" w:after="283"/>
        <w:ind w:left="1393" w:right="0" w:firstLine="400"/>
        <w:jc w:val="left"/>
        <w:rPr/>
      </w:pPr>
      <w:r>
        <w:rPr>
          <w:rFonts w:ascii="Times New Roman;Times;serif" w:hAnsi="Times New Roman;Times;serif"/>
          <w:b/>
          <w:i w:val="false"/>
          <w:caps w:val="false"/>
          <w:smallCaps w:val="false"/>
          <w:color w:val="000000"/>
          <w:spacing w:val="-4"/>
          <w:sz w:val="18"/>
        </w:rPr>
        <w:t xml:space="preserve">Investing in our common stock involves certain risks. You should review carefully the risks and uncertainties described under the heading “Risk Factors” beginning on page </w:t>
      </w:r>
      <w:hyperlink w:anchor="tRIFA">
        <w:r>
          <w:rPr>
            <w:rStyle w:val="InternetLink"/>
          </w:rPr>
          <w:t>S-8</w:t>
        </w:r>
      </w:hyperlink>
      <w:r>
        <w:rPr>
          <w:rFonts w:ascii="Times New Roman;Times;serif" w:hAnsi="Times New Roman;Times;serif"/>
          <w:b/>
          <w:i w:val="false"/>
          <w:caps w:val="false"/>
          <w:smallCaps w:val="false"/>
          <w:color w:val="000000"/>
          <w:spacing w:val="-4"/>
          <w:sz w:val="18"/>
        </w:rPr>
        <w:t xml:space="preserve"> of this prospectus supplement and in the documents incorporated by reference into this prospectus supplement.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31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BofA Securities</w:t>
      </w:r>
      <w:r>
        <w:rPr>
          <w:rFonts w:ascii="Times New Roman;Times;serif" w:hAnsi="Times New Roman;Times;serif"/>
          <w:b/>
          <w:i w:val="false"/>
          <w:caps w:val="false"/>
          <w:smallCaps w:val="false"/>
          <w:color w:val="000000"/>
          <w:spacing w:val="7"/>
          <w:sz w:val="36"/>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October 16, 2024</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12"/>
        <w:gridCol w:w="109"/>
        <w:gridCol w:w="109"/>
        <w:gridCol w:w="109"/>
        <w:gridCol w:w="109"/>
        <w:gridCol w:w="600"/>
        <w:gridCol w:w="109"/>
        <w:gridCol w:w="155"/>
      </w:tblGrid>
      <w:tr>
        <w:trPr/>
        <w:tc>
          <w:tcPr>
            <w:tcW w:w="75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283"/>
              <w:jc w:val="left"/>
              <w:rPr/>
            </w:pPr>
            <w:r>
              <w:rPr>
                <w:spacing w:val="-4"/>
                <w:u w:val="single"/>
              </w:rPr>
              <w:t>Prospectus Supplement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ATPS">
              <w:r>
                <w:rPr>
                  <w:rStyle w:val="InternetLink"/>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ATPS">
              <w:r>
                <w:rPr>
                  <w:rStyle w:val="InternetLink"/>
                  <w:spacing w:val="4"/>
                </w:rPr>
                <w:t>S-ii</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S-iii</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SNRF">
              <w:r>
                <w:rPr>
                  <w:rStyle w:val="InternetLink"/>
                  <w:spacing w:val="4"/>
                </w:rPr>
                <w:t>S-iv</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S-1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THOF">
              <w:r>
                <w:rPr>
                  <w:rStyle w:val="InternetLink"/>
                  <w:spacing w:val="4"/>
                </w:rPr>
                <w:t>S-3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SHCF">
              <w:r>
                <w:rPr>
                  <w:rStyle w:val="InternetLink"/>
                  <w:spacing w:val="4"/>
                </w:rPr>
                <w:t xml:space="preserve">SUMMARY HISTORICAL CONSOLIDATED FINANCIAL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SHCF">
              <w:r>
                <w:rPr>
                  <w:rStyle w:val="InternetLink"/>
                  <w:spacing w:val="4"/>
                </w:rPr>
                <w:t>S-5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RIFA">
              <w:r>
                <w:rPr>
                  <w:rStyle w:val="InternetLink"/>
                  <w:spacing w:val="4"/>
                </w:rPr>
                <w:t>S-8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S-13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DIV">
              <w:r>
                <w:rPr>
                  <w:rStyle w:val="InternetLink"/>
                  <w:spacing w:val="4"/>
                </w:rPr>
                <w:t xml:space="preserve">DIVIDENDS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DIV">
              <w:r>
                <w:rPr>
                  <w:rStyle w:val="InternetLink"/>
                  <w:spacing w:val="4"/>
                </w:rPr>
                <w:t>S-14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CAF5">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CAF5">
              <w:r>
                <w:rPr>
                  <w:rStyle w:val="InternetLink"/>
                  <w:spacing w:val="4"/>
                </w:rPr>
                <w:t>S-15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AYIN">
              <w:r>
                <w:rPr>
                  <w:rStyle w:val="InternetLink"/>
                  <w:spacing w:val="4"/>
                </w:rPr>
                <w:t xml:space="preserve">AYAR INVESTMENT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AYIN">
              <w:r>
                <w:rPr>
                  <w:rStyle w:val="InternetLink"/>
                  <w:spacing w:val="4"/>
                </w:rPr>
                <w:t>S-17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UNF7">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UNF7">
              <w:r>
                <w:rPr>
                  <w:rStyle w:val="InternetLink"/>
                  <w:spacing w:val="4"/>
                </w:rPr>
                <w:t>S-19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USFI">
              <w:r>
                <w:rPr>
                  <w:rStyle w:val="InternetLink"/>
                  <w:spacing w:val="4"/>
                </w:rPr>
                <w:t xml:space="preserve">U.S. FEDERAL INCOME TAX CONSIDERATIONS FOR NON-U.S. 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USFI">
              <w:r>
                <w:rPr>
                  <w:rStyle w:val="InternetLink"/>
                  <w:spacing w:val="4"/>
                </w:rPr>
                <w:t>S-26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2"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S-29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2"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right"/>
              <w:rPr/>
            </w:pPr>
            <w:hyperlink w:anchor="tEXP">
              <w:r>
                <w:rPr>
                  <w:rStyle w:val="InternetLink"/>
                  <w:spacing w:val="4"/>
                </w:rPr>
                <w:t>S-29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283"/>
              <w:jc w:val="left"/>
              <w:rPr/>
            </w:pPr>
            <w:r>
              <w:rPr>
                <w:spacing w:val="-4"/>
                <w:u w:val="single"/>
              </w:rPr>
              <w:t>Prospectus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WYCF2">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WYCF2">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FUT">
              <w:r>
                <w:rPr>
                  <w:rStyle w:val="InternetLink"/>
                  <w:spacing w:val="4"/>
                </w:rPr>
                <w:t xml:space="preserve">FREQUENTLY USED TERMS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FUT">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CNRF">
              <w:r>
                <w:rPr>
                  <w:rStyle w:val="InternetLink"/>
                  <w:spacing w:val="4"/>
                </w:rPr>
                <w:t>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THCO">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RIFA2">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RIFA2">
              <w:r>
                <w:rPr>
                  <w:rStyle w:val="InternetLink"/>
                  <w:spacing w:val="4"/>
                </w:rPr>
                <w:t>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UOP2">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UOP2">
              <w:r>
                <w:rPr>
                  <w:rStyle w:val="InternetLink"/>
                  <w:spacing w:val="4"/>
                </w:rPr>
                <w:t>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S">
              <w:r>
                <w:rPr>
                  <w:rStyle w:val="InternetLink"/>
                  <w:spacing w:val="4"/>
                </w:rPr>
                <w:t xml:space="preserve">DESCRIPTION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S">
              <w:r>
                <w:rPr>
                  <w:rStyle w:val="InternetLink"/>
                  <w:spacing w:val="4"/>
                </w:rPr>
                <w:t>10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CS">
              <w:r>
                <w:rPr>
                  <w:rStyle w:val="InternetLink"/>
                  <w:spacing w:val="4"/>
                </w:rPr>
                <w:t>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DS">
              <w:r>
                <w:rPr>
                  <w:rStyle w:val="InternetLink"/>
                  <w:spacing w:val="4"/>
                </w:rPr>
                <w:t>22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DS1">
              <w:r>
                <w:rPr>
                  <w:rStyle w:val="InternetLink"/>
                  <w:spacing w:val="4"/>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W">
              <w:r>
                <w:rPr>
                  <w:rStyle w:val="InternetLink"/>
                  <w:spacing w:val="4"/>
                </w:rPr>
                <w:t>27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SR">
              <w:r>
                <w:rPr>
                  <w:rStyle w:val="InternetLink"/>
                  <w:spacing w:val="4"/>
                </w:rPr>
                <w:t>28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PC">
              <w:r>
                <w:rPr>
                  <w:rStyle w:val="InternetLink"/>
                  <w:spacing w:val="4"/>
                </w:rPr>
                <w:t xml:space="preserve">DESCRIPTION OF PURCHASE CONTRACTS AND PURCHASE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PC">
              <w:r>
                <w:rPr>
                  <w:rStyle w:val="InternetLink"/>
                  <w:spacing w:val="4"/>
                </w:rPr>
                <w:t>29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SESE">
              <w:r>
                <w:rPr>
                  <w:rStyle w:val="InternetLink"/>
                  <w:spacing w:val="4"/>
                </w:rPr>
                <w:t>30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POD">
              <w:r>
                <w:rPr>
                  <w:rStyle w:val="InternetLink"/>
                  <w:spacing w:val="4"/>
                </w:rPr>
                <w:t>31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LEMA2">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LEMA2">
              <w:r>
                <w:rPr>
                  <w:rStyle w:val="InternetLink"/>
                  <w:spacing w:val="4"/>
                </w:rPr>
                <w:t>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EXP2">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EXP2">
              <w:r>
                <w:rPr>
                  <w:rStyle w:val="InternetLink"/>
                  <w:spacing w:val="4"/>
                </w:rPr>
                <w:t>33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both this prospectus supplement and the accompanying prospectus, together with additional information described under the heading “Where You Can Find More Information”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 have authorized anyone to provide you with information that is in addition to or different from the information included or incorporated by reference into this prospectus supplement or the accompanying prospectus. Neither we nor the underwriter are making an offer of these securities in any jurisdiction where such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WY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relating to the common stock offered by this prospectus supplement. This prospectus supplement and the accompanying prospectus are a part of that registration statement, which includes additional information not contained in this prospectus supplement or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any offering (other than documents or information deemed to have been furnished and not filed in accordance with SEC rules): </w:t>
      </w:r>
    </w:p>
    <w:p>
      <w:pPr>
        <w:pStyle w:val="TextBody"/>
        <w:bidi w:val="0"/>
        <w:spacing w:lineRule="atLeast" w:line="240" w:before="120" w:after="0"/>
        <w:ind w:left="1993" w:right="0" w:hanging="0"/>
        <w:jc w:val="left"/>
        <w:rPr/>
      </w:pPr>
      <w:hyperlink r:id="rId3">
        <w:r>
          <w:rPr>
            <w:rStyle w:val="InternetLink"/>
          </w:rPr>
          <w:t>our Annual Report on Form 10-K for the fiscal year ended December 31, 2023, filed with the SEC on February 27,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2024 and June 30, 2024, filed with the SEC on </w:t>
      </w:r>
      <w:hyperlink r:id="rId4">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August 5, 2024</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into our </w:t>
      </w:r>
      <w:hyperlink r:id="rId6">
        <w:r>
          <w:rPr>
            <w:rStyle w:val="InternetLink"/>
          </w:rPr>
          <w:t>Annual Report on 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from </w:t>
      </w:r>
      <w:hyperlink r:id="rId7">
        <w:r>
          <w:rPr>
            <w:rStyle w:val="InternetLink"/>
          </w:rPr>
          <w:t>our Definitive Proxy Statement on Schedule 14A filed with the SEC on April 25,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8">
        <w:r>
          <w:rPr>
            <w:rStyle w:val="InternetLink"/>
          </w:rPr>
          <w:t>January 26, 2024</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15, 2024</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March 25, 2024</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March 29, 2024</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(only with respect to Item 5.02 therein), </w:t>
      </w:r>
      <w:hyperlink r:id="rId13">
        <w:r>
          <w:rPr>
            <w:rStyle w:val="InternetLink"/>
          </w:rPr>
          <w:t>May 24, 2024</w:t>
        </w:r>
      </w:hyperlink>
      <w:r>
        <w:rPr>
          <w:rFonts w:ascii="Times New Roman;Times;serif" w:hAnsi="Times New Roman;Times;serif"/>
          <w:b w:val="false"/>
          <w:i w:val="false"/>
          <w:caps w:val="false"/>
          <w:smallCaps w:val="false"/>
          <w:color w:val="000000"/>
          <w:spacing w:val="4"/>
          <w:sz w:val="20"/>
        </w:rPr>
        <w:t xml:space="preserve"> (only with respect to Item 2.05 therein), </w:t>
      </w:r>
      <w:hyperlink r:id="rId14">
        <w:r>
          <w:rPr>
            <w:rStyle w:val="InternetLink"/>
          </w:rPr>
          <w:t>June 6, 2024</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August 5, 2024</w:t>
        </w:r>
      </w:hyperlink>
      <w:r>
        <w:rPr>
          <w:rFonts w:ascii="Times New Roman;Times;serif" w:hAnsi="Times New Roman;Times;serif"/>
          <w:b w:val="false"/>
          <w:i w:val="false"/>
          <w:caps w:val="false"/>
          <w:smallCaps w:val="false"/>
          <w:color w:val="000000"/>
          <w:spacing w:val="4"/>
          <w:sz w:val="20"/>
        </w:rPr>
        <w:t xml:space="preserve"> and </w:t>
      </w:r>
      <w:hyperlink r:id="rId16">
        <w:r>
          <w:rPr>
            <w:rStyle w:val="InternetLink"/>
          </w:rPr>
          <w:t>August 19,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securities contained in our Registration Statement on </w:t>
      </w:r>
      <w:hyperlink r:id="rId17">
        <w:r>
          <w:rPr>
            <w:rStyle w:val="InternetLink"/>
          </w:rPr>
          <w:t>Form 8-A (File No. 001-39408), filed with the SEC on July 23, 2021</w:t>
        </w:r>
      </w:hyperlink>
      <w:r>
        <w:rPr>
          <w:rFonts w:ascii="Times New Roman;Times;serif" w:hAnsi="Times New Roman;Times;serif"/>
          <w:b w:val="false"/>
          <w:i w:val="false"/>
          <w:caps w:val="false"/>
          <w:smallCaps w:val="false"/>
          <w:color w:val="000000"/>
          <w:spacing w:val="4"/>
          <w:sz w:val="20"/>
        </w:rPr>
        <w:t xml:space="preserve"> and any amendments or reports filed for the purpose of updating such description, including </w:t>
      </w:r>
      <w:hyperlink r:id="rId18">
        <w:r>
          <w:rPr>
            <w:rStyle w:val="InternetLink"/>
          </w:rPr>
          <w:t>Exhibit 4.6</w:t>
        </w:r>
      </w:hyperlink>
      <w:r>
        <w:rPr>
          <w:rFonts w:ascii="Times New Roman;Times;serif" w:hAnsi="Times New Roman;Times;serif"/>
          <w:b w:val="false"/>
          <w:i w:val="false"/>
          <w:caps w:val="false"/>
          <w:smallCaps w:val="false"/>
          <w:color w:val="000000"/>
          <w:spacing w:val="4"/>
          <w:sz w:val="20"/>
        </w:rPr>
        <w:t xml:space="preserve"> of our Annual Report on Form 10-K for the fiscal year ended December 31, 2023, filed with the SEC on February 27, 2024.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we are not incorporating by reference any documents, portions of documents, exhibits or other information, including any information and related exhibits under Item 2.02 and Item 7.01 of Current Report on Form 8-K, that are deemed to have been furnished to, rather than filed with, the SEC. 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maintains a website at www.sec.gov, from which you can inspect these documents and other information we have filed electronically with the SEC. You may also request copies of these documents, at no cost to you, by contacting us by mail: 7373 Gateway Boulevard, Newark, CA 94560, Attention: Investor Relations,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any amendments to those documents. However, we will not send you exhibits to these documents, unless those exhibits have been specifically incorporated by reference into this prospectus supplement. The information contained on, or that may be accessed through, our website is not part of, and is not incorporated into, this prospectus supplement or the registration statement of which it forms a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changes in overall demand for our products and services and cancellation of orders for our vehicles;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our Redeemable Convertible Preferred Stock;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prices and availability of commodities, our supply chain, logistics, inventory management and quality control, and our ability to complete the tooling of our manufacturing facilities over time and scale production of the Lucid Air and other vehicles;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uncertainty of our projected financial information;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timing of expected business milestones and commercial product launches;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expansion of our manufacturing facility, the construction of new manufacturing facilities and the increase of our production capacity;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expenses and control costs;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future market adoption of our offerings;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the pace and depth of electric vehicle adoption generally on our business;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regulatory requirements, governmental incentives and fuel and energy prices;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rapidly innovate;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or maintain partnerships with original equipment manufacturers, vendors and technology providers, including our ability to realize the anticipated benefits of our transaction with Aston Martin;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growth and recruit and retain key employees, including our chief executive officer and executive team;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vehicle recalls; </w:t>
      </w:r>
      <w:r>
        <mc:AlternateContent>
          <mc:Choice Requires="wps">
            <w:drawing>
              <wp:anchor behindDoc="0" distT="0" distB="0" distL="254000" distR="0" simplePos="0" locked="0" layoutInCell="1" allowOverlap="1" relativeHeight="24">
                <wp:simplePos x="0" y="0"/>
                <wp:positionH relativeFrom="column">
                  <wp:align>left</wp:align>
                </wp:positionH>
                <wp:positionV relativeFrom="line">
                  <wp:posOffset>635</wp:posOffset>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and expand our brand, and capture additional market share, and the risks associated with negative press or reputational harm;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utilize zero emission vehicle credits and obtain and utilize certain tax and other incentives;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conduct equity, equity-linked, or debt financing in the future;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interest and principal on our indebtedness;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changes to vehicle specifications which may impact performance, pricing, and other expectations;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potential litigation, government and regulatory proceedings, investigations and inquiries;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intended use of the net proceeds from this offering;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this prospectus supplement or our other filings with the SEC.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and in our Annual Report on Form 10-K incorporated by reference herein and as may be updated in this prospectus supplement and in filings we make with the SEC.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and does not contain all of the information that may be important to you. This summary is qualified in its entirety by the more detailed information included in or incorporated by reference into this prospectus supplement and the accompanying prospectus. Before making your investment decision with respect to our securities, you should carefully read this entire prospectus supplement, the accompanying prospectus and the documents incorporated by reference that are described in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Lucid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technology company with a mission to create exceptional experiences to drive the world forward. Our focus on in-house hardware and software innovation, vertical integration, and a “clean sheet” approach to engineering and design have led to the developments such as the award-winning Lucid Air.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Preliminary Financial Results and Operational Information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our financial results for the quarter ended September 30, 2024 are not yet finalized, we estimate that our financial results and certain operational information will fall within the following ranges. </w:t>
      </w:r>
    </w:p>
    <w:tbl>
      <w:tblPr>
        <w:tblW w:w="8092" w:type="dxa"/>
        <w:jc w:val="left"/>
        <w:tblInd w:w="1393" w:type="dxa"/>
        <w:tblLayout w:type="fixed"/>
        <w:tblCellMar>
          <w:top w:w="0" w:type="dxa"/>
          <w:left w:w="0" w:type="dxa"/>
          <w:bottom w:w="28" w:type="dxa"/>
          <w:right w:w="0" w:type="dxa"/>
        </w:tblCellMar>
      </w:tblPr>
      <w:tblGrid>
        <w:gridCol w:w="4482"/>
        <w:gridCol w:w="109"/>
        <w:gridCol w:w="109"/>
        <w:gridCol w:w="109"/>
        <w:gridCol w:w="226"/>
        <w:gridCol w:w="1066"/>
        <w:gridCol w:w="109"/>
        <w:gridCol w:w="109"/>
        <w:gridCol w:w="109"/>
        <w:gridCol w:w="109"/>
        <w:gridCol w:w="226"/>
        <w:gridCol w:w="1066"/>
        <w:gridCol w:w="109"/>
        <w:gridCol w:w="154"/>
      </w:tblGrid>
      <w:tr>
        <w:trPr/>
        <w:tc>
          <w:tcPr>
            <w:tcW w:w="44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Quarter Ended</w:t>
            </w:r>
            <w:r>
              <w:rPr/>
              <w:t xml:space="preserve"> </w:t>
              <w:br/>
            </w:r>
            <w:r>
              <w:rPr>
                <w:spacing w:val="-3"/>
              </w:rPr>
              <w:t xml:space="preserve">September 30,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8" w:type="dxa"/>
            <w:gridSpan w:val="10"/>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54" w:type="dxa"/>
            <w:tcBorders/>
            <w:tcMar>
              <w:bottom w:w="0" w:type="dxa"/>
            </w:tcMar>
            <w:vAlign w:val="center"/>
          </w:tcPr>
          <w:p>
            <w:pPr>
              <w:pStyle w:val="TableContents"/>
              <w:bidi w:val="0"/>
              <w:spacing w:before="0" w:after="283"/>
              <w:jc w:val="left"/>
              <w:rPr/>
            </w:pPr>
            <w:r>
              <w:rPr/>
              <w:t>​</w:t>
            </w:r>
          </w:p>
        </w:tc>
      </w:tr>
      <w:tr>
        <w:trPr/>
        <w:tc>
          <w:tcPr>
            <w:tcW w:w="4482" w:type="dxa"/>
            <w:tcBorders/>
            <w:shd w:fill="CCEEFF" w:val="clear"/>
            <w:tcMar>
              <w:bottom w:w="0" w:type="dxa"/>
            </w:tcMar>
            <w:vAlign w:val="center"/>
          </w:tcPr>
          <w:p>
            <w:pPr>
              <w:pStyle w:val="TableContents"/>
              <w:bidi w:val="0"/>
              <w:spacing w:before="0" w:after="283"/>
              <w:jc w:val="left"/>
              <w:rPr/>
            </w:pPr>
            <w:r>
              <w:rPr>
                <w:spacing w:val="-4"/>
              </w:rPr>
              <w:t>Statement of Operations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82" w:type="dxa"/>
            <w:tcBorders/>
            <w:tcMar>
              <w:bottom w:w="0" w:type="dxa"/>
            </w:tcMar>
            <w:vAlign w:val="center"/>
          </w:tcPr>
          <w:p>
            <w:pPr>
              <w:pStyle w:val="TableContents"/>
              <w:bidi w:val="0"/>
              <w:spacing w:before="0" w:after="0"/>
              <w:ind w:left="200" w:right="0" w:hanging="0"/>
              <w:jc w:val="left"/>
              <w:rPr>
                <w:spacing w:val="4"/>
              </w:rPr>
            </w:pPr>
            <w:r>
              <w:rPr>
                <w:spacing w:val="4"/>
              </w:rPr>
              <w:t xml:space="preserve">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(765,000)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82" w:type="dxa"/>
            <w:tcBorders/>
            <w:tcMar>
              <w:bottom w:w="0" w:type="dxa"/>
            </w:tcMar>
            <w:vAlign w:val="center"/>
          </w:tcPr>
          <w:p>
            <w:pPr>
              <w:pStyle w:val="TableContents"/>
              <w:bidi w:val="0"/>
              <w:spacing w:before="0" w:after="283"/>
              <w:jc w:val="left"/>
              <w:rPr/>
            </w:pPr>
            <w:r>
              <w:rPr>
                <w:spacing w:val="-4"/>
              </w:rPr>
              <w:t>Balance Sheet Data: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Cash and cash equivalents (at end of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82" w:type="dxa"/>
            <w:tcBorders/>
            <w:tcMar>
              <w:bottom w:w="0" w:type="dxa"/>
            </w:tcMar>
            <w:vAlign w:val="center"/>
          </w:tcPr>
          <w:p>
            <w:pPr>
              <w:pStyle w:val="TableContents"/>
              <w:bidi w:val="0"/>
              <w:spacing w:before="0" w:after="0"/>
              <w:ind w:left="200" w:right="0" w:hanging="0"/>
              <w:jc w:val="left"/>
              <w:rPr>
                <w:spacing w:val="4"/>
              </w:rPr>
            </w:pPr>
            <w:r>
              <w:rPr>
                <w:spacing w:val="4"/>
              </w:rPr>
              <w:t xml:space="preserve">Long-term debt (at end of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2,000,800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30, 2024, we had approximately $5.16 billion of total liquidity, consisting of (i) approximately $4,027 million in cash, cash equivalents, and investment balances, (ii) $750 million available under our DDTL Credit Facility (as defined in the section of this prospectus titled “Capitalization”), (iii) approximately $160 million available under our ABL Credit Facility and (iv) approximately $219 million available under our GIB Credit Facility (as defined in the section of this prospectus titled “Capitalization”). Availability under our ABL Credit Facility (as defined in the section of this prospectus titled “Capitalization”) is subject to the value of eligible assets in the borrowing base.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during the quarter ended September 30, 2024, we produced 1,805 vehicles and delivered 2,781 vehicles, of which approximately 8% were subject to operating lease accounting.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Inclusion of Preliminary Financial and Operational Information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preliminary financial results and operational information included in this prospectus supplement has been prepared by, and is the responsibility of, our management. KPMG LLP has not audited, reviewed, examined, compiled nor applied agreed-upon procedures with respect to the preliminary financial results and operational information included in this prospectus supplement and, accordingly, KPMG LLP does not express an opinion or any other form of assurance with respect thereto. The KPMG LLP report referenced in this document relates to our previously issued financial statements. It does not extend to the preliminary financial results and operational information included in this prospectus supplement and should not be read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preliminary financial results presented above are subject to the completion of our financial closing procedures, which have not yet been completed. Our actual financial results for the quarter ended September 30, 2024 will not be available until after this offering is completed and may vary from these estimates. For example, during the course of the preparation of the respective financial statements and the related notes, additional items that would require adjustments to be made to the preliminary financial results presented above may be identified. While we do not expect that our actual results for the quarter ended September 30, 2024 will vary materially from the preliminary financial results presented above, there can be no assurance that these estimates will be realized, and estimates are subject to risks and uncertainties, many of which are not within our control. See “Risk Factors” and “Special Note Regarding Forward-Looking Statements.”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supplement or the accompanying prospectus, and you should not consider it a part of this prospectus supplement or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Controlled Company Exemption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HO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is a brief summary of certain terms of this offering. For a more complete description of the terms of the common stock offered hereby, see the “Description of Capital Stock” section of the accompanying prospectus.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Any investment in our common stock involves a high degree of risk. You should carefully consider the information set forth under “Risk Factors” beginning on page </w:t>
      </w:r>
      <w:hyperlink w:anchor="tRIFA">
        <w:r>
          <w:rPr>
            <w:rStyle w:val="InternetLink"/>
          </w:rPr>
          <w:t>S-8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“Risk Factors” in our </w:t>
      </w:r>
      <w:hyperlink r:id="rId19">
        <w:r>
          <w:rPr>
            <w:rStyle w:val="InternetLink"/>
          </w:rPr>
          <w:t>Quarterly Report on Form 10-Q for the three months ended June 30, 2024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other information included or incorporated by reference into this prospectus supplement and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 Group, Inc., a Delaware corporation.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offered by 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262,446,931 shares of our common stock.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 to purchase additional shares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underwriter has an option to purchase up to 39,367,040 additional shares of our common stock, solely to cover overallotments. The underwriter may exercise this overallotment option at any time within 30 days from the date of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Ayar Investment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Ayar has agreed to purchase from us, subject to certain conditions, 374,717,927 shares of our common stock in a private placement concurrently with this offering at the same price per share initially to be paid by the underwriter for this offering as set forth in this prospectus supplement. We refer to this private placement as the “Ayar Investment.” The number of shares that Ayar has agreed to purchase from us in the Ayar Investment is equal to the number of shares of our common stock that we are selling in this offering, multiplied by a ratio, the numerator of which is approximately 58.8%, which is the number of shares of our outstanding common stock owned by PIF (which does not include any share of common stock issuable upon conversion of the outstanding Redeemable Convertible Preferred Stock), both directly and indirectly through Ayar, as a percentage of the total number of shares of our common stock outstanding as of September 30, 2024, and the denominator of which is approximately 41.2%, rounded down to the nearest whole share. Following the sale in this offering and the sale in the Ayar Investment, PIF, both directly and indirectly through Ayar, is expected to continue to own approximately 58.8% of our outstanding common stock (which does not include any share of common stock issuable upon conversion of the outstanding Redeemable Convertible Preferred Stock). We expect to settle the Ayar Investment on or about October 31, 2024, for an aggregate purchase price of approximately $970.2 million, after expenses.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Ayar Investment is not a part of this offering and is in addition to the 262,446,931 shares that we are selling in this offering. The completion of the Ayar Investment is contingent on the completion of this offering as well as certain other customary closing conditions.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Ayar has agreed to purchase from us in the Ayar Investment, in the event that the underwriter exercises its overallotment option to purchase additional shares of our common stock, additional shares of our common stock, in a number equal to the number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shares purchased by the underwriter, multiplied by the Ayar Investment Ratio. </w:t>
      </w:r>
    </w:p>
    <w:p>
      <w:pPr>
        <w:pStyle w:val="TextBody"/>
        <w:bidi w:val="0"/>
        <w:spacing w:lineRule="atLeast" w:line="230" w:before="142"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shares of our common stock purchased by Ayar in the Ayar Investment will be subject to our existing investor rights agreement, as such agreement may be amended from time to time (the “Investor Rights Agreement”), including the requirement to include such shares on a resale registration statement to be filed by us. </w:t>
      </w:r>
    </w:p>
    <w:p>
      <w:pPr>
        <w:pStyle w:val="TextBody"/>
        <w:bidi w:val="0"/>
        <w:spacing w:lineRule="atLeast" w:line="240" w:before="116"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to be outstanding after this offering and the Ayar Investment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2,974,683,400 shares of our common stock (or 3,070,258,129 shares if the underwriter exercises its overallotment option to purchase additional shares in full and Ayar purchases its pro rata additional shares as described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the sale of our common stock in this offering and the Ayar Investment for general corporate purposes, which may include, among other things, capital expenditures and working capital. See “Use of Proceeds” on page </w:t>
      </w:r>
      <w:hyperlink w:anchor="tUOP">
        <w:r>
          <w:rPr>
            <w:rStyle w:val="InternetLink"/>
          </w:rPr>
          <w:t>S-13</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16"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Nasdaq Global Select Market ticker symbol for common </w:t>
      </w:r>
      <w:r>
        <w:rPr>
          <w:rFonts w:ascii="Times New Roman;Times;serif" w:hAnsi="Times New Roman;Times;serif"/>
          <w:b/>
          <w:i w:val="false"/>
          <w:caps w:val="false"/>
          <w:smallCaps w:val="false"/>
          <w:color w:val="000000"/>
          <w:sz w:val="20"/>
          <w:bdr w:val="single" w:sz="8" w:space="1" w:color="000000"/>
        </w:rPr>
        <w:br/>
      </w:r>
      <w:r>
        <w:rPr>
          <w:rFonts w:ascii="Times New Roman;Times;serif" w:hAnsi="Times New Roman;Times;serif"/>
          <w:b/>
          <w:i w:val="false"/>
          <w:caps w:val="false"/>
          <w:smallCaps w:val="false"/>
          <w:color w:val="000000"/>
          <w:spacing w:val="-4"/>
          <w:sz w:val="20"/>
          <w:bdr w:val="single" w:sz="8" w:space="1" w:color="000000"/>
        </w:rPr>
        <w:t>stock </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LCID.”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risk. See “Risk Factors” in this prospectus supplement and “Risk Factors” in our </w:t>
      </w:r>
      <w:hyperlink r:id="rId20">
        <w:r>
          <w:rPr>
            <w:rStyle w:val="InternetLink"/>
          </w:rPr>
          <w:t>Quarterly Report on Form 10-Q for the three months ended June 30, 2024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other information included or incorporated by reference into this prospectus supplement and the accompanying prospectus for a discussion of factors you should carefully consider before deciding to invest in our common stock.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Transfer agent and registrar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Equiniti Trust Company.</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we specifically state otherwise or the context otherwise requires, the information above is as of September 30, 2024, does not give effect to any awards of stock options or restricted stock units (“RSUs”) after September 30, 2024 or the exercise of warrants or stock options or the settlement of RSUs after September 30, 2024, and excludes: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44,350,000 shares of our common stock issuable upon the exercise of warrants outstanding as of September 30, 2024, each with an exercise price of $11.50 per share; </w:t>
      </w:r>
      <w:r>
        <mc:AlternateContent>
          <mc:Choice Requires="wps">
            <w:drawing>
              <wp:anchor behindDoc="0" distT="635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28,845,241 shares of our common stock issuable upon the exercise of stock options outstanding as of September 30, 2024, with a weighted average exercise price of $1.86 per share; </w:t>
      </w:r>
      <w:r>
        <mc:AlternateContent>
          <mc:Choice Requires="wps">
            <w:drawing>
              <wp:anchor behindDoc="0" distT="635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116,174,433 shares subject to RSUs outstanding as of September 30, 2024; </w:t>
      </w:r>
      <w:r>
        <mc:AlternateContent>
          <mc:Choice Requires="wps">
            <w:drawing>
              <wp:anchor behindDoc="0" distT="635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51,144,960 shares of our common stock reserved for future issuance under the Lucid Group, Inc. Amended and Restated 2021 Stock Incentive Plan (including the Lucid Group, Inc. 2021 Employee Stock Purchase Plan, attached thereto, the “Incentive Plan”) as of September 30, 2024; </w:t>
      </w:r>
      <w:r>
        <mc:AlternateContent>
          <mc:Choice Requires="wps">
            <w:drawing>
              <wp:anchor behindDoc="0" distT="635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36,737,785 shares of our common stock issuable upon the conversion of our 1.25% Convertible Senior Notes due 2026 (the “2026 Convertible Notes”); </w:t>
      </w:r>
      <w:r>
        <mc:AlternateContent>
          <mc:Choice Requires="wps">
            <w:drawing>
              <wp:anchor behindDoc="0" distT="635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291,019,450 shares of our common stock issuable upon the conversion of our Series A Convertible Preferred Stock; and </w:t>
      </w:r>
      <w:r>
        <mc:AlternateContent>
          <mc:Choice Requires="wps">
            <w:drawing>
              <wp:anchor behindDoc="0" distT="635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up to 173,206,009 shares of our common stock issuable upon the conversion of our Series B Convertible Preferred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35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Except as otherwise indicated, all information in this prospectus supplement assumes no exercise by the underwriter of its overallotment option to purchase additional shares.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SHC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3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historical consolidated statements of operations data of Lucid for the years ended December 31, 2023, 2022 and 2021 and the summary historical consolidated balance sheets data as of December 31, 2023 and 2022 are derived from Lucid’s audited consolidated financial statements incorporated by reference into this prospectus supplement. The summary historical condensed consolidated statements of operations data of Lucid for the six months ended June 30, 2024 and 2023 and the summary historical condensed consolidated balance sheet data as of June 30, 2024 are derived from Lucid’s unaudited interim condensed consolidated financial statements incorporated by reference into this prospectus supplement. The unaudited interim condensed consolidated financial data set forth below have been prepared on the same basis as our audited annual consolidated financial statements and, in the opinion of Lucid’s management, reflect all adjustments, consisting only of normal recurring adjustments, that are necessary for the fair statement of such data.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Lucid’s historical results are not necessarily indicative of the results that may be expected for any other period in the future and Lucid’s results for the six months ended June 30, 2024 are not necessarily indicative of the results that may be expected for the full year ending December 31, 2024 or any other period. The following data should be read together with, and is qualified in its entirety by reference to, “Risk Factors,” “Capitalization,” “Management’s Discussion and Analysis of Financial Condition and Results of Operations” and the historical consolidated financial statements and the accompanying notes included, as applicable, in this prospectus supplement and our reports filed with the SEC incorporated by reference into this prospectus supplement. Among other things, the historical consolidated financial statements include more detailed information regarding the basis of presentation for the information in the following data. </w:t>
      </w:r>
    </w:p>
    <w:tbl>
      <w:tblPr>
        <w:tblW w:w="10613" w:type="dxa"/>
        <w:jc w:val="left"/>
        <w:tblInd w:w="1393" w:type="dxa"/>
        <w:tblLayout w:type="fixed"/>
        <w:tblCellMar>
          <w:top w:w="0" w:type="dxa"/>
          <w:left w:w="0" w:type="dxa"/>
          <w:bottom w:w="28" w:type="dxa"/>
          <w:right w:w="0" w:type="dxa"/>
        </w:tblCellMar>
      </w:tblPr>
      <w:tblGrid>
        <w:gridCol w:w="1444"/>
        <w:gridCol w:w="109"/>
        <w:gridCol w:w="109"/>
        <w:gridCol w:w="109"/>
        <w:gridCol w:w="226"/>
        <w:gridCol w:w="1141"/>
        <w:gridCol w:w="109"/>
        <w:gridCol w:w="109"/>
        <w:gridCol w:w="109"/>
        <w:gridCol w:w="109"/>
        <w:gridCol w:w="226"/>
        <w:gridCol w:w="1141"/>
        <w:gridCol w:w="109"/>
        <w:gridCol w:w="109"/>
        <w:gridCol w:w="109"/>
        <w:gridCol w:w="109"/>
        <w:gridCol w:w="226"/>
        <w:gridCol w:w="1141"/>
        <w:gridCol w:w="109"/>
        <w:gridCol w:w="109"/>
        <w:gridCol w:w="109"/>
        <w:gridCol w:w="109"/>
        <w:gridCol w:w="226"/>
        <w:gridCol w:w="1141"/>
        <w:gridCol w:w="109"/>
        <w:gridCol w:w="109"/>
        <w:gridCol w:w="109"/>
        <w:gridCol w:w="109"/>
        <w:gridCol w:w="226"/>
        <w:gridCol w:w="1141"/>
        <w:gridCol w:w="109"/>
        <w:gridCol w:w="154"/>
      </w:tblGrid>
      <w:tr>
        <w:trPr/>
        <w:tc>
          <w:tcPr>
            <w:tcW w:w="14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8" w:type="dxa"/>
            <w:gridSpan w:val="10"/>
            <w:tcBorders>
              <w:bottom w:val="single" w:sz="2" w:space="0" w:color="000000"/>
            </w:tcBorders>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91" w:type="dxa"/>
            <w:gridSpan w:val="16"/>
            <w:tcBorders>
              <w:bottom w:val="single" w:sz="2" w:space="0" w:color="000000"/>
            </w:tcBorders>
            <w:vAlign w:val="center"/>
          </w:tcPr>
          <w:p>
            <w:pPr>
              <w:pStyle w:val="TableContents"/>
              <w:bidi w:val="0"/>
              <w:spacing w:before="0" w:after="0"/>
              <w:jc w:val="center"/>
              <w:rPr/>
            </w:pPr>
            <w:r>
              <w:rPr>
                <w:spacing w:val="-3"/>
              </w:rPr>
              <w:t>Fiscal Years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8" w:type="dxa"/>
            <w:gridSpan w:val="10"/>
            <w:tcBorders/>
            <w:tcMar>
              <w:bottom w:w="0" w:type="dxa"/>
            </w:tcMar>
            <w:vAlign w:val="center"/>
          </w:tcPr>
          <w:p>
            <w:pPr>
              <w:pStyle w:val="TableContents"/>
              <w:bidi w:val="0"/>
              <w:spacing w:before="0" w:after="0"/>
              <w:jc w:val="center"/>
              <w:rPr>
                <w:spacing w:val="-3"/>
              </w:rPr>
            </w:pPr>
            <w:r>
              <w:rPr>
                <w:spacing w:val="-3"/>
              </w:rPr>
              <w:t xml:space="preserve">(unaudited)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97" w:type="dxa"/>
            <w:gridSpan w:val="28"/>
            <w:tcBorders/>
            <w:tcMar>
              <w:bottom w:w="0" w:type="dxa"/>
            </w:tcMar>
            <w:vAlign w:val="center"/>
          </w:tcPr>
          <w:p>
            <w:pPr>
              <w:pStyle w:val="TableContents"/>
              <w:bidi w:val="0"/>
              <w:spacing w:before="0" w:after="0"/>
              <w:jc w:val="center"/>
              <w:rPr>
                <w:spacing w:val="-3"/>
              </w:rPr>
            </w:pPr>
            <w:r>
              <w:rPr>
                <w:spacing w:val="-3"/>
              </w:rPr>
              <w:t xml:space="preserve">(in thousands, except share and per share numbers) </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373,321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300,306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595,271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608,181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27,111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jc w:val="left"/>
              <w:rPr>
                <w:sz w:val="18"/>
              </w:rPr>
            </w:pPr>
            <w:r>
              <w:rPr>
                <w:spacing w:val="-4"/>
                <w:sz w:val="18"/>
              </w:rPr>
              <w:t>Costs and expenses</w:t>
            </w:r>
            <w:r>
              <w:rPr>
                <w:spacing w:val="-3"/>
                <w:sz w:val="11"/>
              </w:rPr>
              <w:t>(1)</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8"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875,151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1,056,329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1,936,066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1,646,086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154,897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571,797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463,277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937,012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821,512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750,185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4"/>
              </w:rPr>
              <w:t xml:space="preserve">Selling, general and </w:t>
            </w:r>
            <w:r>
              <w:rPr/>
              <w:br/>
            </w:r>
            <w:r>
              <w:rPr>
                <w:spacing w:val="4"/>
              </w:rPr>
              <w:t xml:space="preserve">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423,477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366,518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797,235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734,574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652,475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jc w:val="left"/>
              <w:rPr>
                <w:spacing w:val="4"/>
              </w:rPr>
            </w:pPr>
            <w:r>
              <w:rPr>
                <w:spacing w:val="4"/>
              </w:rPr>
              <w:t xml:space="preserve">Restructuring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20,228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24,028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24,546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Total cost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1,890,653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1,910,152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3,694,859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3,202,172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1,557,557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jc w:val="left"/>
              <w:rPr>
                <w:spacing w:val="4"/>
              </w:rPr>
            </w:pPr>
            <w:r>
              <w:rPr>
                <w:spacing w:val="4"/>
              </w:rPr>
              <w:t xml:space="preserve">Loss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(1,517,332)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(1,609,846)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(3,099,588)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(2,593,991)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(1,530,446)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283"/>
              <w:jc w:val="left"/>
              <w:rPr/>
            </w:pPr>
            <w:r>
              <w:rPr>
                <w:spacing w:val="-4"/>
              </w:rPr>
              <w:t>Other income (expense),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ind w:left="180" w:right="0" w:hanging="180"/>
              <w:jc w:val="left"/>
              <w:rPr>
                <w:spacing w:val="4"/>
              </w:rPr>
            </w:pPr>
            <w:r>
              <w:rPr>
                <w:spacing w:val="4"/>
              </w:rPr>
              <w:t xml:space="preserve">Change in fair value of forward contracts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(454,546)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Change in fair value of convertible preferred stock warrant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ind w:left="180" w:right="0" w:hanging="180"/>
              <w:jc w:val="left"/>
              <w:rPr>
                <w:spacing w:val="4"/>
              </w:rPr>
            </w:pPr>
            <w:r>
              <w:rPr>
                <w:spacing w:val="4"/>
              </w:rPr>
              <w:t xml:space="preserve">Change in fair value of common stock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34,593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1,331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86,926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1,254,218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(582,760)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Change in fair value of equity securities of a related party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(29,323)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lineRule="atLeast" w:line="216" w:before="0" w:after="0"/>
              <w:ind w:left="180" w:right="0" w:hanging="180"/>
              <w:jc w:val="left"/>
              <w:rPr/>
            </w:pPr>
            <w:r>
              <w:rPr>
                <w:spacing w:val="4"/>
              </w:rPr>
              <w:t>Change in fair value of derivative liability associated with Series A redeemable convertible preferred stock (related party)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103,000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costs expensed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jc w:val="left"/>
              <w:rPr>
                <w:spacing w:val="4"/>
              </w:rPr>
            </w:pPr>
            <w:r>
              <w:rPr>
                <w:spacing w:val="4"/>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105,184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79,530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204,274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56,756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4"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(14,174)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(13,798)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(24,915)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4" w:type="dxa"/>
            <w:tcBorders/>
            <w:tcMar>
              <w:bottom w:w="0" w:type="dxa"/>
            </w:tcMar>
            <w:vAlign w:val="center"/>
          </w:tcPr>
          <w:p>
            <w:pPr>
              <w:pStyle w:val="TableContents"/>
              <w:bidi w:val="0"/>
              <w:spacing w:before="0" w:after="0"/>
              <w:jc w:val="left"/>
              <w:rPr>
                <w:spacing w:val="4"/>
              </w:rPr>
            </w:pPr>
            <w:r>
              <w:rPr>
                <w:spacing w:val="4"/>
              </w:rPr>
              <w:t xml:space="preserve">Other income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(6,074)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9,532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377" w:type="dxa"/>
        <w:jc w:val="left"/>
        <w:tblInd w:w="1393" w:type="dxa"/>
        <w:tblLayout w:type="fixed"/>
        <w:tblCellMar>
          <w:top w:w="0" w:type="dxa"/>
          <w:left w:w="0" w:type="dxa"/>
          <w:bottom w:w="28" w:type="dxa"/>
          <w:right w:w="0" w:type="dxa"/>
        </w:tblCellMar>
      </w:tblPr>
      <w:tblGrid>
        <w:gridCol w:w="1663"/>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306"/>
        <w:gridCol w:w="109"/>
        <w:gridCol w:w="154"/>
      </w:tblGrid>
      <w:tr>
        <w:trPr/>
        <w:tc>
          <w:tcPr>
            <w:tcW w:w="16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78" w:type="dxa"/>
            <w:gridSpan w:val="10"/>
            <w:tcBorders>
              <w:bottom w:val="single" w:sz="2" w:space="0" w:color="000000"/>
            </w:tcBorders>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46" w:type="dxa"/>
            <w:gridSpan w:val="16"/>
            <w:tcBorders>
              <w:bottom w:val="single" w:sz="2" w:space="0" w:color="000000"/>
            </w:tcBorders>
            <w:vAlign w:val="center"/>
          </w:tcPr>
          <w:p>
            <w:pPr>
              <w:pStyle w:val="TableContents"/>
              <w:bidi w:val="0"/>
              <w:spacing w:before="0" w:after="0"/>
              <w:jc w:val="center"/>
              <w:rPr/>
            </w:pPr>
            <w:r>
              <w:rPr>
                <w:spacing w:val="-3"/>
              </w:rPr>
              <w:t>Fiscal Years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8" w:type="dxa"/>
            <w:gridSpan w:val="10"/>
            <w:tcBorders/>
            <w:tcMar>
              <w:bottom w:w="0" w:type="dxa"/>
            </w:tcMar>
            <w:vAlign w:val="center"/>
          </w:tcPr>
          <w:p>
            <w:pPr>
              <w:pStyle w:val="TableContents"/>
              <w:bidi w:val="0"/>
              <w:spacing w:before="0" w:after="0"/>
              <w:jc w:val="center"/>
              <w:rPr>
                <w:spacing w:val="-3"/>
              </w:rPr>
            </w:pPr>
            <w:r>
              <w:rPr>
                <w:spacing w:val="-3"/>
              </w:rPr>
              <w:t xml:space="preserve">(unaudited)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42" w:type="dxa"/>
            <w:gridSpan w:val="28"/>
            <w:tcBorders/>
            <w:tcMar>
              <w:bottom w:w="0" w:type="dxa"/>
            </w:tcMar>
            <w:vAlign w:val="center"/>
          </w:tcPr>
          <w:p>
            <w:pPr>
              <w:pStyle w:val="TableContents"/>
              <w:bidi w:val="0"/>
              <w:spacing w:before="0" w:after="0"/>
              <w:jc w:val="center"/>
              <w:rPr>
                <w:spacing w:val="-3"/>
              </w:rPr>
            </w:pPr>
            <w:r>
              <w:rPr>
                <w:spacing w:val="-3"/>
              </w:rPr>
              <w:t xml:space="preserve">(in thousands, except share and per share numbers) </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Total other income (expense),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193,206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66,802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272,194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1,289,910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(1,049,266)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ind w:left="180" w:right="0" w:hanging="180"/>
              <w:jc w:val="left"/>
              <w:rPr/>
            </w:pPr>
            <w:r>
              <w:rPr>
                <w:spacing w:val="4"/>
              </w:rPr>
              <w:t>Loss before provision for income taxes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(1,324,126)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(1,543,044)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(2,827,394)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(1,304,081)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(2,579,712)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Provision for (benefit from)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jc w:val="left"/>
              <w:rPr>
                <w:b/>
              </w:rPr>
            </w:pPr>
            <w:r>
              <w:rPr>
                <w:b/>
                <w:spacing w:val="-4"/>
              </w:rPr>
              <w:t>Net loss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(1,324,249)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(1,543,760)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(2,828,420)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(1,304,460)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(2,579,761)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Deemed dividend related to the issuance of Series E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(2,167,332)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ind w:left="180" w:right="0" w:hanging="180"/>
              <w:jc w:val="left"/>
              <w:rPr>
                <w:spacing w:val="4"/>
              </w:rPr>
            </w:pPr>
            <w:r>
              <w:rPr>
                <w:spacing w:val="4"/>
              </w:rPr>
              <w:t xml:space="preserve">Accretion of Series A redeemable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(150,762)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before="0" w:after="0"/>
              <w:ind w:left="180" w:right="0" w:hanging="180"/>
              <w:jc w:val="left"/>
              <w:rPr>
                <w:b/>
              </w:rPr>
            </w:pPr>
            <w:r>
              <w:rPr>
                <w:b/>
                <w:spacing w:val="-4"/>
              </w:rPr>
              <w:t>Net loss attributable to common stockholders, basic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(1,475,011)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(1,543,760)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(2,828,420)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(1,304,460)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(4,747,093)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ind w:left="180" w:right="0" w:hanging="180"/>
              <w:jc w:val="left"/>
              <w:rPr>
                <w:spacing w:val="4"/>
              </w:rPr>
            </w:pPr>
            <w:r>
              <w:rPr>
                <w:spacing w:val="4"/>
              </w:rPr>
              <w:t xml:space="preserve">Change in fair value of dilutive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(1,254,218)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before="0" w:after="0"/>
              <w:ind w:left="180" w:right="0" w:hanging="180"/>
              <w:jc w:val="left"/>
              <w:rPr>
                <w:b/>
              </w:rPr>
            </w:pPr>
            <w:r>
              <w:rPr>
                <w:b/>
                <w:spacing w:val="-4"/>
              </w:rPr>
              <w:t>Net loss attributable to common stockholders, diluted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(1,475,011)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(1,543,760)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(2,828,420)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(2,558,678)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(4,747,093)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lineRule="atLeast" w:line="216" w:before="0" w:after="0"/>
              <w:ind w:left="180" w:right="0" w:hanging="180"/>
              <w:jc w:val="left"/>
              <w:rPr/>
            </w:pPr>
            <w:r>
              <w:rPr>
                <w:spacing w:val="4"/>
              </w:rPr>
              <w:t xml:space="preserve">Weighted average shares outstanding </w:t>
            </w:r>
            <w:r>
              <w:rPr/>
              <w:br/>
            </w:r>
            <w:r>
              <w:rPr>
                <w:spacing w:val="4"/>
              </w:rPr>
              <w:t xml:space="preserve">used in computing net loss per </w:t>
            </w:r>
            <w:r>
              <w:rPr/>
              <w:br/>
            </w:r>
            <w:r>
              <w:rPr>
                <w:spacing w:val="4"/>
              </w:rPr>
              <w:t xml:space="preserve">share attributable to common </w:t>
            </w:r>
            <w:r>
              <w:rPr/>
              <w:br/>
            </w:r>
            <w:r>
              <w:rPr>
                <w:spacing w:val="4"/>
              </w:rPr>
              <w:t>stockholders, basic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2,306,209,050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1,871,884,313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2,081,772,622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1,678,346,079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740,393,759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4"/>
              </w:rPr>
              <w:t xml:space="preserve">Weighted average shares outstanding </w:t>
            </w:r>
            <w:r>
              <w:rPr/>
              <w:br/>
            </w:r>
            <w:r>
              <w:rPr>
                <w:spacing w:val="4"/>
              </w:rPr>
              <w:t xml:space="preserve">used in computing net loss per </w:t>
            </w:r>
            <w:r>
              <w:rPr/>
              <w:br/>
            </w:r>
            <w:r>
              <w:rPr>
                <w:spacing w:val="4"/>
              </w:rPr>
              <w:t xml:space="preserve">share attributable to common </w:t>
            </w:r>
            <w:r>
              <w:rPr/>
              <w:br/>
            </w:r>
            <w:r>
              <w:rPr>
                <w:spacing w:val="4"/>
              </w:rPr>
              <w:t xml:space="preserve">stockholders,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2,306,209,050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1,871,884,313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2,081,772,622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1,693,258,608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740,393,759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ind w:left="180" w:right="0" w:hanging="180"/>
              <w:jc w:val="left"/>
              <w:rPr>
                <w:spacing w:val="4"/>
              </w:rPr>
            </w:pPr>
            <w:r>
              <w:rPr>
                <w:spacing w:val="4"/>
              </w:rPr>
              <w:t xml:space="preserve">Net loss per share attributable to common stockholders,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(0.82)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(0.78)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Net loss per share attributable to common stockholders,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283"/>
              <w:jc w:val="left"/>
              <w:rPr/>
            </w:pPr>
            <w:r>
              <w:rPr>
                <w:spacing w:val="-4"/>
              </w:rPr>
              <w:t>Other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Net unrealized gains (losses) on investments, net 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(4,219)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12,669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(11,572)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Foreign currency translation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(4,790)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3,753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lineRule="atLeast" w:line="216" w:before="0" w:after="0"/>
              <w:ind w:left="360" w:right="0" w:hanging="180"/>
              <w:jc w:val="left"/>
              <w:rPr/>
            </w:pPr>
            <w:r>
              <w:rPr>
                <w:spacing w:val="4"/>
              </w:rPr>
              <w:t xml:space="preserve">Total 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(11,572)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jc w:val="left"/>
              <w:rPr>
                <w:b/>
              </w:rPr>
            </w:pPr>
            <w:r>
              <w:rPr>
                <w:b/>
                <w:spacing w:val="-4"/>
              </w:rPr>
              <w:t>Comprehensive loss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(1,333,258)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(1,542,138)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(2,811,998)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(1,316,032)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(2,579,761)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Deemed dividend related to the issuance of Series E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(2,167,332)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63" w:type="dxa"/>
            <w:tcBorders/>
            <w:tcMar>
              <w:bottom w:w="0" w:type="dxa"/>
            </w:tcMar>
            <w:vAlign w:val="center"/>
          </w:tcPr>
          <w:p>
            <w:pPr>
              <w:pStyle w:val="TableContents"/>
              <w:bidi w:val="0"/>
              <w:spacing w:before="0" w:after="0"/>
              <w:ind w:left="180" w:right="0" w:hanging="180"/>
              <w:jc w:val="left"/>
              <w:rPr>
                <w:spacing w:val="4"/>
              </w:rPr>
            </w:pPr>
            <w:r>
              <w:rPr>
                <w:spacing w:val="4"/>
              </w:rPr>
              <w:t xml:space="preserve">Accretion of Series A redeemable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(150,762)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63" w:type="dxa"/>
            <w:tcBorders/>
            <w:shd w:fill="CCEEFF" w:val="clear"/>
            <w:tcMar>
              <w:bottom w:w="0" w:type="dxa"/>
            </w:tcMar>
            <w:vAlign w:val="center"/>
          </w:tcPr>
          <w:p>
            <w:pPr>
              <w:pStyle w:val="TableContents"/>
              <w:bidi w:val="0"/>
              <w:spacing w:before="0" w:after="0"/>
              <w:ind w:left="180" w:right="0" w:hanging="180"/>
              <w:jc w:val="left"/>
              <w:rPr>
                <w:b/>
              </w:rPr>
            </w:pPr>
            <w:r>
              <w:rPr>
                <w:b/>
                <w:spacing w:val="-4"/>
              </w:rPr>
              <w:t>Comprehensive loss attributable to common stockholders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(1,484,020)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(1,542,138)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(2,811,998)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(1,316,032)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(4,747,093)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Includes stock-based compensation expense as follows: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387" w:type="dxa"/>
        <w:jc w:val="left"/>
        <w:tblInd w:w="1393" w:type="dxa"/>
        <w:tblLayout w:type="fixed"/>
        <w:tblCellMar>
          <w:top w:w="0" w:type="dxa"/>
          <w:left w:w="0" w:type="dxa"/>
          <w:bottom w:w="28" w:type="dxa"/>
          <w:right w:w="0" w:type="dxa"/>
        </w:tblCellMar>
      </w:tblPr>
      <w:tblGrid>
        <w:gridCol w:w="1493"/>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26" w:type="dxa"/>
            <w:gridSpan w:val="16"/>
            <w:tcBorders>
              <w:bottom w:val="single" w:sz="2" w:space="0" w:color="000000"/>
            </w:tcBorders>
            <w:tcMar>
              <w:bottom w:w="43" w:type="dxa"/>
            </w:tcMar>
            <w:vAlign w:val="center"/>
          </w:tcPr>
          <w:p>
            <w:pPr>
              <w:pStyle w:val="TableContents"/>
              <w:bidi w:val="0"/>
              <w:spacing w:before="0" w:after="0"/>
              <w:jc w:val="center"/>
              <w:rPr/>
            </w:pPr>
            <w:r>
              <w:rPr>
                <w:spacing w:val="-3"/>
              </w:rPr>
              <w:t>Fiscal Years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78" w:type="dxa"/>
            <w:gridSpan w:val="10"/>
            <w:tcBorders/>
            <w:tcMar>
              <w:bottom w:w="0" w:type="dxa"/>
            </w:tcMar>
            <w:vAlign w:val="center"/>
          </w:tcPr>
          <w:p>
            <w:pPr>
              <w:pStyle w:val="TableContents"/>
              <w:bidi w:val="0"/>
              <w:spacing w:before="0" w:after="0"/>
              <w:jc w:val="center"/>
              <w:rPr>
                <w:spacing w:val="-3"/>
              </w:rPr>
            </w:pPr>
            <w:r>
              <w:rPr>
                <w:spacing w:val="-3"/>
              </w:rPr>
              <w:t xml:space="preserve">(unaudited)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gridSpan w:val="28"/>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41,753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8,737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71,059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65,393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137,703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151,549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137,303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117,433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230,198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370,717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Restructuring Charges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(1,480)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(1,443)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(1,443)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120,709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125,195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257,283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423,500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516,757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Balance Sheet Data</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28" w:type="dxa"/>
          <w:right w:w="0" w:type="dxa"/>
        </w:tblCellMar>
      </w:tblPr>
      <w:tblGrid>
        <w:gridCol w:w="2784"/>
        <w:gridCol w:w="109"/>
        <w:gridCol w:w="109"/>
        <w:gridCol w:w="115"/>
        <w:gridCol w:w="239"/>
        <w:gridCol w:w="1372"/>
        <w:gridCol w:w="115"/>
        <w:gridCol w:w="109"/>
        <w:gridCol w:w="109"/>
        <w:gridCol w:w="109"/>
        <w:gridCol w:w="226"/>
        <w:gridCol w:w="1290"/>
        <w:gridCol w:w="109"/>
        <w:gridCol w:w="109"/>
        <w:gridCol w:w="109"/>
        <w:gridCol w:w="109"/>
        <w:gridCol w:w="226"/>
        <w:gridCol w:w="1197"/>
        <w:gridCol w:w="109"/>
        <w:gridCol w:w="158"/>
      </w:tblGrid>
      <w:tr>
        <w:trPr/>
        <w:tc>
          <w:tcPr>
            <w:tcW w:w="27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841"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As of June 30, 2024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9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Years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7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841"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73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1" w:type="dxa"/>
            <w:gridSpan w:val="4"/>
            <w:tcBorders/>
            <w:tcMar>
              <w:bottom w:w="0" w:type="dxa"/>
            </w:tcMar>
            <w:vAlign w:val="center"/>
          </w:tcPr>
          <w:p>
            <w:pPr>
              <w:pStyle w:val="TableContents"/>
              <w:bidi w:val="0"/>
              <w:spacing w:before="0" w:after="0"/>
              <w:jc w:val="center"/>
              <w:rPr/>
            </w:pPr>
            <w:r>
              <w:rPr>
                <w:spacing w:val="-3"/>
              </w:rPr>
              <w:t>(unaudited)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2" w:type="dxa"/>
            <w:gridSpan w:val="16"/>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1,353,581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1,369,947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1,735,765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8,223,268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8,512,718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7,879,238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283"/>
              <w:jc w:val="left"/>
              <w:rPr/>
            </w:pPr>
            <w:r>
              <w:rPr>
                <w:spacing w:val="-4"/>
              </w:rPr>
              <w:t>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1,999,547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1,996,960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1,991,840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0"/>
              <w:jc w:val="left"/>
              <w:rPr>
                <w:spacing w:val="4"/>
              </w:rPr>
            </w:pPr>
            <w:r>
              <w:rPr>
                <w:spacing w:val="4"/>
              </w:rPr>
              <w:t xml:space="preserve">Common stock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19,071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53,664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140,590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4,056,060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3,661,026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3,529,537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283"/>
              <w:jc w:val="left"/>
              <w:rPr/>
            </w:pPr>
            <w:r>
              <w:rPr>
                <w:spacing w:val="-4"/>
              </w:rPr>
              <w:t>Redeemable Convertible Preferred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0"/>
              <w:jc w:val="left"/>
              <w:rPr>
                <w:spacing w:val="4"/>
              </w:rPr>
            </w:pPr>
            <w:r>
              <w:rPr>
                <w:spacing w:val="4"/>
              </w:rPr>
              <w:t xml:space="preserve">Series A redeemable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651,311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283"/>
              <w:jc w:val="left"/>
              <w:rPr/>
            </w:pPr>
            <w:r>
              <w:rPr>
                <w:spacing w:val="-4"/>
              </w:rPr>
              <w:t>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232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230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15,063,541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15,066,080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11,752,138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84"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(11,523,001)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0" w:type="dxa"/>
            <w:tcBorders/>
            <w:shd w:fill="CCEEFF" w:val="clear"/>
            <w:tcMar>
              <w:bottom w:w="0" w:type="dxa"/>
            </w:tcMar>
            <w:vAlign w:val="center"/>
          </w:tcPr>
          <w:p>
            <w:pPr>
              <w:pStyle w:val="TableContents"/>
              <w:bidi w:val="0"/>
              <w:spacing w:before="0" w:after="283"/>
              <w:jc w:val="right"/>
              <w:rPr/>
            </w:pPr>
            <w:r>
              <w:rPr/>
              <w:t>(10,198,752)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(7,370,332)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84" w:type="dxa"/>
            <w:tcBorders/>
            <w:tcMar>
              <w:bottom w:w="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3,515,897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4,851,692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4,349,701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RIF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our common stock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w:t>
      </w:r>
      <w:hyperlink r:id="rId21">
        <w:r>
          <w:rPr>
            <w:rStyle w:val="InternetLink"/>
          </w:rPr>
          <w:t>Quarterly Report on Form 10-Q for the three months ended June 30, 2024</w:t>
        </w:r>
      </w:hyperlink>
      <w:r>
        <w:rPr>
          <w:rFonts w:ascii="Times New Roman;Times;serif" w:hAnsi="Times New Roman;Times;serif"/>
          <w:b w:val="false"/>
          <w:i/>
          <w:caps w:val="false"/>
          <w:smallCaps w:val="false"/>
          <w:color w:val="000000"/>
          <w:spacing w:val="4"/>
          <w:sz w:val="20"/>
        </w:rPr>
        <w:t xml:space="preserve">, as well as the other information contained or incorporated by reference into this prospectus supplement or the accompanying prospectus.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and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in the use of the net proceeds from this offering and may invest or spend the proceeds in ways with which you do not agree and in ways that may not yield a return on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U.S. Treasury securities with insignificant rates of return. These investments may not yield a favorable return to our stockholders.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additional shares of our common stock or other equity or equity-linked securities, or sales of a significant portion of our common stock, could depress the market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RSUs, or the conversion of our 2026 Convertible Notes or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pursuant to the Investor Rights Agreement, Ayar, and certain other parties thereto are entitled to, among other things, certain registration rights, including demand, 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 Pursuant to the subscription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Redeemable Convertible Preferred Stock, Ayar has agreed to restrictions on the sale or transfer of shares of Redeemable Convertible Preferred Stock or any shares of common stock issued pursuant to the terms thereof held by it for a period of twelve months following the closing of the respective transaction. However, following the expiration of the lock-up periods, Ayar will not be restricted from selling the respective securities, other than by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enter into a fifth amendment to the Investor Rights Agreement (the “Fifth IRA Amendment”) with Ayar in connection with this offering. Pursuant to the proposed Fifth IRA Amendment, Ayar will be entitled to certain registration rights, including demand, piggy-back and shelf registration rights, with respect to any shares of common stock Ayar purchases in the Ayar Investment. If one or more of these stockholders were to sell a substantial portion of the shares they hold, it could cause the trading price of our common stock to decline. For 120 days following the closing of the Ayar Investment, Ayar will be subject to a contractual lock-up with respect to our common stock or other equity securities. See “Ayar Investment.”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industry analysts may not publish or cease publishing research or reports about us, our business, our market, or change their recommendations regarding our common stock adversely, which could cause the price and trading volume of our common stock to decline.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common stock can be influenced by the research and reports that industry or securities analysts may publish about us, our business and operations, our market, or our competitors.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common stock is volatile, and this volatility may negatively impact the market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affecting the trading price of our common stock may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the broader stock market in general, or in our industry in particular;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quarterly financial or operating results or the quarterly financial or operating results of companies perceived to be similar to ours;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market’s expectations about our operating results;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public’s reaction to our press releases, other public announcements and filings with the SEC;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public’s reaction to the number of unit reservations, financial projections and any other guidance or metrics that we may publicly disclose from time to time;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speculation in the press or investment community;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developments in our business, competitors’ businesses or the competitive landscape generally;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results failing to meet the expectation of securities analysts or investors in a particular period;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the achievement of objectives under our business plan and the timing and amount of costs we incur in connection therewith; </w:t>
      </w:r>
      <w:r>
        <mc:AlternateContent>
          <mc:Choice Requires="wps">
            <w:drawing>
              <wp:anchor behindDoc="0" distT="0" distB="0" distL="254000" distR="0" simplePos="0" locked="0" layoutInCell="1" allowOverlap="1" relativeHeight="49">
                <wp:simplePos x="0" y="0"/>
                <wp:positionH relativeFrom="column">
                  <wp:align>left</wp:align>
                </wp:positionH>
                <wp:positionV relativeFrom="line">
                  <wp:posOffset>635</wp:posOffset>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financial estimates and recommendations by securities analysts concerning us or the market in general;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stock price performance of other companies that investors deem comparable to ours;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affecting our business;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commencement of, or involvement in, litigation or investigations involving us;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capital structure, such as future issuances of securities or the incurrence of additional debt;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volume of our common stock available for public sale, including as a result of conversion of our 2026 Convertible Notes or our Redeemable Convertible Preferred Stock;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major change in our Board or management;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substantial amounts of our common stock by our directors, officers or significant stockholders or the perception that such sales could occur;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 factors listed in this section “Risk Factors.”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the impact of global conflicts or other geopolitical events, natural disasters,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Convertible Notes may impact the market price of our common stock, in particular during any redemption conversion period in connection with a redemption of the 2026 Convertible Notes or any observation period for a conversion of the 2026 Convertible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substantial indebtedness could adversely affect our financial condition and our ability to raise additional capital to fund our operations and limit our ability to react to changes in the economy.</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highly leveraged company. As of September 30, 2024, we and our subsidiaries had approximately $2.05 billion of indebtedness and we and our subsidiaries had availability of approximately $1.1 billion under the existing loan agreements and credit facilities subject to certain covenants.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substantial indebtedness could have important consequences to you. For example, it could: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increase our vulnerability to general adverse economic and industry conditions;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require us to dedicate a substantial portion of our cash flow from operations to payments on our indebtedness, thereby reducing the availability of our cash flow to fund working capital, capital expenditures and other general corporate purposes;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limit our flexibility in planning for, or reacting to, changes in our business and the industry in which we operate;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place us at a competitive disadvantage compared to our competitors that have less debt;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limit our ability to obtain additional financing for working capital, capital expenditures, acquisitions or general corporate purposes.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2024,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to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tax law could significantly affect our reported earnings and 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business operations and assets in different jurisdictions, which are subject to different tax regimes. Changes in tax regimes, such as the reduction or elimination of tax benefits, or limitations on the deductibility of interest expense, could have a material adverse effect on our results and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countries in which we operate have agreed to implement aspects of the “Two Pillars Solution,” an OECD/G20 Inclusive Framework initiative, which aims to reform the international taxation policies and ensure that multinational companies pay taxes wherever they operate and generate profits. “Pillar Two” of this initiative generally provides for an effective global minimum corporate tax rate of 15% on profits generated by multinational companies with consolidated revenues of at least €750 million, calculated on a country-by-country basis. This minimum tax would be applied on profits in any jurisdiction wherever the effective tax rate, determined on a jurisdictional basis, is below 15%. The OECD and its members are still working on the coordinated implementation of the minimum tax. Although this initiative is subject to further developments in the countries where we operate, it is expected to be in force in various jurisdictions, including the U.K. and the EU, for fiscal years commencing on January 1, 2024. Any minimum tax may have a negative impact on our financial condition, results of operations and cash flows.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utilize a significant portion of our tax carryforwards, which could harm our profitability.</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January 31, 2024, we had material federal and state tax carryforwards, primarily due to net operating losses and federal and state research tax credits. If we are unable to generate sufficient taxable income to utilize our tax carryforwards, some could expire unused and be unavailable to offset future income tax liabilities or we could be required to reserve against the valuation of our deferred tax assets, which could harm our profitability.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Sections 382 and 383 of the Code (as defined below), our ability to utilize net operating loss carryforwards or other tax attributes, such as research tax credits, in any taxable year may be limited if we experience (or have experienced)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If an “ownership change” occurs, Sections 382 and 383 of the Code would impose an annual limit on the amount of pre-ownership change net operating loss carryforwards and other tax attributes we can use to reduce our taxable income, potentially causing those tax attributes to expire unused, which could harm our profitability.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from the sale of our common stock in this offering and the Ayar Investment will be approximately $1,649.7 million (or approximately $1,897.3 million if the underwriter exercises its overallotment option to purchase additional shares in full and Ayar purchases its pro rata additional shares as described in this prospectus supplement), after deducting the estimated expenses of this offering and the Ayar Investment. We intend to use the net proceeds from the sale of our common stock in this offering and the Ayar Investment for general corporate purposes, which may include, among other things, capital expenditures and working capital.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IV"/>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paid any cash dividends on our common stock to date and we do not anticipate declaring any cash dividends in the foreseeable future. The payment of cash dividends in the future is dependent upon our revenues and earnings, if any, capital requirements, the terms of any indebtedness and general financial condition. Both of our ABL Credit Facility and DDTL Credit Facility contain restrictions on our ability to pay dividends. In addition, the Board is not currently contemplating and does not anticipate declaring any stock dividends in the foreseeable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AF5"/>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cash equivalents and short-term investments, and our capitalization as of June 30, 2024: </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and </w:t>
      </w:r>
      <w:r>
        <mc:AlternateContent>
          <mc:Choice Requires="wps">
            <w:drawing>
              <wp:anchor behindDoc="0" distT="622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as adjusted basis to give effect to this offering and the Ayar Investment (assuming no exercise by the underwriter of its overallotment option to purchase additional shares), after deducting estimated offering expenses payable by us. </w:t>
      </w:r>
      <w:r>
        <mc:AlternateContent>
          <mc:Choice Requires="wps">
            <w:drawing>
              <wp:anchor behindDoc="0" distT="482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4, 2024, we entered into: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3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subscription agreement with Ayar, pursuant to which Ayar purchased 75,000 shares of our Series B Convertible Preferred Stock for an aggregate purchase price of $750.0 million on August 16, 2024 in a private placement (the “Series B Private Placement”); and </w:t>
      </w:r>
      <w:r>
        <mc:AlternateContent>
          <mc:Choice Requires="wps">
            <w:drawing>
              <wp:anchor behindDoc="0" distT="8382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$750 million five-year unsecured delayed draw term loan credit facility (the “DDTL Credit Facility”) with Ayar, which provides for a delayed draw term loan credit facility in an aggregate principal amount of $750 million and has a stated maturity date of August 4, 2029 and which as of October 15, 2024 has no outstanding term loans thereunder.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8382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does not reflect the Series B Private Placement and the DDTL Credit Facility.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this table in conjunction with the section “Management’s Discussion and Analysis of Financial Condition and Results of Operations” and our consolidated financial statements and related notes from our </w:t>
      </w:r>
      <w:hyperlink r:id="rId22">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and our </w:t>
      </w:r>
      <w:hyperlink r:id="rId23">
        <w:r>
          <w:rPr>
            <w:rStyle w:val="InternetLink"/>
          </w:rPr>
          <w:t>Quarterly Report on Form 10-Q for the three months ended June 30, 2024</w:t>
        </w:r>
      </w:hyperlink>
      <w:r>
        <w:rPr>
          <w:rFonts w:ascii="Times New Roman;Times;serif" w:hAnsi="Times New Roman;Times;serif"/>
          <w:b w:val="false"/>
          <w:i w:val="false"/>
          <w:caps w:val="false"/>
          <w:smallCaps w:val="false"/>
          <w:color w:val="000000"/>
          <w:spacing w:val="4"/>
          <w:sz w:val="20"/>
        </w:rPr>
        <w:t xml:space="preserve">, incorporated by reference into this prospectus supplement and the accompanying prospectus. </w:t>
      </w:r>
    </w:p>
    <w:tbl>
      <w:tblPr>
        <w:tblW w:w="8812" w:type="dxa"/>
        <w:jc w:val="left"/>
        <w:tblInd w:w="1393" w:type="dxa"/>
        <w:tblLayout w:type="fixed"/>
        <w:tblCellMar>
          <w:top w:w="0" w:type="dxa"/>
          <w:left w:w="0" w:type="dxa"/>
          <w:bottom w:w="28" w:type="dxa"/>
          <w:right w:w="0" w:type="dxa"/>
        </w:tblCellMar>
      </w:tblPr>
      <w:tblGrid>
        <w:gridCol w:w="5258"/>
        <w:gridCol w:w="109"/>
        <w:gridCol w:w="109"/>
        <w:gridCol w:w="109"/>
        <w:gridCol w:w="226"/>
        <w:gridCol w:w="1032"/>
        <w:gridCol w:w="109"/>
        <w:gridCol w:w="109"/>
        <w:gridCol w:w="109"/>
        <w:gridCol w:w="109"/>
        <w:gridCol w:w="226"/>
        <w:gridCol w:w="1042"/>
        <w:gridCol w:w="109"/>
        <w:gridCol w:w="156"/>
      </w:tblGrid>
      <w:tr>
        <w:trPr/>
        <w:tc>
          <w:tcPr>
            <w:tcW w:w="52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gridSpan w:val="10"/>
            <w:tcBorders/>
            <w:tcMar>
              <w:bottom w:w="0" w:type="dxa"/>
            </w:tcMar>
            <w:vAlign w:val="center"/>
          </w:tcPr>
          <w:p>
            <w:pPr>
              <w:pStyle w:val="TableContents"/>
              <w:bidi w:val="0"/>
              <w:spacing w:before="0" w:after="0"/>
              <w:jc w:val="center"/>
              <w:rPr/>
            </w:pPr>
            <w:r>
              <w:rPr>
                <w:spacing w:val="-3"/>
              </w:rPr>
              <w:t>(unaudited)</w:t>
            </w:r>
            <w:r>
              <w:rPr/>
              <w:t xml:space="preserve"> </w:t>
              <w:br/>
            </w:r>
            <w:r>
              <w:rPr>
                <w:spacing w:val="-3"/>
              </w:rPr>
              <w:t>(in millions, except for</w:t>
            </w:r>
            <w:r>
              <w:rPr/>
              <w:t xml:space="preserve"> </w:t>
              <w:br/>
            </w:r>
            <w:r>
              <w:rPr>
                <w:spacing w:val="-3"/>
              </w:rPr>
              <w:t>share and per share amounts</w:t>
            </w:r>
            <w:r>
              <w:rPr/>
              <w:t xml:space="preserve"> </w:t>
              <w:br/>
            </w:r>
            <w:r>
              <w:rPr>
                <w:spacing w:val="-3"/>
              </w:rPr>
              <w:t xml:space="preserve">and footnotes) </w:t>
            </w:r>
          </w:p>
        </w:tc>
        <w:tc>
          <w:tcPr>
            <w:tcW w:w="156" w:type="dxa"/>
            <w:tcBorders/>
            <w:tcMar>
              <w:bottom w:w="0" w:type="dxa"/>
            </w:tcMar>
            <w:vAlign w:val="center"/>
          </w:tcPr>
          <w:p>
            <w:pPr>
              <w:pStyle w:val="TableContents"/>
              <w:bidi w:val="0"/>
              <w:spacing w:before="0" w:after="283"/>
              <w:jc w:val="left"/>
              <w:rPr/>
            </w:pPr>
            <w:r>
              <w:rPr/>
              <w:t>​</w:t>
            </w:r>
          </w:p>
        </w:tc>
      </w:tr>
      <w:tr>
        <w:trPr/>
        <w:tc>
          <w:tcPr>
            <w:tcW w:w="5258" w:type="dxa"/>
            <w:tcBorders/>
            <w:shd w:fill="CCEEFF" w:val="clear"/>
            <w:tcMar>
              <w:bottom w:w="0" w:type="dxa"/>
            </w:tcMar>
            <w:vAlign w:val="center"/>
          </w:tcPr>
          <w:p>
            <w:pPr>
              <w:pStyle w:val="TableContents"/>
              <w:bidi w:val="0"/>
              <w:spacing w:before="0" w:after="0"/>
              <w:jc w:val="left"/>
              <w:rPr>
                <w:spacing w:val="4"/>
              </w:rPr>
            </w:pPr>
            <w:r>
              <w:rPr>
                <w:spacing w:val="4"/>
              </w:rPr>
              <w:t xml:space="preserve">Cash, cash equivalents and short term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2" w:type="dxa"/>
            <w:tcBorders>
              <w:bottom w:val="double" w:sz="8" w:space="0" w:color="000000"/>
            </w:tcBorders>
            <w:shd w:fill="CCEEFF" w:val="clear"/>
            <w:tcMar>
              <w:bottom w:w="50" w:type="dxa"/>
            </w:tcMar>
            <w:vAlign w:val="center"/>
          </w:tcPr>
          <w:p>
            <w:pPr>
              <w:pStyle w:val="TableContents"/>
              <w:bidi w:val="0"/>
              <w:spacing w:before="0" w:after="283"/>
              <w:jc w:val="right"/>
              <w:rPr/>
            </w:pPr>
            <w:r>
              <w:rPr/>
              <w:t>3,216.4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2"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4,866.1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58" w:type="dxa"/>
            <w:tcBorders/>
            <w:tcMar>
              <w:bottom w:w="0" w:type="dxa"/>
            </w:tcMar>
            <w:vAlign w:val="center"/>
          </w:tcPr>
          <w:p>
            <w:pPr>
              <w:pStyle w:val="TableContents"/>
              <w:bidi w:val="0"/>
              <w:spacing w:before="0" w:after="283"/>
              <w:jc w:val="left"/>
              <w:rPr>
                <w:spacing w:val="4"/>
              </w:rPr>
            </w:pPr>
            <w:r>
              <w:rPr>
                <w:spacing w:val="4"/>
              </w:rPr>
              <w:t xml:space="preserve">Long-term debt (including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58" w:type="dxa"/>
            <w:tcBorders/>
            <w:shd w:fill="CCEEFF" w:val="clear"/>
            <w:tcMar>
              <w:bottom w:w="0" w:type="dxa"/>
            </w:tcMar>
            <w:vAlign w:val="center"/>
          </w:tcPr>
          <w:p>
            <w:pPr>
              <w:pStyle w:val="TableContents"/>
              <w:bidi w:val="0"/>
              <w:spacing w:before="0" w:after="0"/>
              <w:ind w:left="200" w:right="0" w:hanging="0"/>
              <w:jc w:val="left"/>
              <w:rPr/>
            </w:pPr>
            <w:r>
              <w:rPr>
                <w:spacing w:val="4"/>
              </w:rPr>
              <w:t>2026 Convertible Notes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2" w:type="dxa"/>
            <w:tcBorders/>
            <w:shd w:fill="CCEEFF" w:val="clear"/>
            <w:tcMar>
              <w:bottom w:w="0" w:type="dxa"/>
            </w:tcMar>
            <w:vAlign w:val="center"/>
          </w:tcPr>
          <w:p>
            <w:pPr>
              <w:pStyle w:val="TableContents"/>
              <w:bidi w:val="0"/>
              <w:spacing w:before="0" w:after="283"/>
              <w:jc w:val="right"/>
              <w:rPr/>
            </w:pPr>
            <w:r>
              <w:rPr/>
              <w:t>2,012.5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2" w:type="dxa"/>
            <w:tcBorders/>
            <w:shd w:fill="CCEEFF" w:val="clear"/>
            <w:tcMar>
              <w:bottom w:w="0" w:type="dxa"/>
            </w:tcMar>
            <w:vAlign w:val="center"/>
          </w:tcPr>
          <w:p>
            <w:pPr>
              <w:pStyle w:val="TableContents"/>
              <w:bidi w:val="0"/>
              <w:spacing w:before="0" w:after="283"/>
              <w:jc w:val="right"/>
              <w:rPr/>
            </w:pPr>
            <w:r>
              <w:rPr/>
              <w:t>2,012.5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58" w:type="dxa"/>
            <w:tcBorders/>
            <w:tcMar>
              <w:bottom w:w="0" w:type="dxa"/>
            </w:tcMar>
            <w:vAlign w:val="center"/>
          </w:tcPr>
          <w:p>
            <w:pPr>
              <w:pStyle w:val="TableContents"/>
              <w:bidi w:val="0"/>
              <w:spacing w:before="0" w:after="0"/>
              <w:ind w:left="200" w:right="0" w:hanging="0"/>
              <w:jc w:val="left"/>
              <w:rPr/>
            </w:pPr>
            <w:r>
              <w:rPr>
                <w:spacing w:val="4"/>
              </w:rPr>
              <w:t>ABL Credit Facility</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58" w:type="dxa"/>
            <w:tcBorders/>
            <w:shd w:fill="CCEEFF" w:val="clear"/>
            <w:tcMar>
              <w:bottom w:w="0" w:type="dxa"/>
            </w:tcMar>
            <w:vAlign w:val="center"/>
          </w:tcPr>
          <w:p>
            <w:pPr>
              <w:pStyle w:val="TableContents"/>
              <w:bidi w:val="0"/>
              <w:spacing w:before="0" w:after="0"/>
              <w:ind w:left="200" w:right="0" w:hanging="0"/>
              <w:jc w:val="left"/>
              <w:rPr/>
            </w:pPr>
            <w:r>
              <w:rPr>
                <w:spacing w:val="4"/>
              </w:rPr>
              <w:t>GIB Credit Facility</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2" w:type="dxa"/>
            <w:tcBorders/>
            <w:shd w:fill="CCEEFF" w:val="clear"/>
            <w:tcMar>
              <w:bottom w:w="0" w:type="dxa"/>
            </w:tcMar>
            <w:vAlign w:val="center"/>
          </w:tcPr>
          <w:p>
            <w:pPr>
              <w:pStyle w:val="TableContents"/>
              <w:bidi w:val="0"/>
              <w:spacing w:before="0" w:after="283"/>
              <w:jc w:val="right"/>
              <w:rPr/>
            </w:pPr>
            <w:r>
              <w:rPr/>
              <w:t>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2" w:type="dxa"/>
            <w:tcBorders/>
            <w:shd w:fill="CCEEFF" w:val="clear"/>
            <w:tcMar>
              <w:bottom w:w="0" w:type="dxa"/>
            </w:tcMar>
            <w:vAlign w:val="center"/>
          </w:tcPr>
          <w:p>
            <w:pPr>
              <w:pStyle w:val="TableContents"/>
              <w:bidi w:val="0"/>
              <w:spacing w:before="0" w:after="283"/>
              <w:jc w:val="right"/>
              <w:rPr/>
            </w:pPr>
            <w:r>
              <w:rPr/>
              <w:t>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58"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4"/>
              </w:rPr>
              <w:t>SIDF Loan</w:t>
            </w:r>
            <w:r>
              <w:rPr>
                <w:spacing w:val="3"/>
                <w:sz w:val="13"/>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2"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42"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58"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long-term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2" w:type="dxa"/>
            <w:tcBorders>
              <w:bottom w:val="single" w:sz="2" w:space="0" w:color="000000"/>
            </w:tcBorders>
            <w:shd w:fill="CCEEFF" w:val="clear"/>
            <w:tcMar>
              <w:bottom w:w="50" w:type="dxa"/>
            </w:tcMar>
            <w:vAlign w:val="center"/>
          </w:tcPr>
          <w:p>
            <w:pPr>
              <w:pStyle w:val="TableContents"/>
              <w:bidi w:val="0"/>
              <w:spacing w:before="0" w:after="283"/>
              <w:jc w:val="right"/>
              <w:rPr/>
            </w:pPr>
            <w:r>
              <w:rPr/>
              <w:t>2,080.7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42" w:type="dxa"/>
            <w:tcBorders>
              <w:bottom w:val="single" w:sz="2" w:space="0" w:color="000000"/>
            </w:tcBorders>
            <w:shd w:fill="CCEEFF" w:val="clear"/>
            <w:tcMar>
              <w:bottom w:w="50" w:type="dxa"/>
            </w:tcMar>
            <w:vAlign w:val="center"/>
          </w:tcPr>
          <w:p>
            <w:pPr>
              <w:pStyle w:val="TableContents"/>
              <w:bidi w:val="0"/>
              <w:spacing w:before="0" w:after="283"/>
              <w:jc w:val="right"/>
              <w:rPr/>
            </w:pPr>
            <w:r>
              <w:rPr/>
              <w:t>2,080.7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58" w:type="dxa"/>
            <w:tcBorders/>
            <w:tcMar>
              <w:bottom w:w="0" w:type="dxa"/>
            </w:tcMar>
            <w:vAlign w:val="center"/>
          </w:tcPr>
          <w:p>
            <w:pPr>
              <w:pStyle w:val="TableContents"/>
              <w:bidi w:val="0"/>
              <w:spacing w:before="0" w:after="283"/>
              <w:jc w:val="left"/>
              <w:rPr>
                <w:spacing w:val="4"/>
              </w:rPr>
            </w:pPr>
            <w:r>
              <w:rPr>
                <w:spacing w:val="4"/>
              </w:rPr>
              <w:t xml:space="preserve">Redeemable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58" w:type="dxa"/>
            <w:tcBorders>
              <w:bottom w:val="single" w:sz="2" w:space="0" w:color="CCEEFF"/>
            </w:tcBorders>
            <w:shd w:fill="CCEEFF" w:val="clear"/>
            <w:vAlign w:val="center"/>
          </w:tcPr>
          <w:p>
            <w:pPr>
              <w:pStyle w:val="TableContents"/>
              <w:bidi w:val="0"/>
              <w:spacing w:before="0" w:after="0"/>
              <w:ind w:left="400" w:right="0" w:hanging="200"/>
              <w:jc w:val="left"/>
              <w:rPr/>
            </w:pPr>
            <w:r>
              <w:rPr>
                <w:spacing w:val="4"/>
              </w:rPr>
              <w:t>Series A redeemable convertible preferred stock, $0.0001 par value per share; 10,000,000 shares authorized, actual and as adjusted; 100,000 shares issued and outstanding, actual and as adjusted (related party)</w:t>
            </w:r>
            <w:r>
              <w:rPr>
                <w:spacing w:val="3"/>
                <w:szCs w:val="13"/>
              </w:rPr>
              <w:t>﻿</w:t>
            </w:r>
            <w:r>
              <w:rPr>
                <w:spacing w:val="3"/>
                <w:sz w:val="13"/>
              </w:rPr>
              <w:t>(5)</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32" w:type="dxa"/>
            <w:tcBorders>
              <w:bottom w:val="single" w:sz="2" w:space="0" w:color="000000"/>
            </w:tcBorders>
            <w:shd w:fill="CCEEFF" w:val="clear"/>
            <w:tcMar>
              <w:bottom w:w="37" w:type="dxa"/>
            </w:tcMar>
            <w:vAlign w:val="center"/>
          </w:tcPr>
          <w:p>
            <w:pPr>
              <w:pStyle w:val="TableContents"/>
              <w:bidi w:val="0"/>
              <w:spacing w:before="0" w:after="283"/>
              <w:jc w:val="right"/>
              <w:rPr/>
            </w:pPr>
            <w:r>
              <w:rPr/>
              <w:t>651.3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42" w:type="dxa"/>
            <w:tcBorders>
              <w:bottom w:val="single" w:sz="2" w:space="0" w:color="000000"/>
            </w:tcBorders>
            <w:shd w:fill="CCEEFF" w:val="clear"/>
            <w:tcMar>
              <w:bottom w:w="37" w:type="dxa"/>
            </w:tcMar>
            <w:vAlign w:val="center"/>
          </w:tcPr>
          <w:p>
            <w:pPr>
              <w:pStyle w:val="TableContents"/>
              <w:bidi w:val="0"/>
              <w:spacing w:before="0" w:after="283"/>
              <w:jc w:val="right"/>
              <w:rPr/>
            </w:pPr>
            <w:r>
              <w:rPr/>
              <w:t>651.3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58" w:type="dxa"/>
            <w:tcBorders/>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58"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Common stock, $0.0001 par value per share; 15,000,000,000 shares authorized, actual and as adjusted; 2,319,543,729 shares issued and 2,318,685,904 shares outstanding, actual; 2,956,708,587 shares issued and 2,955,850,762 shares outstanding,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2" w:type="dxa"/>
            <w:tcBorders/>
            <w:shd w:fill="CCEEFF" w:val="clear"/>
            <w:tcMar>
              <w:bottom w:w="0" w:type="dxa"/>
            </w:tcMar>
            <w:vAlign w:val="center"/>
          </w:tcPr>
          <w:p>
            <w:pPr>
              <w:pStyle w:val="TableContents"/>
              <w:bidi w:val="0"/>
              <w:spacing w:before="0" w:after="283"/>
              <w:jc w:val="right"/>
              <w:rPr/>
            </w:pPr>
            <w:r>
              <w:rPr/>
              <w:t>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2" w:type="dxa"/>
            <w:tcBorders/>
            <w:shd w:fill="CCEEFF" w:val="clear"/>
            <w:tcMar>
              <w:bottom w:w="0" w:type="dxa"/>
            </w:tcMar>
            <w:vAlign w:val="center"/>
          </w:tcPr>
          <w:p>
            <w:pPr>
              <w:pStyle w:val="TableContents"/>
              <w:bidi w:val="0"/>
              <w:spacing w:before="0" w:after="283"/>
              <w:jc w:val="right"/>
              <w:rPr/>
            </w:pPr>
            <w:r>
              <w:rPr/>
              <w:t xml:space="preserve">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58" w:type="dxa"/>
            <w:tcBorders/>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2" w:type="dxa"/>
            <w:tcBorders/>
            <w:tcMar>
              <w:bottom w:w="0" w:type="dxa"/>
            </w:tcMar>
            <w:vAlign w:val="center"/>
          </w:tcPr>
          <w:p>
            <w:pPr>
              <w:pStyle w:val="TableContents"/>
              <w:bidi w:val="0"/>
              <w:spacing w:before="0" w:after="283"/>
              <w:jc w:val="right"/>
              <w:rPr/>
            </w:pPr>
            <w:r>
              <w:rPr/>
              <w:t>15,063.5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2" w:type="dxa"/>
            <w:tcBorders/>
            <w:tcMar>
              <w:bottom w:w="0" w:type="dxa"/>
            </w:tcMar>
            <w:vAlign w:val="center"/>
          </w:tcPr>
          <w:p>
            <w:pPr>
              <w:pStyle w:val="TableContents"/>
              <w:bidi w:val="0"/>
              <w:spacing w:before="0" w:after="283"/>
              <w:jc w:val="right"/>
              <w:rPr/>
            </w:pPr>
            <w:r>
              <w:rPr/>
              <w:t xml:space="preserve">16,713.2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5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2" w:type="dxa"/>
            <w:tcBorders>
              <w:bottom w:val="single" w:sz="2" w:space="0" w:color="000000"/>
            </w:tcBorders>
            <w:shd w:fill="CCEEFF" w:val="clear"/>
            <w:tcMar>
              <w:bottom w:w="50" w:type="dxa"/>
            </w:tcMar>
            <w:vAlign w:val="center"/>
          </w:tcPr>
          <w:p>
            <w:pPr>
              <w:pStyle w:val="TableContents"/>
              <w:bidi w:val="0"/>
              <w:spacing w:before="0" w:after="283"/>
              <w:jc w:val="right"/>
              <w:rPr/>
            </w:pPr>
            <w:r>
              <w:rPr/>
              <w:t>(11,523.0)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(11,523.0)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58"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2" w:type="dxa"/>
            <w:tcBorders>
              <w:bottom w:val="single" w:sz="2" w:space="0" w:color="000000"/>
            </w:tcBorders>
            <w:tcMar>
              <w:bottom w:w="50" w:type="dxa"/>
            </w:tcMar>
            <w:vAlign w:val="center"/>
          </w:tcPr>
          <w:p>
            <w:pPr>
              <w:pStyle w:val="TableContents"/>
              <w:bidi w:val="0"/>
              <w:spacing w:before="0" w:after="283"/>
              <w:jc w:val="right"/>
              <w:rPr/>
            </w:pPr>
            <w:r>
              <w:rPr/>
              <w:t>3,515.9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42" w:type="dxa"/>
            <w:tcBorders>
              <w:bottom w:val="single" w:sz="2" w:space="0" w:color="000000"/>
            </w:tcBorders>
            <w:tcMar>
              <w:bottom w:w="50" w:type="dxa"/>
            </w:tcMar>
            <w:vAlign w:val="center"/>
          </w:tcPr>
          <w:p>
            <w:pPr>
              <w:pStyle w:val="TableContents"/>
              <w:bidi w:val="0"/>
              <w:spacing w:before="0" w:after="283"/>
              <w:jc w:val="right"/>
              <w:rPr/>
            </w:pPr>
            <w:r>
              <w:rPr/>
              <w:t>5,165.6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58"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2" w:type="dxa"/>
            <w:tcBorders>
              <w:bottom w:val="double" w:sz="8" w:space="0" w:color="000000"/>
            </w:tcBorders>
            <w:shd w:fill="CCEEFF" w:val="clear"/>
            <w:tcMar>
              <w:bottom w:w="50" w:type="dxa"/>
            </w:tcMar>
            <w:vAlign w:val="center"/>
          </w:tcPr>
          <w:p>
            <w:pPr>
              <w:pStyle w:val="TableContents"/>
              <w:bidi w:val="0"/>
              <w:spacing w:before="0" w:after="283"/>
              <w:jc w:val="right"/>
              <w:rPr/>
            </w:pPr>
            <w:r>
              <w:rPr/>
              <w:t>6,247.9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2" w:type="dxa"/>
            <w:tcBorders>
              <w:bottom w:val="double" w:sz="8" w:space="0" w:color="000000"/>
            </w:tcBorders>
            <w:shd w:fill="CCEEFF" w:val="clear"/>
            <w:tcMar>
              <w:bottom w:w="50" w:type="dxa"/>
            </w:tcMar>
            <w:vAlign w:val="center"/>
          </w:tcPr>
          <w:p>
            <w:pPr>
              <w:pStyle w:val="TableContents"/>
              <w:bidi w:val="0"/>
              <w:spacing w:before="0" w:after="283"/>
              <w:jc w:val="right"/>
              <w:rPr/>
            </w:pPr>
            <w:r>
              <w:rPr/>
              <w:t>7,897.6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outstanding principal amount.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2022, we entered into a five-year senior secured asset-based revolving credit facility (the “ABL Credit Facility”) with a syndicate of banks. As of June 30, 2024, we had no outstanding borrowings and $48.4 million outstanding letters of credit under the ABL Credit Facility. The ABL Credit Facility provides for an initial aggregate principal commitment amount of up to $1.0 billion (including a $350.0 million letter of credit subfacility and a $100.0 million swingline loan subfacility), the availability of which amount is subject to the value of eligible assets in the borrowing base, and has a stated maturity date of June 9, 2027.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2022, and as amended on March 12, 2023, our wholly-owned subsidiary Lucid, LLC, a limited liability company established in the Kingdom of Saudi Arabia (“Lucid LLC”), entered into a revolving credit facility agreement (the “GIB Credit Facility Agreement”). The GIB Credit Facility Agreement provides for a credit facility (the “GIB Credit Facility”) in an aggregate principal amount of SAR 1 billion (approximately $266.1 million). Loans under the GIB Credit Facility Agreement will have a maturity of no more than 12 months. As of June 30, 2024, we had outstanding borrowings of SAR 256 million (approximately $68.2 million) under the GIB Credit Facility Agreement, which was recorded within other current liabilities on condensed consolidated balance sheets. </w:t>
      </w:r>
      <w:r>
        <mc:AlternateContent>
          <mc:Choice Requires="wps">
            <w:drawing>
              <wp:anchor behindDoc="0" distT="508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27, 2022, Lucid LLC entered into a loan agreement (the “SIDF Loan Agreement”). Under the SIDF Loan Agreement, the Saudi Industrial Development Fund committed to provide loans to Lucid LLC in an aggregate principal amount of up to SAR 5.19 billion (approximately $1.4 billion). As of June 30, 2024, we had no outstanding borrowings under the SIDF Loan Agreement. </w:t>
      </w:r>
      <w:r>
        <mc:AlternateContent>
          <mc:Choice Requires="wps">
            <w:drawing>
              <wp:anchor behindDoc="0" distT="508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carrying value of the Series A Convertible Preferred Stock as of June 30, 2024. This table does not reflect the derivative liability amounts associated with the Series A Convertible Preferred Stock. As of June 30, 2024, the liquidation preference of the Series A Convertible Preferred Stock was $1,045.4 million. </w:t>
      </w:r>
      <w:r>
        <mc:AlternateContent>
          <mc:Choice Requires="wps">
            <w:drawing>
              <wp:anchor behindDoc="0" distT="508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AYI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AYAR INVESTMENT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Investor Rights Agreement, we are required to provide Ayar the opportunity to participate as a purchaser in future equity offerings as a purchaser in such offering or in a private placement substantially concurrent with such offering, on terms no less favorable to the Company or Ayar than the terms applicable to other purchasers in such offering, and in an amount that allows Ayar to maintain up to its pro rata ownership of our common stock as of immediately prior to the commencement of such equity offering after giving effect to such equity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Ayar has agreed to purchase from us, subject to certain conditions, 374,717,927 shares of our common stock in a private placement concurrently with this offering at the same price per share initially to be paid by the underwriter for this offering as set forth in this prospectus supplement.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58.8%, which is the number of shares of our outstanding common stock owned by PIF (which does not include any share of common stock issuable upon conversion of the outstanding Redeemable Convertible Preferred Stock), both directly and indirectly through Ayar, as a percentage of the total number of shares of our common stock outstanding as of September 30, 2024, and the denominator of which is approximately 41.2%, rounded down to the nearest whole share. Following the sale in this offering and the sale in the Ayar Investment, PIF, both directly and indirectly through Ayar, is expected to continue to own approximately 58.8% of our outstanding common stock (which does not include any share of common stock issuable upon conversion of the outstanding Redeemable Convertible Preferred Stock). We expect to settle the Ayar Investment on or about October 31, 2024, for an aggregate purchase price of approximately $970.2 million, after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Ayar has agreed to purchase from us in the Ayar Investment, in the event that the underwriter exercises its overallotment option to purchase additional shares of our common stock, additional shares of our common stock, in a number equal to the number of additional shares purchased by the underwriter, multiplied by the Ayar Investment Ratio.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enter into a fifth amendment to the Investor Rights Agreement (the “Fifth IRA Amendment”) with Ayar in connection with this offering. Pursuant to the proposed Fifth IRA Amendment, Ayar will be entitled to certain registration rights, including demand, piggy-back and shelf registration rights, with respect to the shares of common stock Ayar purchases in the Ayar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Ayar Investment is not a part of this offering, and is in addition to the 262,446,931 shares that we are selling in this offering. The completion of the Ayar Investment is contingent on the completion of this offering, as well as certain other customary closing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Ayar has agreed, with certain exceptions, that without our prior written consent, it will not, for 120 days after the date of the closing of the Ayar Investment: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whether any such transaction described above is to be settled by delivery of common stock or such other securities, in cash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our board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and made to all holders of shares of our capital stock involving a change of control. These restrictions apply to securities owned now or acquired later by Ayar or for which Ayar has or later acquires the power of disposition.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in the underwriting agreement for this offering not to waive these restrictions without the consent of the underwriter.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UNF7"/>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BofA Securities, Inc. is acting as underwriter of the offering. Subject to the terms and conditions set forth in an underwriting agreement between us and the underwriter, we have agreed to sell to the underwriter, and the underwriter has agreed to purchase from us 262,446,931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 has agreed to purchase all of the shares sold under the underwriting agreement if any of these shares are purchased.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 against certain liabilities, including liabilities under the Securities Act, or to contribute to payments the underwriter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is purchasing the shares of common stock from us at $2.591 per share (representing approximately $679.5 million aggregate net proceeds to us, after expenses). The underwriter may offer the shares of common stock from time to time for sale in one or more transactions on the Nasdaq Global Market, in the over-the-counter market, through negotiated transactions or otherwise at market prices prevailing at the time of sale, at prices related to prevailing market prices or at negotiated prices. In connection with the sale of the shares of common stock offered hereby, the underwriter may be deemed to have received compensation in the form of underwriting discounts. The underwriter may effect such transactions by selling shares of common stock to or through dealers, and such dealers may receive compensation in the form of discounts, concessions or commissions from the underwriter and / or purchasers of shares of common stock for whom they may act as agents or to whom they may sell as principal.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an option to the underwriter, exercisable for 30 days after the date of this prospectus supplement, subject to the conditions contained in the underwriting agreement, to purchase up to 39,367,040 additional shares at the price per share set forth on the cover page of this prospectus supplement, solely to cover overallotments.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executive officers and directors have agreed, with certain limited exceptions, that without the prior written consent of the underwriter, we and they will not, for a period of 120 days after the date of this prospectus supplement: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right with respect to the registration of any of such common stock, or file, cause to be filed or cause to be confidentially submitted any registration statement in connection therewith, under the Securities Act of 1933, as amended; or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whether any such transaction described above is to be settled by delivery of common stock or such other securities, in cash or otherwise. In addition, we and each such person has agreed that, without the prior written consent of the underwriter,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 This lock-up provision applies to common stock and to securities convertible into or exchangeable or exercisable for common stock, whether now owned or acquired later by us or such other person or for which we or such other person later acquires the power of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issuances or sales by us, these restrictions do not apply to the shares to be sold in this offering; any shares of common stock issued by us upon the exercise of an option or warrant or the conversion of a security outstanding on the date of this prospectus supplement; any shares of common stock issued upon the exercise, vesting or settlement of equity awards or the issuance of equity awards granted pursuant to our existing employee benefit plans existing on the date of this prospectus supplement; any shares of common stock issued pursuant to any non-employee director stock plan or dividend reinvestment plan existing on the date of this prospectus supplement; the entry into agreements to issue or the issuance of up to 5% of our outstanding common stock in connection with one or more acquisitions or strategic transactions, in each case subject to certain conditions; any shares of common stock issued to Ayar pursuant to the terms of the Ayar Investment; or any action required to be taken under the Company’s Investor Rights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sales by our directors and our executive officers, subject to certain customary conditions, these restrictions do not apply to transfers made by will, other testamentary document or intestacy; as a bona fide gift or gifts, including to charitable organizations or for bona fide estate planning purposes; to any trust for the benefit of the director or officer; or the immediate family of the director or officer; to a partnership, limited liability company or other entity of which the director or officer and the immediate family of the director or officer are the legal and beneficial owner of all of the outstanding equity securities; if the lock-up agreement signatory is a business entity, to another business entity that is an affiliate of the director or officer, or to any investment fund or other entity controlling, controlled by, managing or managed by or under common control with the director or officer or affiliates of the director or officer, or as part of a distribution to members or shareholders of the lock-up agreement signatory; to a nominee or custodian of any person or entity to whom a transfer would be permissible under any of the preceding exceptions set forth in this sentence; in the case of an individual, by operation of law; from an employee or a director of, or a service provider to, the Company or any of its subsidiaries upon the death, disability or termination of employment, in each case, of such person; pursuant to a bona fide third-party tender offer, merger, consolidation or other similar transaction that is approved by the board of directors of the Company and made to all holders of shares of the Company’s capital stock involving a change of control; in connection with the exercise of any stock options or warrants, or the vesting or settlement of any restricted stock units or other compensatory equity securities in respect of shares of the Company outstanding as of the date the lock-up agreement is executed for any payment due for the exercise of options or other rights to purchase securities of the Company and to cover tax withholding obligations or taxes due in connection with such vesting, settlement or exercise (including by means of a “net settlement,” “sell to cover” or otherwise); and pursuant to trading plans established in accordance with Rule 10b5-1 under the Exchange Act prior to the date hereof. This lock-up provision applies to our common stock and to securities convertible into or exchangeable or exercisable for our common stock. It also applies to common stock owned now or acquired later by the person executing the agreement or for which the person executing the agreement later acquires the power of disposition.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Nasdaq Global Market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listed on the Nasdaq Global Market under the symbol “LCID.”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 may purchase and sell our common stock in the open market. These transactions may include short sales and purchases on the open market to cover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created by short sales. Short sales involve the sale by the underwriter of a greater number of shares than they are required to purchase in the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Nasdaq Global Market,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 makes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Passive Market Making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 may engage in passive market making transactions in the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 is not required to engage in passive market making and may end passive market making activities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 may distribute prospectuses by electronic means, such as e-mail.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State”), no shares of common stock have been offered or will be offered pursuant to this offering to the public in that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the Prospectus Regulation; </w:t>
      </w:r>
      <w:r>
        <mc:AlternateContent>
          <mc:Choice Requires="wps">
            <w:drawing>
              <wp:anchor behindDoc="0" distT="889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Prospectus Regulation), subject to obtaining the prior consent of the underwriter for any such offer; or </w:t>
      </w:r>
      <w:r>
        <mc:AlternateContent>
          <mc:Choice Requires="wps">
            <w:drawing>
              <wp:anchor behindDoc="0" distT="889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889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shares of common stock shall require the Company or the underwriter to publish a prospectus pursuant to Article 3 of the Prospectus Regulation or supplement a prospectus pursuant to Article 23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in a Relevant State (other than a Relevant State where there is a Permitted Public Offer) who initially acquires any shares of common stock or to whom any offer is made will be deemed to have represented, acknowledged and agreed to and with the Company and the underwriter that it is a qualified investor within the meaning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 has been obtained to each such proposed offer or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the underwriter and their affiliates will rely upon the truth and accuracy of the foregoing representations, acknowledgements and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 United Kingdom (“UK”), no shares of common stock have been offered or will be offered pursuant to this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the UK Prospectus Regulation; </w:t>
      </w:r>
      <w:r>
        <mc:AlternateContent>
          <mc:Choice Requires="wps">
            <w:drawing>
              <wp:anchor behindDoc="0" distT="889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UK Prospectus Regulation), subject to obtaining the prior consent of the underwriter for any such offer; or </w:t>
      </w:r>
      <w:r>
        <mc:AlternateContent>
          <mc:Choice Requires="wps">
            <w:drawing>
              <wp:anchor behindDoc="0" distT="889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in other circumstances falling within section 86 of the FSMA, </w:t>
      </w:r>
      <w:r>
        <mc:AlternateContent>
          <mc:Choice Requires="wps">
            <w:drawing>
              <wp:anchor behindDoc="0" distT="8890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Shares shall require the Issuer or the underwriter to publish a prospectus pursuant to Section 85 of the FSMA or Article 3 of the UK Prospectus Regulation or supplement a prospectus pursuant to Article 23 of the UK Prospectus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in the UK who initially acquires any shares of common stock or to whom any offer is made will be deemed to have represented, acknowledged and agreed to and with the Company and the underwriter that it is a qualified investor within the meaning of the UK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 has been obtained to each such proposed offer or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the underwriter and their affiliates will rely upon the truth and accuracy of the foregoing representations, acknowledgements and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common stock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Dubai International Financial Centre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shares of common stock are subscribed or purchased under Section 275 of the SFA by a relevant person which is: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6350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6350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to any person arising from an offer referred to in Section 275(1A) or Section 276(4)(i)(B) of the SFA; </w:t>
      </w:r>
      <w:r>
        <mc:AlternateContent>
          <mc:Choice Requires="wps">
            <w:drawing>
              <wp:anchor behindDoc="0" distT="635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635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or </w:t>
      </w:r>
      <w:r>
        <mc:AlternateContent>
          <mc:Choice Requires="wps">
            <w:drawing>
              <wp:anchor behindDoc="0" distT="635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635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shares of common stock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shares of common stock must be made in accordance with an exemption from, or in a transaction not subject to, the prospectus requirements of applicable securities laws.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(or, in the case of securities issued or guaranteed by the government of a non-Canadian jurisdiction, section 3A.4)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 is not required to comply with the disclosure requirements of NI 33-105 regarding underwriter conflicts of interest in connection with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USF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 S. FEDERAL INCOME TAX CONSIDERATIONS FOR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U.S. federal income tax considerations generally applicable to Non-U.S. Holders (as defined below) with respect to the ownership and disposition of shares of our common stock issued pursuant to this offering that are held by such Non-U.S. Holders as a capital asset (generally, property held for investment) within the meaning of the Internal Revenue Code of 1986, as amended (the “Code”). This summary is based on the Code, Treasury Regulations promulgated thereunder, judicial decisions, administrative rulings and published positions of the Internal Revenue Service (“IRS”) and other applicable authorities, in each case as in effect as of the date of this document and all of which are subject to change, possibly with retroactive effect. This summary is not binding on the IRS and there can be no assurance that the IRS or a court will agree with the conclusions stated herein. This summary is not a complete description of all of the U.S. federal income tax considerations that may be relevant to a particular Non-U.S. Holder. In addition, this summary does not address considerations relevant to Non-U.S. Holders subject to special rules, including, without limitation: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or currencies;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former citizens or residents of the United States;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elect to mark their securities to market;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common stock as part of a straddle, hedge, conversion or other integrated transaction;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common stock under the constructive sale provisions of the Code;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shares of our common stock as compensation or otherwise in connection with the performance of services;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and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entities or arrangements treated as partnerships for U.S. federal income tax purposes) or other pass-through entities.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shares of our common stock, the U.S. federal income tax treatment of a partner in the partnership will generally depend on the status of the partner and the activities of the partnership. Partnerships, and partners of a partnership, holding shares of our common stock should consult their tax advisors regarding the U.S. federal income tax consequences to them of owning and disposing of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summary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shares of our common stock that, for U.S. federal income tax purposes, is an individual, corporation, estate or trust that is not, and is not treated as, any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court within the United States and for which one or more United States persons (as defined in Section 7701(a)(30) of the Code) have the authority to control all substantial decisions, or (ii) that has otherwise validly elected to be treated as a U.S. person under the applicable Treasury Regulations.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the section of this prospectus titled “Dividends,” we do not currently anticipate paying cash dividends on our common stock in the foreseeable future. However, if we do make distributions of cash or property (other than certain stock distributions) with respect to shares of our common stock (or if we engage in certain redemptions that are treated as distributions with respect to shares of our common stock), any such distributions will generally be treated as dividends to the extent paid from our current or accumulated earnings and profits, as determined under U.S. federal income tax principles. Amounts of such distributions in excess of our current and accumulated earnings and profits will be treated, first, as a return of capital and be applied against and reduce a Non-U.S. Holder’s adjusted tax basis in its shares of our common stock (but not below zero) and, thereafter, as capital gain, which is subject to the tax treatment described below under “— Sale or Other Taxable Disposition.”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on effectively connected income, dividends paid to a Non-U.S. Holder with respect to shares of our common stock will be subject to U.S. federal withholding tax at a rate of thirty percent (30%) of the gross amount of the dividends (or such lower rate specified by an applicable income tax treaty, provided the Non-U.S. Holder furnishes a properly executed IRS Form W-8BEN or W-8BEN-E (or its successor form or other applicable documentation) certifying its qualification for such lower treaty rate).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amounts in respect of U.S. federal withholding tax will generally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a properly executed IRS Form W-8ECI (or its successor form or other applicable documentation). Any such effectively connected dividends will generally be subject to U.S. federal income tax on a net income basis at the regular graduated rates that apply to U.S. persons. A Non-U.S. Holder that is treated as a corporation for U.S. federal income tax purposes receiving effectively connected dividends may also be subject to an additional “branch profits tax” imposed at a rate of thirty percent (30%) (or a lower rate specified by an applicable income tax treaty) on its effectively connected earnings and profits (subject to certain adjustments). Non-U.S. Holders should consult their tax advisors regarding their entitlement to benefits under any applicable income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or Other Taxable Disposition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U.S. federal income tax on any gain realized upon the sale or other taxable disposition of shares of our common stock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gain is “effectively connected” with a trade or business of the Non-U.S. Holder in the United States (and, if required by an applicable income tax treaty, is attributable to a permanent establishment or fixed base maintained by the Non-U.S. Holder in the United States);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or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constitutes a U.S. real property interest by reason of our status as a U.S. real property holding corporation (“USRPHC”) for U.S. federal income tax purposes.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generally be subject to U.S. federal income tax on a net income basis at the regular graduated rates that apply to U.S. persons. A Non-U.S. Holder that is treated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corporation for U.S. federal income tax purposes may also be subject to an additional “branch profits tax” as discussed above under “—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recognized by a Non-U.S. Holder described in the second bullet point above will generally be subject to U.S. federal income tax at a rate of thirty percent (30%) (or a lower rate specified by an applicable income tax treaty), which may be offset by U.S.-source capital losses of the Non-U.S. Holder (even though such individual is not considered a resident of the United States), provided the Non-U.S. Holder has timely filed U.S. federal income tax returns with respect to such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third bullet point above, although there can be no assurance in this regard, we believe that we are not, and we do not anticipate becoming, a USRPHC for U.S. federal income tax purposes. Even if we are or were to become a USRPHC, gain arising from the sale or other taxable disposition by a Non-U.S. Holder of shares of our common stock will not be subject to U.S. federal income tax if our common stock is “regularly traded,” as defined by applicable Treasury Regulations, on an established securities market, and such Non-U.S. Holder owned, actually and constructively, five percent (5%) or less of our common stock throughout the shorter of the five-year period ending on the date of the sale or other taxable disposition or such Non-U.S. Holder’s holding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their entitlement to benefits under any applicable income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 Tax Compliance Act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thirty percent (30%) withholding rate may be imposed on dividends in respect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thirty percent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 We will not pay any amounts to holders in respect of any amounts withheld. Non-U.S. Holders should consult their tax advisors regarding the possible implications of this withholding tax on their investment in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LEMA"/>
      <w:bookmarkEnd w:id="17"/>
      <w:r>
        <w:rPr>
          <w:rFonts w:ascii="calibri;arial;sans-serif" w:hAnsi="calibri;arial;sans-serif"/>
          <w:b w:val="false"/>
          <w:i w:val="false"/>
          <w:caps w:val="false"/>
          <w:smallCaps w:val="false"/>
          <w:color w:val="000000"/>
          <w:sz w:val="16"/>
        </w:rPr>
        <w:t>​</w:t>
      </w:r>
      <w:bookmarkStart w:id="18" w:name="tEX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legality of the common stock offered hereby will be passed upon for us by Skadden, Arps, Slate, Meagher &amp; Flom LLP, Palo Alto, California. The underwriter has been represented by Simpson Thacher &amp; Bartlett LLP, Palo Alto, California.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54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LUCID GROUP, INC.</w:t>
      </w:r>
      <w:r>
        <w:rPr>
          <w:rFonts w:ascii="Times New Roman;Times;serif" w:hAnsi="Times New Roman;Times;serif"/>
          <w:b/>
          <w:i w:val="false"/>
          <w:caps w:val="false"/>
          <w:smallCaps w:val="false"/>
          <w:color w:val="000000"/>
          <w:spacing w:val="6"/>
          <w:sz w:val="3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3933825" cy="257175"/>
            <wp:effectExtent l="0" t="0" r="0" b="0"/>
            <wp:docPr id="1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 descr=""/>
                    <pic:cNvPicPr>
                      <a:picLocks noChangeAspect="1" noChangeArrowheads="1"/>
                    </pic:cNvPicPr>
                  </pic:nvPicPr>
                  <pic:blipFill>
                    <a:blip r:embed="rId24"/>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Common Stock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Preferred Stock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Depositary Shares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Debt Securities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Warrants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Subscription Rights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Purchase Contracts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and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Purchase Units</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issue and sell, together or separately: </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common stock;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preferred stock, which may be issued in one or more series;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receipts, representing fractional shares of our preferred stock, which are called depositary shares;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which may be issued in one or more series and which may be senior debt securities or subordinated debt securities;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to purchase shares of our common stock, shares of our preferred stock or our debt securities;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to purchase shares of our common stock, shares of our preferred stock or our debt securities;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contracts to purchase shares of our common stock, shares of our preferred stock or our debt securities; and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selling securityholders may offer and sell, from time to time, these securities on terms described in a prospectus supplement. </w:t>
      </w:r>
    </w:p>
    <w:p>
      <w:pPr>
        <w:pStyle w:val="TextBody"/>
        <w:bidi w:val="0"/>
        <w:spacing w:lineRule="atLeast" w:line="220" w:before="12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The specific terms of any securities to be offered will be described in a prospectus supplement. The prospectus supplement may also add, update or change information contained in this prospectus. You should read this prospectus and the applicable prospectus supplement carefully before you make your investment decision. </w:t>
      </w:r>
    </w:p>
    <w:p>
      <w:pPr>
        <w:pStyle w:val="TextBody"/>
        <w:bidi w:val="0"/>
        <w:spacing w:lineRule="atLeast" w:line="220" w:before="12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offer and sell these securities to or through one or more underwriters, dealers and agents, or directly to purchasers, on a continuous or delayed basis.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ind w:left="94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sell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ind w:left="540"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a number of risks. See “Risk Factors” on page </w:t>
      </w:r>
      <w:hyperlink w:anchor="tRIFA2">
        <w:r>
          <w:rPr>
            <w:rStyle w:val="InternetLink"/>
          </w:rPr>
          <w:t>8</w:t>
        </w:r>
      </w:hyperlink>
      <w:r>
        <w:rPr>
          <w:rFonts w:ascii="Times New Roman;Times;serif" w:hAnsi="Times New Roman;Times;serif"/>
          <w:b/>
          <w:i w:val="false"/>
          <w:caps w:val="false"/>
          <w:smallCaps w:val="false"/>
          <w:color w:val="000000"/>
          <w:spacing w:val="-4"/>
          <w:sz w:val="20"/>
        </w:rPr>
        <w:t xml:space="preserve"> before you make your investment decision.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lineRule="atLeast" w:line="220" w:before="12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LLC (“Nasdaq”) under the trading symbol “LCID.” Each prospectus supplement will indicate whether the securities offered thereby will be listed on any securities exchange. </w:t>
      </w:r>
    </w:p>
    <w:p>
      <w:pPr>
        <w:pStyle w:val="TextBody"/>
        <w:bidi w:val="0"/>
        <w:spacing w:lineRule="atLeast" w:line="220" w:before="120"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30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date of this prospectus is October 16, 2024.</w:t>
      </w:r>
      <w:r>
        <w:rPr>
          <w:rFonts w:ascii="Times New Roman;Times;serif" w:hAnsi="Times New Roman;Time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2">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2">
              <w:r>
                <w:rPr>
                  <w:rStyle w:val="InternetLink"/>
                  <w:spacing w:val="4"/>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FUT">
              <w:r>
                <w:rPr>
                  <w:rStyle w:val="InternetLink"/>
                  <w:spacing w:val="4"/>
                </w:rPr>
                <w:t xml:space="preserve">FREQUENTLY USED TERMS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FUT">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NRF">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RIFA2">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RIFA2">
              <w:r>
                <w:rPr>
                  <w:rStyle w:val="InternetLink"/>
                  <w:spacing w:val="4"/>
                </w:rPr>
                <w:t>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2">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2">
              <w:r>
                <w:rPr>
                  <w:rStyle w:val="InternetLink"/>
                  <w:spacing w:val="4"/>
                </w:rPr>
                <w:t>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S">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S">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DS">
              <w:r>
                <w:rPr>
                  <w:rStyle w:val="InternetLink"/>
                  <w:spacing w:val="4"/>
                </w:rPr>
                <w:t>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W">
              <w:r>
                <w:rPr>
                  <w:rStyle w:val="InternetLink"/>
                  <w:spacing w:val="4"/>
                </w:rPr>
                <w:t>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AND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PC">
              <w:r>
                <w:rPr>
                  <w:rStyle w:val="InternetLink"/>
                  <w:spacing w:val="4"/>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ESE">
              <w:r>
                <w:rPr>
                  <w:rStyle w:val="InternetLink"/>
                  <w:spacing w:val="4"/>
                </w:rPr>
                <w:t>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OD">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LEMA2">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LEMA2">
              <w:r>
                <w:rPr>
                  <w:rStyle w:val="InternetLink"/>
                  <w:spacing w:val="4"/>
                </w:rPr>
                <w:t>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P2">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P2">
              <w:r>
                <w:rPr>
                  <w:rStyle w:val="InternetLink"/>
                  <w:spacing w:val="4"/>
                </w:rPr>
                <w:t>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TP"/>
      <w:bookmarkEnd w:id="20"/>
      <w:r>
        <w:rPr>
          <w:rFonts w:ascii="calibri;arial;sans-serif" w:hAnsi="calibri;arial;sans-serif"/>
          <w:b w:val="false"/>
          <w:i w:val="false"/>
          <w:caps w:val="false"/>
          <w:smallCaps w:val="false"/>
          <w:color w:val="000000"/>
          <w:sz w:val="16"/>
        </w:rPr>
        <w:t>​</w:t>
      </w:r>
      <w:bookmarkStart w:id="21" w:name="tWYCF2"/>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and/or the selling securityholders may sell from time to time any combination of the securities described in this prospectus. This prospectus only provides you with a general description of the securities that we and/or the selling securityholders may offer. Each time we and/or the selling securityholders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prospectus is accurate as of the date on the front cover. You should not assume that the information contained in this prospectus is accurate as of any other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the terms “Lucid,” the “Company,” “we,” “our” and “us” refer to Lucid Group, Inc. and its consolidated subsidiaries, unless otherwise specified or the context otherwise requires.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under the Securities Exchange Act of 1934, as amended (the “Exchange Act”). Our SEC filings are available to the public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 </w:t>
      </w:r>
    </w:p>
    <w:p>
      <w:pPr>
        <w:pStyle w:val="TextBody"/>
        <w:bidi w:val="0"/>
        <w:spacing w:lineRule="atLeast" w:line="240" w:before="140" w:after="0"/>
        <w:ind w:left="1993" w:right="0" w:hanging="0"/>
        <w:jc w:val="left"/>
        <w:rPr/>
      </w:pPr>
      <w:hyperlink r:id="rId25">
        <w:r>
          <w:rPr>
            <w:rStyle w:val="InternetLink"/>
          </w:rPr>
          <w:t>our Annual Report on Form 10-K for the year ended December 31, 2023, filed with the SEC on February 27, 2024 (the “Annual Report”);</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fiscal year ended December 31, 2023 from our </w:t>
      </w:r>
      <w:hyperlink r:id="rId26">
        <w:r>
          <w:rPr>
            <w:rStyle w:val="InternetLink"/>
          </w:rPr>
          <w:t>definitive proxy statement on Schedule 14A, filed with the SEC on April 25,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2024 and June 30, 2024, filed with the SEC on </w:t>
      </w:r>
      <w:hyperlink r:id="rId27">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and </w:t>
      </w:r>
      <w:hyperlink r:id="rId28">
        <w:r>
          <w:rPr>
            <w:rStyle w:val="InternetLink"/>
          </w:rPr>
          <w:t>August 5, 2024</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889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9">
        <w:r>
          <w:rPr>
            <w:rStyle w:val="InternetLink"/>
          </w:rPr>
          <w:t>January 26, 2024</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February 15, 2024</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March 25, 2024</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March 29, 2024</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(only with respect to Item 5.02 therein), </w:t>
      </w:r>
      <w:hyperlink r:id="rId34">
        <w:r>
          <w:rPr>
            <w:rStyle w:val="InternetLink"/>
          </w:rPr>
          <w:t>May 24, 2024</w:t>
        </w:r>
      </w:hyperlink>
      <w:r>
        <w:rPr>
          <w:rFonts w:ascii="Times New Roman;Times;serif" w:hAnsi="Times New Roman;Times;serif"/>
          <w:b w:val="false"/>
          <w:i w:val="false"/>
          <w:caps w:val="false"/>
          <w:smallCaps w:val="false"/>
          <w:color w:val="000000"/>
          <w:spacing w:val="4"/>
          <w:sz w:val="20"/>
        </w:rPr>
        <w:t xml:space="preserve"> (only with respect to Item 2.05 therein), </w:t>
      </w:r>
      <w:hyperlink r:id="rId35">
        <w:r>
          <w:rPr>
            <w:rStyle w:val="InternetLink"/>
          </w:rPr>
          <w:t>June 6, 2024</w:t>
        </w:r>
      </w:hyperlink>
      <w:r>
        <w:rPr>
          <w:rFonts w:ascii="Times New Roman;Times;serif" w:hAnsi="Times New Roman;Times;serif"/>
          <w:b w:val="false"/>
          <w:i w:val="false"/>
          <w:caps w:val="false"/>
          <w:smallCaps w:val="false"/>
          <w:color w:val="000000"/>
          <w:spacing w:val="4"/>
          <w:sz w:val="20"/>
        </w:rPr>
        <w:t xml:space="preserve">, </w:t>
      </w:r>
      <w:hyperlink r:id="rId36">
        <w:r>
          <w:rPr>
            <w:rStyle w:val="InternetLink"/>
          </w:rPr>
          <w:t>August 5, 2024</w:t>
        </w:r>
      </w:hyperlink>
      <w:r>
        <w:rPr>
          <w:rFonts w:ascii="Times New Roman;Times;serif" w:hAnsi="Times New Roman;Times;serif"/>
          <w:b w:val="false"/>
          <w:i w:val="false"/>
          <w:caps w:val="false"/>
          <w:smallCaps w:val="false"/>
          <w:color w:val="000000"/>
          <w:spacing w:val="4"/>
          <w:sz w:val="20"/>
        </w:rPr>
        <w:t xml:space="preserve"> and </w:t>
      </w:r>
      <w:hyperlink r:id="rId37">
        <w:r>
          <w:rPr>
            <w:rStyle w:val="InternetLink"/>
          </w:rPr>
          <w:t>August 19,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contained in </w:t>
      </w:r>
      <w:hyperlink r:id="rId38">
        <w:r>
          <w:rPr>
            <w:rStyle w:val="InternetLink"/>
          </w:rPr>
          <w:t>Exhibit 4.6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2021, filed with the SEC on February 28, 2022, and any amendment or report filed for the purpose of updating such description.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FU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prospectus or the context otherwise requires, references to: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AMP-1” are to our Advanced Manufacturing Plant-1 in Casa Grande, Arizona;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AMP-2” are to our planned Advanced Manufacturing Plant-2 in Saudi Arabia, which consists of a semi knocked-down portion that has been completed and a completely-built-up portion that will be constructed;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Ayar” are to Ayar Third Investment Company, an affiliate of PIF and the controlling stockholder of the Company;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or “Board of Directors” are to the board of directors of Lucid Group Inc., a Delaware corporation;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Churchill” or “CCIV” are to Churchill Capital Corp IV, a Delaware corporation and our predecessor company prior to the consummation of the Transactions, which changed its name to Lucid Group, Inc. following the consummation of the Transactions, and its consolidated subsidiaries;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Churchill IPO” are to the initial public offering by Churchill which closed on August 3, 2020;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common stock” are to the Class A common stock of Lucid Group, Inc., par value $0.0001 per share;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current bylaws” are to the Company’s Second Amended and Restated Bylaws in effect as of the date of this prospectus;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current certificate of incorporation” are to the Company’s Third Amended and Restated Certificate of Incorporation in effect as of the date of this prospectus;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DGCL” are to the Delaware General Corporation Law, as amended;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 are to electric vehicle;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Investor Rights Agreement” are to the Investor Rights Agreement, dated as of February 22, 2021 and as may be amended from time to time, by and among the Company, the Sponsor, Ayar and certain other parties thereto;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Legacy Lucid” are to Atieva, Inc., d/b/a Lucid Motors, an exempted company incorporated with limited liability under the laws of the Cayman Islands, and its consolidated subsidiaries before the Closing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are to the merger of a merger subsidiary of Churchill and Atieva, Inc., with Atieva, Inc. surviving such merger as a wholly owned subsidiary of Churchill;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Nasdaq” are to The Nasdaq Stock Market LLC;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PIF” are to the Public Investment Fund, the sovereign wealth fund of Saudi Arabia;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Redeemable Convertible Preferred Stock” are to the Series A and Series B Convertible Preferred Stock of Lucid Group, Inc., par value $0.0001 per share;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 are to Churchill Sponsor IV LLC, a Delaware limited liability company and an affiliate of M. Klein and Company, LLC in which certain of Churchill’s directors and officers hold membership interests;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are to the Merger, together with the other transactions consummated under the Merger Agreement and the related agreements;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20"/>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Private Placement Warrants” are to Churchill’s warrants issued to the Sponsor in a private placement simultaneously with the closing of the Churchill IPO;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Promissory Note” are to the unsecured promissory note issued by Churchill to the Sponsor in an aggregate principal amount of $1,500,000. The Sponsor has elected to exercise its option to convert the unpaid balance of the Note of $1,500,000 into Working Capital Warrants;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Warrant Agreement” are to the Warrant Agreement, dated July 29, 2020, entered into in connection with the Churchill IPO by and between Continental Stock Transfer &amp; Trust Company and Churchill; and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Working Capital Warrants” are to the Company’s warrants to purchase common stock pursuant to the terms of the Promissory Note, on terms identical to the terms of the Private Placement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N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changes in overall demand for our products and services and cancellation of orders for our vehicles;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prices and availability of commodities, our supply chain, logistics, inventory management and quality control, and our ability to complete the tooling of our manufacturing facilities over time and scale production of the Lucid Air and other vehicles;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uncertainty of our projected financial information;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timing of expected business milestones and commercial product launches;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expansion of our manufacturing facility, the construction of new manufacturing facilities and the increase of our production capacity;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issuance and sale of shares of our Redeemable Convertible Preferred Stock;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expenses and control costs;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future market adoption of our offerings;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the pace and depth of electric vehicle adoption generally on our business;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regulatory requirements, governmental incentives and fuel and energy prices;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rapidly innovate;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or maintain partnerships with original equipment manufacturers, vendors and technology providers, including our ability to realize the anticipated benefits of our transaction with Aston Martin;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growth and recruit and retain key employees, including our chief executive officer and executive team;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vehicle recalls; </w:t>
      </w:r>
      <w:r>
        <mc:AlternateContent>
          <mc:Choice Requires="wps">
            <w:drawing>
              <wp:anchor behindDoc="0" distT="0" distB="0" distL="254000" distR="0" simplePos="0" locked="0" layoutInCell="1" allowOverlap="1" relativeHeight="138">
                <wp:simplePos x="0" y="0"/>
                <wp:positionH relativeFrom="column">
                  <wp:align>left</wp:align>
                </wp:positionH>
                <wp:positionV relativeFrom="line">
                  <wp:posOffset>635</wp:posOffset>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and expand our brand, and capture additional market share, and the risks associated with negative press or reputational harm;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utilize zero emission vehicle credits and obtain and utilize certain tax and other incentives;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conduct equity, equity-linked, or debt financing in the future;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interest and principal on our indebtedness;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changes to vehicle specifications which may impact performance, pricing, and other expectations;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potential litigation, government and regulatory proceedings, investigations and inquiries; and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this prospectus or our other filings with the SEC, including any accompanying prospectus supplement.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THC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Lucid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or any accompanying prospectus supplement, and you should not consider it a part of this prospectus or any accompanying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Controlled Company Exemption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RIFA2"/>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UOP2"/>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set forth in an accompanying prospectus supplement, we will not receive any proceeds in the event that securities are sold by a selling securityholder.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C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is a part. See “Where You Can Find More Information.” As used in this “Description of Capital Stock,” the terms “Lucid,” the “Company”, “we,” “our” and “us” refer to Lucid Group, Inc., a Delaware corporation, and do not, unless otherwise specified, include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15,000,000,000 shares of common stock, par value $0.0001 per share, and 10,000,000 shares of preferred stock, par value $0.0001 per share (the “Preferred Stock”). The outstanding shares of common stock are duly authorized, validly issued, fully paid and non-assessable. The number of authorized shares of any class may be increased or decreased by an amendment to our current certificate of incorporation proposed by our Board and approved by a majority of voting shares voted on the issue at a meeting at which a quorum exists.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Preferred Stock, we designated 100,000 shares as Series A Convertible Preferred Stock and 75,000 shares as Series B Convertible Preferred Stock (together, the “Redeemable Convertible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2024, there were (i) 2,337,518,542 shares of our common stock outstanding, (ii) 100,000 shares of Series A Convertible Preferred Stock outstanding, (iii) 75,000 shares of Series B Convertible Preferred Stock outstanding, and (iv) 44,350,000 shares of common stock issuable upon the exercise of Private Placement Warrants (including the Working Capital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Power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Dissolution and Winding 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voluntary or involuntary liquidation, dissolution, or winding-up of the Company, the holders of our common stock will be entitled to receive all the remaining assets of the Company available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distribution to stockholders, ratably in proportion to the number of shares of common stock held by them, after the rights of creditors of the Company and the holders of any outstanding shares of preferred stock have been satisfied.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or 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common stock do not have preemptive or other subscription rights and there is no sinking fund or redemption provisions applicable to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current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current certificate of incorporation before deciding to buy shares of our preferred stock as described in any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shares of preferred stock may be issued from time to time in one or more series. With respect to each series of our preferred stock, our Board has the authority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Redeemable Convertible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 and Dividend.</w:t>
      </w:r>
      <w:r>
        <w:rPr>
          <w:rFonts w:ascii="Times New Roman;Times;serif" w:hAnsi="Times New Roman;Times;serif"/>
          <w:b w:val="false"/>
          <w:i w:val="false"/>
          <w:caps w:val="false"/>
          <w:smallCaps w:val="false"/>
          <w:color w:val="000000"/>
          <w:spacing w:val="4"/>
          <w:sz w:val="20"/>
        </w:rPr>
        <w:t xml:space="preserve">   The Redeemable Convertible Preferred Stock ranks senior to our common stock with respect to dividends and distributions of assets upon the Company’s liquidation, dissolution or winding up. Each share of the Redeemable Convertible Preferred Stock has an initial value of $10,000 (the “Initial Value”). Dividends on the Redeemable Convertible Preferred Stock is payable in the form of compounded dividends upon each share of Redeemable Convertible Preferred Stock (such payment in kind, “Compounded Returns”). Dividends accrue on the Initial Value (as increased for any Compounded Dividends previously compounded thereon) of each share of Redeemable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Upon a liquidation, dissolution or winding up of the Company, each holder of shares of Redeemable Convertible Preferred Stock (“Holder”) is entitled to receive, with respect to each share of then-outstanding Redeemable Convertible Preferred Stock, out of the assets of the Company available for distribution to its stockholders (pari passu with the holders of any liquidation parity securities) an amount in cash equal to the greater of (a) an amount per share of Redeemable Convertible Preferred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Redeemable Convertible Preferred Stock based on its Accrued Value if all shares of Redeemable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w:t>
      </w:r>
      <w:r>
        <w:rPr>
          <w:rFonts w:ascii="Times New Roman;Times;serif" w:hAnsi="Times New Roman;Times;serif"/>
          <w:b w:val="false"/>
          <w:i w:val="false"/>
          <w:caps w:val="false"/>
          <w:smallCaps w:val="false"/>
          <w:color w:val="000000"/>
          <w:spacing w:val="4"/>
          <w:sz w:val="20"/>
        </w:rPr>
        <w:t xml:space="preserve">   Each share of Redeemable Convertible Preferred Stock is convertible, at the option of the 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w:t>
      </w:r>
      <w:r>
        <w:rPr>
          <w:rFonts w:ascii="Times New Roman;Times;serif" w:hAnsi="Times New Roman;Times;serif"/>
          <w:b w:val="false"/>
          <w:i w:val="false"/>
          <w:caps w:val="false"/>
          <w:smallCaps w:val="false"/>
          <w:color w:val="000000"/>
          <w:spacing w:val="4"/>
          <w:sz w:val="20"/>
        </w:rPr>
        <w:t xml:space="preserve">   Except as otherwise provided in the respective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Redeemable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$3.120 for the Series B Convertible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series of the Redeemable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Junior and Parity Securities.</w:t>
      </w:r>
      <w:r>
        <w:rPr>
          <w:rFonts w:ascii="Times New Roman;Times;serif" w:hAnsi="Times New Roman;Times;serif"/>
          <w:b w:val="false"/>
          <w:i w:val="false"/>
          <w:caps w:val="false"/>
          <w:smallCaps w:val="false"/>
          <w:color w:val="000000"/>
          <w:spacing w:val="4"/>
          <w:sz w:val="20"/>
        </w:rPr>
        <w:t xml:space="preserve">   Subject to certain exceptions, unless all accumulated and unpaid dividends on the Redeemable Convertible Preferred Stock for all preceding quarterly dividend payment periods have been declared upon all outstanding shares of Redeemable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Redeemable Convertible Preferred Stock and each such other class or series of dividend parity stock bear the same ratio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each other as all accumulated and unpaid dividends per share of the Redeemable Convertible Preferred Stock and such class or series of parity stock (subject to their having been declared by the Board out of legally available funds) bear to each other, in proportion to their respective liquidation preferences at the time of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Mandatory Conversion.</w:t>
      </w:r>
      <w:r>
        <w:rPr>
          <w:rFonts w:ascii="Times New Roman;Times;serif" w:hAnsi="Times New Roman;Times;serif"/>
          <w:b w:val="false"/>
          <w:i w:val="false"/>
          <w:caps w:val="false"/>
          <w:smallCaps w:val="false"/>
          <w:color w:val="000000"/>
          <w:spacing w:val="4"/>
          <w:sz w:val="20"/>
        </w:rPr>
        <w:t xml:space="preserve">   On or after the third anniversary of the respective Initial Issue Date, if at any 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 (30) trading day period, to cause all or any portion of the Redeemable Convertible Preferred Stock to convert into common stock. The Company is required to pay an additional amount per share of Redeemable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Fundamental Change.   </w:t>
      </w:r>
      <w:r>
        <w:rPr>
          <w:rFonts w:ascii="Times New Roman;Times;serif" w:hAnsi="Times New Roman;Times;serif"/>
          <w:b w:val="false"/>
          <w:i w:val="false"/>
          <w:caps w:val="false"/>
          <w:smallCaps w:val="false"/>
          <w:color w:val="000000"/>
          <w:spacing w:val="4"/>
          <w:sz w:val="20"/>
        </w:rPr>
        <w:t xml:space="preserve">Upon a “fundamental change” ​(as defined in the respective certificate of 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On or after the fifth anniversary of the respective Initial Issue Date, the Company may redeem all or any portion of the respective series of the Redeemable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Nasdaq Rules.   </w:t>
      </w:r>
      <w:r>
        <w:rPr>
          <w:rFonts w:ascii="Times New Roman;Times;serif" w:hAnsi="Times New Roman;Times;serif"/>
          <w:b w:val="false"/>
          <w:i w:val="false"/>
          <w:caps w:val="false"/>
          <w:smallCaps w:val="false"/>
          <w:color w:val="000000"/>
          <w:spacing w:val="4"/>
          <w:sz w:val="20"/>
        </w:rPr>
        <w:t xml:space="preserve">The number of shares of common stock deliverable upon conversion, redemption or repurchase of the Redeemable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Redeemable Convertible Preferred Stock. The Series A Convertible Preferred Stock is initially convertible into approximately 278.15 million shares of common stock and the Series B Convertible Preferred Stock is initially convertible into approximately 171.24 million shares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Remedies for Nonpayment.</w:t>
      </w:r>
      <w:r>
        <w:rPr>
          <w:rFonts w:ascii="Times New Roman;Times;serif" w:hAnsi="Times New Roman;Times;serif"/>
          <w:b w:val="false"/>
          <w:i w:val="false"/>
          <w:caps w:val="false"/>
          <w:smallCaps w:val="false"/>
          <w:color w:val="000000"/>
          <w:spacing w:val="4"/>
          <w:sz w:val="20"/>
        </w:rPr>
        <w:t xml:space="preserve">   The dividend rate described above will be increased to a rate not exceeding 15% per annum upon certain events of noncompliance relating to a failure by the Company to deliver consideration due in connection with a fundamental change or optional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Private Placement Warrants and Working Capital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 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Anti-Dilution Adjustments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shares of our common stock purchasable upon the exercise of the Private Placement Warrants is adjusted, as described above, the warrant exercise price will be adjusted by multiplying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shares of our common stock upon exercise of the Private Placement Warrants, each holder will be entitled to one vote for each share held of record on all matters to be voted on by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 </w:t>
      </w:r>
    </w:p>
    <w:p>
      <w:pPr>
        <w:pStyle w:val="TextBody"/>
        <w:bidi w:val="0"/>
        <w:spacing w:lineRule="atLeast" w:line="22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Our Current Certificate of Incorporation, Our Current Bylaws and Certain Provisions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Board approved either the business combination or the transaction that resulted in the stockholder becoming an interested stockholder; </w:t>
      </w:r>
      <w:r>
        <mc:AlternateContent>
          <mc:Choice Requires="wps">
            <w:drawing>
              <wp:anchor behindDoc="0" distT="6858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voting stock outstanding at the time the transaction commenced, excluding certain shares; or </w:t>
      </w:r>
      <w:r>
        <mc:AlternateContent>
          <mc:Choice Requires="wps">
            <w:drawing>
              <wp:anchor behindDoc="0" distT="698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subsequent to that time, the business combination is approved by our Board and by the affirmative vote of holders of at least two-thirds of the votes of our outstanding voting stock that is not owned by the interested stockholder. </w:t>
      </w:r>
      <w:r>
        <mc:AlternateContent>
          <mc:Choice Requires="wps">
            <w:drawing>
              <wp:anchor behindDoc="0" distT="6985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Director Nominations and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Dissenters’ Rights of Appraisal and 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Derivative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in our current bylaws. However, it is possible that a court could find our forum selection provisions to be inapplicable or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Liability and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certificate of incorporation provides that we must indemnify and advance expenses to our directors and officers to the full extent authorized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these provisions, the insurance and the indemnity agreements are necessary to attract and retain talented and experienced officers and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LLC under the symbol “LCID.”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D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Depositary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may be provided otherwise in an accompanying prospectus supplement, upon surrender of depositary receipts at the principal office of the Bank Depositary, subject to the terms of the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ODS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debt securities in one or more series, which may be senior debt securities or subordinated debt securities and which may be convertible into another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aggregate principal amount of the debt securities and any limit on the aggregate principal amount of such series;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subordination provisions for any subordinated debt securities;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date(s) or method for determining same;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rate(s) or the method for determining same;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convertible or exchangeable into other securities and any related terms and conditions;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early repayment provisions;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 principal amount of debt securities payable upon acceleration;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place(s) where payment of principal and interest may be made, where debt securities may be presented and where notices or demands upon the company may be made;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or forms of the debt securities of the series including such legends as may be required by applicable law;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whole or in part in the form of one or more global securities and the date as of which the securities are dated if other than the date of original issuance;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secured and the terms of such security;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discount or premium, if any, with which the debt securities will be issued;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additions or changes in the defaults and events of default applicable to the particular debt securities being issued;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guarantors of each series, if any, and the extent of the guarantees (including provisions relating to seniority, subordination and release of the guarantees), if any;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the purchase price for, the principal of and any premium and any interest on, the debt securities will be payable;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period within which, the manner in which and the terms and conditions upon which we or the holders of the debt securities can select the payment currency;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or right to redeem, purchase or repay debt securities under a sinking fund, amortization or analogous provision;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 or conditions on the transferability of the debt securities;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granting special rights to holders of the debt securities upon occurrence of specified events;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changes relating to compensation or reimbursement of the trustee of the series of debt securities;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the consent of holders of debt securities issued under the indenture and the execution of supplemental indentures for such series; and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terms shall not be inconsistent with the provisions of the TIA, but may modify, amend, supplement or delete any of the terms of the indenture with respect to such series of debt securities).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and special considerations, if any, applicable to any such series will be described in an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shall be construed in accordance with and governed by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W"/>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description of our outstanding warrants, see “Description of Capital Stock —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warrants will describe the terms of those warrants, including, when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including composite currencies, in which the purchase price and/or exercise price of the warrants may be payable;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warrants offered;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amount of securities you will receive upon exercise;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 for exercise of the warrants and the circumstances, if any, that will cause the warrants to be automatically exercised;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if any, we have to redeem the warrants;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warrants will expire;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warrant agent; and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warrants.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warrants expire they will become void. The prospectus supplement may provide for the adjustment of the exercise price of the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DOSR"/>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subscription rights we may offer will contain the specific terms of the subscription rights. These terms may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terms of each share of common stock or preferred stock or debt securities which may be purchased per each subscription right;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for each share of common stock or preferred stock or debt securities upon the exercise of the subscription rights;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adjustment of the number or amount of securities receivable upon exercise of the subscription rights or the exercise price of the subscription rights;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subscription rights, including the terms, procedures and limitations relating to the exchange and exercise of the subscription rights;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subscription rights shall commence, and the date on which the subscription rights shall expire;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may include an over-subscription privilege with respect to unsubscribed securities; and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purchase arrangement entered into by us in connection with the offering of subscription rights.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DOPC"/>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 AND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SES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selling securityholders, where applicable, will be set forth in a prospectus supplement, in a post-effective amendment or in filings we make with the SEC under the Exchange Act which are incorporated by reference into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OD"/>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securityholders may sell the securities being offered hereby in one or more of the following ways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underwriters for resale to purchasers;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dealers to purchasers; or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identify the specific plan of distribution, including any underwriters, dealers, agents or direct purchasers and their compensation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LEMA2"/>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EXP2"/>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45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262,446,931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1720" w:after="283"/>
        <w:jc w:val="center"/>
        <w:rPr>
          <w:caps w:val="false"/>
          <w:smallCaps w:val="false"/>
          <w:color w:val="000000"/>
        </w:rPr>
      </w:pPr>
      <w:r>
        <w:rPr>
          <w:caps w:val="false"/>
          <w:smallCaps w:val="false"/>
          <w:color w:val="000000"/>
        </w:rPr>
        <w:drawing>
          <wp:inline distT="0" distB="0" distL="0" distR="0">
            <wp:extent cx="3933825" cy="257175"/>
            <wp:effectExtent l="0" t="0" r="0" b="0"/>
            <wp:docPr id="19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 descr=""/>
                    <pic:cNvPicPr>
                      <a:picLocks noChangeAspect="1" noChangeArrowheads="1"/>
                    </pic:cNvPicPr>
                  </pic:nvPicPr>
                  <pic:blipFill>
                    <a:blip r:embed="rId39"/>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8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Lucid Group,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6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6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1489"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400" w:before="16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BofA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16, 2024 </w:t>
      </w:r>
    </w:p>
    <w:p>
      <w:pPr>
        <w:pStyle w:val="TextBody"/>
        <w:bidi w:val="0"/>
        <w:spacing w:before="1458"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8" w:name="tm2426052d8_ex-filingfees.htm"/>
      <w:bookmarkStart w:id="39" w:name="kstm2426052d8_exfilingfees"/>
      <w:bookmarkStart w:id="40" w:name="tm2426052d8_ex-filingfees.htm"/>
      <w:bookmarkStart w:id="41" w:name="kstm2426052d8_exfilingfees"/>
      <w:bookmarkEnd w:id="40"/>
      <w:bookmarkEnd w:id="41"/>
      <w:r>
        <w:br w:type="page"/>
      </w:r>
    </w:p>
    <w:tbl>
      <w:tblPr>
        <w:tblW w:w="3566" w:type="dxa"/>
        <w:jc w:val="left"/>
        <w:tblInd w:w="0" w:type="dxa"/>
        <w:tblLayout w:type="fixed"/>
        <w:tblCellMar>
          <w:top w:w="28" w:type="dxa"/>
          <w:left w:w="28" w:type="dxa"/>
          <w:bottom w:w="28" w:type="dxa"/>
          <w:right w:w="28" w:type="dxa"/>
        </w:tblCellMar>
      </w:tblPr>
      <w:tblGrid>
        <w:gridCol w:w="3412"/>
        <w:gridCol w:w="154"/>
      </w:tblGrid>
      <w:tr>
        <w:trPr/>
        <w:tc>
          <w:tcPr>
            <w:tcW w:w="356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283"/>
              <w:jc w:val="left"/>
              <w:rPr>
                <w:b/>
              </w:rPr>
            </w:pPr>
            <w:r>
              <w:rPr>
                <w:b/>
              </w:rPr>
              <w:t xml:space="preserve">Lucid Group, Inc. </w:t>
            </w:r>
          </w:p>
        </w:tc>
        <w:tc>
          <w:tcPr>
            <w:tcW w:w="154" w:type="dxa"/>
            <w:tcBorders/>
          </w:tcPr>
          <w:p>
            <w:pPr>
              <w:pStyle w:val="TableContents"/>
              <w:bidi w:val="0"/>
              <w:spacing w:before="0" w:after="283"/>
              <w:jc w:val="left"/>
              <w:rPr>
                <w:sz w:val="4"/>
                <w:szCs w:val="4"/>
              </w:rPr>
            </w:pPr>
            <w:r>
              <w:rPr>
                <w:sz w:val="4"/>
                <w:szCs w:val="4"/>
              </w:rPr>
            </w:r>
          </w:p>
        </w:tc>
      </w:tr>
    </w:tbl>
    <w:tbl>
      <w:tblPr>
        <w:tblW w:w="6061" w:type="dxa"/>
        <w:jc w:val="left"/>
        <w:tblInd w:w="0" w:type="dxa"/>
        <w:tblLayout w:type="fixed"/>
        <w:tblCellMar>
          <w:top w:w="28" w:type="dxa"/>
          <w:left w:w="28" w:type="dxa"/>
          <w:bottom w:w="28" w:type="dxa"/>
          <w:right w:w="28" w:type="dxa"/>
        </w:tblCellMar>
      </w:tblPr>
      <w:tblGrid>
        <w:gridCol w:w="6061"/>
      </w:tblGrid>
      <w:tr>
        <w:trPr/>
        <w:tc>
          <w:tcPr>
            <w:tcW w:w="6061" w:type="dxa"/>
            <w:tcBorders/>
            <w:vAlign w:val="center"/>
          </w:tcPr>
          <w:p>
            <w:pPr>
              <w:pStyle w:val="TableHeading"/>
              <w:bidi w:val="0"/>
              <w:spacing w:before="0" w:after="0"/>
              <w:ind w:left="0" w:right="0" w:hanging="0"/>
              <w:jc w:val="center"/>
              <w:rPr/>
            </w:pPr>
            <w:r>
              <w:rPr>
                <w:b/>
              </w:rPr>
              <w:t>Table 1: Newly Registered and Carry Forward Securities</w:t>
            </w:r>
            <w:r>
              <w:rPr/>
              <w:t xml:space="preserve"> </w:t>
            </w:r>
          </w:p>
        </w:tc>
      </w:tr>
    </w:tbl>
    <w:tbl>
      <w:tblPr>
        <w:tblW w:w="15689"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301,813,971 </w:t>
            </w:r>
          </w:p>
        </w:tc>
        <w:tc>
          <w:tcPr>
            <w:tcW w:w="1156" w:type="dxa"/>
            <w:tcBorders/>
            <w:shd w:fill="E7E7E2" w:val="clear"/>
            <w:vAlign w:val="center"/>
          </w:tcPr>
          <w:p>
            <w:pPr>
              <w:pStyle w:val="TableContents"/>
              <w:bidi w:val="0"/>
              <w:spacing w:before="0" w:after="283"/>
              <w:jc w:val="right"/>
              <w:rPr/>
            </w:pPr>
            <w:r>
              <w:rPr/>
              <w:t xml:space="preserve">$ 2.66 </w:t>
            </w:r>
          </w:p>
        </w:tc>
        <w:tc>
          <w:tcPr>
            <w:tcW w:w="1786" w:type="dxa"/>
            <w:tcBorders/>
            <w:shd w:fill="E7E7E2" w:val="clear"/>
            <w:vAlign w:val="center"/>
          </w:tcPr>
          <w:p>
            <w:pPr>
              <w:pStyle w:val="TableContents"/>
              <w:bidi w:val="0"/>
              <w:spacing w:before="0" w:after="283"/>
              <w:jc w:val="right"/>
              <w:rPr/>
            </w:pPr>
            <w:r>
              <w:rPr/>
              <w:t xml:space="preserve">$ 802,825,162.86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$ 122,912.53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2" w:name="MaxAggtOfferingPrice"/>
            <w:bookmarkEnd w:id="42"/>
            <w:r>
              <w:rPr/>
              <w:t xml:space="preserve">$ 802,825,162.86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$ 122,912.53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5" w:name="TotalOffsetAmt"/>
            <w:bookmarkEnd w:id="4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6" w:name="NetFeeAmt"/>
            <w:bookmarkEnd w:id="46"/>
            <w:r>
              <w:rPr/>
              <w:t xml:space="preserve">$ 122,912.53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0000"/>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tcBorders/>
            <w:vAlign w:val="center"/>
          </w:tcPr>
          <w:p>
            <w:pPr>
              <w:pStyle w:val="TableContents"/>
              <w:bidi w:val="0"/>
              <w:spacing w:before="0" w:after="283"/>
              <w:jc w:val="left"/>
              <w:rPr/>
            </w:pPr>
            <w:r>
              <w:rPr/>
              <w:t xml:space="preserve">Calculated pursuant to Rule 457(r) under the Securities Act of 1933, as amended (the "Securities Act"). The fee payable in connection with the offering pursuant to the prospectus supplement with which this Calculation of Filing Fee Tables is filed (the "prospectus supplement") has been paid in accordance with Rule 456(b) under the Securities Act. The securities covered by this Calculation of Filing Fee Tables includes 39,367,040 shares of common stock that are issuable upon the underwriter's exercise of their option to purchase such shares for 30 days after the date of the prospectus supplement. </w:t>
            </w:r>
          </w:p>
        </w:tc>
      </w:tr>
      <w:tr>
        <w:trPr/>
        <w:tc>
          <w:tcPr>
            <w:tcW w:w="205" w:type="dxa"/>
            <w:tcBorders/>
            <w:vAlign w:val="center"/>
          </w:tcPr>
          <w:p>
            <w:pPr>
              <w:pStyle w:val="TableContents"/>
              <w:bidi w:val="0"/>
              <w:spacing w:before="0" w:after="283"/>
              <w:jc w:val="left"/>
              <w:rPr>
                <w:sz w:val="4"/>
                <w:szCs w:val="4"/>
              </w:rPr>
            </w:pPr>
            <w:r>
              <w:rPr>
                <w:sz w:val="4"/>
                <w:szCs w:val="4"/>
              </w:rPr>
            </w:r>
          </w:p>
        </w:tc>
        <w:tc>
          <w:tcPr>
            <w:tcW w:w="10000" w:type="dxa"/>
            <w:tcBorders/>
            <w:vAlign w:val="center"/>
          </w:tcPr>
          <w:p>
            <w:pPr>
              <w:pStyle w:val="HorizontalLine"/>
              <w:pBdr>
                <w:bottom w:val="double" w:sz="2" w:space="0" w:color="808080"/>
              </w:pBdr>
              <w:bidi w:val="0"/>
              <w:spacing w:before="0" w:after="283"/>
              <w:jc w:val="left"/>
              <w:rPr/>
            </w:pPr>
            <w:r>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$802,825,162.86.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11210/000162828024007209/lcid-20231231.htm" TargetMode="External"/><Relationship Id="rId4" Type="http://schemas.openxmlformats.org/officeDocument/2006/relationships/hyperlink" Target="https://www.sec.gov/ix?doc=/Archives/edgar/data/1811210/000162828024020633/lcid-20240331.htm" TargetMode="External"/><Relationship Id="rId5" Type="http://schemas.openxmlformats.org/officeDocument/2006/relationships/hyperlink" Target="https://www.sec.gov/ix?doc=/Archives/edgar/data/1811210/000162828024034730/lcid-20240630.htm" TargetMode="External"/><Relationship Id="rId6" Type="http://schemas.openxmlformats.org/officeDocument/2006/relationships/hyperlink" Target="https://www.sec.gov/ix?doc=/Archives/edgar/data/1811210/000162828024007209/lcid-20231231.htm" TargetMode="External"/><Relationship Id="rId7" Type="http://schemas.openxmlformats.org/officeDocument/2006/relationships/hyperlink" Target="https://www.sec.gov/ix?doc=/Archives/edgar/data/1811210/000110465924051463/tm2333393d2_def14a.htm" TargetMode="External"/><Relationship Id="rId8" Type="http://schemas.openxmlformats.org/officeDocument/2006/relationships/hyperlink" Target="https://www.sec.gov/ix?doc=/Archives/edgar/data/1811210/000110465924007267/tm244182d1_8k.htm" TargetMode="External"/><Relationship Id="rId9" Type="http://schemas.openxmlformats.org/officeDocument/2006/relationships/hyperlink" Target="https://www.sec.gov/ix?doc=/Archives/edgar/data/1811210/000110465924024581/tm246312d1_8k.htm" TargetMode="External"/><Relationship Id="rId10" Type="http://schemas.openxmlformats.org/officeDocument/2006/relationships/hyperlink" Target="https://www.sec.gov/ix?doc=/Archives/edgar/data/1811210/000110465924038177/tm249613d1_8k.htm" TargetMode="External"/><Relationship Id="rId11" Type="http://schemas.openxmlformats.org/officeDocument/2006/relationships/hyperlink" Target="https://www.sec.gov/ix?doc=/Archives/edgar/data/1811210/000110465924041218/tm2410184d1_8k.htm" TargetMode="External"/><Relationship Id="rId12" Type="http://schemas.openxmlformats.org/officeDocument/2006/relationships/hyperlink" Target="https://www.sec.gov/ix?doc=/Archives/edgar/data/1811210/000162828024020614/lcid-20240501.htm" TargetMode="External"/><Relationship Id="rId13" Type="http://schemas.openxmlformats.org/officeDocument/2006/relationships/hyperlink" Target="https://www.sec.gov/ix?doc=/Archives/edgar/data/1811210/000110465924064914/tm2415482d1_8k.htm" TargetMode="External"/><Relationship Id="rId14" Type="http://schemas.openxmlformats.org/officeDocument/2006/relationships/hyperlink" Target="https://www.sec.gov/ix?doc=/Archives/edgar/data/1811210/000110465924069080/tm2416547d1_8k.htm" TargetMode="External"/><Relationship Id="rId15" Type="http://schemas.openxmlformats.org/officeDocument/2006/relationships/hyperlink" Target="https://www.sec.gov/ix?doc=/Archives/edgar/data/1811210/000162828024034724/lcid-20240804.htm" TargetMode="External"/><Relationship Id="rId16" Type="http://schemas.openxmlformats.org/officeDocument/2006/relationships/hyperlink" Target="https://www.sec.gov/ix?doc=/Archives/edgar/data/1811210/000162828024037638/lcid-20240816.htm" TargetMode="External"/><Relationship Id="rId17" Type="http://schemas.openxmlformats.org/officeDocument/2006/relationships/hyperlink" Target="https://www.sec.gov/Archives/edgar/data/1811210/000110465921095277/tm2120294d8_8a12b.htm" TargetMode="External"/><Relationship Id="rId18" Type="http://schemas.openxmlformats.org/officeDocument/2006/relationships/hyperlink" Target="https://www.sec.gov/Archives/edgar/data/1811210/000162828022004253/exhibit46descriptionofsecu.htm" TargetMode="External"/><Relationship Id="rId19" Type="http://schemas.openxmlformats.org/officeDocument/2006/relationships/hyperlink" Target="https://www.sec.gov/ix?doc=/Archives/edgar/data/1811210/000162828024034730/lcid-20240630.htm" TargetMode="External"/><Relationship Id="rId20" Type="http://schemas.openxmlformats.org/officeDocument/2006/relationships/hyperlink" Target="https://www.sec.gov/ix?doc=/Archives/edgar/data/1811210/000162828024034730/lcid-20240630.htm" TargetMode="External"/><Relationship Id="rId21" Type="http://schemas.openxmlformats.org/officeDocument/2006/relationships/hyperlink" Target="https://www.sec.gov/ix?doc=/Archives/edgar/data/1811210/000162828024034730/lcid-20240630.htm" TargetMode="External"/><Relationship Id="rId22" Type="http://schemas.openxmlformats.org/officeDocument/2006/relationships/hyperlink" Target="https://www.sec.gov/ix?doc=/Archives/edgar/data/1811210/000162828024007209/lcid-20231231.htm" TargetMode="External"/><Relationship Id="rId23" Type="http://schemas.openxmlformats.org/officeDocument/2006/relationships/hyperlink" Target="https://www.sec.gov/ix?doc=/Archives/edgar/data/1811210/000162828024034730/lcid-20240630.htm" TargetMode="External"/><Relationship Id="rId24" Type="http://schemas.openxmlformats.org/officeDocument/2006/relationships/image" Target="media/image1.jpeg"/><Relationship Id="rId25" Type="http://schemas.openxmlformats.org/officeDocument/2006/relationships/hyperlink" Target="http://www.sec.gov/ix?doc=/Archives/edgar/data/1811210/000162828024007209/lcid-20231231.htm" TargetMode="External"/><Relationship Id="rId26" Type="http://schemas.openxmlformats.org/officeDocument/2006/relationships/hyperlink" Target="http://www.sec.gov/ix?doc=/Archives/edgar/data/1811210/000110465924051463/tm2333393d2_def14a.htm" TargetMode="External"/><Relationship Id="rId27" Type="http://schemas.openxmlformats.org/officeDocument/2006/relationships/hyperlink" Target="http://www.sec.gov/ix?doc=/Archives/edgar/data/1811210/000162828024020633/lcid-20240331.htm" TargetMode="External"/><Relationship Id="rId28" Type="http://schemas.openxmlformats.org/officeDocument/2006/relationships/hyperlink" Target="http://www.sec.gov/ix?doc=/Archives/edgar/data/1811210/000162828024034730/lcid-20240630.htm" TargetMode="External"/><Relationship Id="rId29" Type="http://schemas.openxmlformats.org/officeDocument/2006/relationships/hyperlink" Target="http://www.sec.gov/ix?doc=/Archives/edgar/data/1811210/000110465924007267/tm244182d1_8k.htm" TargetMode="External"/><Relationship Id="rId30" Type="http://schemas.openxmlformats.org/officeDocument/2006/relationships/hyperlink" Target="http://www.sec.gov/ix?doc=/Archives/edgar/data/1811210/000110465924024581/tm246312d1_8k.htm" TargetMode="External"/><Relationship Id="rId31" Type="http://schemas.openxmlformats.org/officeDocument/2006/relationships/hyperlink" Target="http://www.sec.gov/ix?doc=/Archives/edgar/data/1811210/000110465924038177/tm249613d1_8k.htm" TargetMode="External"/><Relationship Id="rId32" Type="http://schemas.openxmlformats.org/officeDocument/2006/relationships/hyperlink" Target="http://www.sec.gov/ix?doc=/Archives/edgar/data/1811210/000110465924041218/tm2410184d1_8k.htm" TargetMode="External"/><Relationship Id="rId33" Type="http://schemas.openxmlformats.org/officeDocument/2006/relationships/hyperlink" Target="http://www.sec.gov/ix?doc=/Archives/edgar/data/1811210/000162828024020614/lcid-20240501.htm" TargetMode="External"/><Relationship Id="rId34" Type="http://schemas.openxmlformats.org/officeDocument/2006/relationships/hyperlink" Target="http://www.sec.gov/ix?doc=/Archives/edgar/data/1811210/000110465924064914/tm2415482d1_8k.htm" TargetMode="External"/><Relationship Id="rId35" Type="http://schemas.openxmlformats.org/officeDocument/2006/relationships/hyperlink" Target="http://www.sec.gov/ix?doc=/Archives/edgar/data/1811210/000110465924069080/tm2416547d1_8k.htm" TargetMode="External"/><Relationship Id="rId36" Type="http://schemas.openxmlformats.org/officeDocument/2006/relationships/hyperlink" Target="https://www.sec.gov/ix?doc=/Archives/edgar/data/1811210/000162828024034724/lcid-20240804.htm" TargetMode="External"/><Relationship Id="rId37" Type="http://schemas.openxmlformats.org/officeDocument/2006/relationships/hyperlink" Target="https://www.sec.gov/ix?doc=/Archives/edgar/data/1811210/000162828024037638/lcid-20240816.htm" TargetMode="External"/><Relationship Id="rId38" Type="http://schemas.openxmlformats.org/officeDocument/2006/relationships/hyperlink" Target="http://www.sec.gov/Archives/edgar/data/1811210/000162828022004253/exhibit46descriptionofsecu.htm" TargetMode="External"/><Relationship Id="rId39" Type="http://schemas.openxmlformats.org/officeDocument/2006/relationships/image" Target="media/image1.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34126</Words>
  <Characters>182490</Characters>
  <CharactersWithSpaces>219188</CharactersWithSpaces>
  <Paragraphs>4023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