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Ayar Third Investment Co</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Lucid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LCID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020" w:type="dxa"/>
            <w:vAlign w:val="bottom"/>
            <w:gridSpan w:val="7"/>
            <w:vMerge w:val="continue"/>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LUCID GROUP,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3"/>
          </w:tcPr>
          <w:p>
            <w:pPr>
              <w:ind w:left="80"/>
              <w:spacing w:after="0"/>
              <w:rPr>
                <w:sz w:val="20"/>
                <w:szCs w:val="20"/>
                <w:color w:val="auto"/>
              </w:rPr>
            </w:pPr>
            <w:r>
              <w:rPr>
                <w:rFonts w:ascii="Arial" w:cs="Arial" w:eastAsia="Arial" w:hAnsi="Arial"/>
                <w:sz w:val="17"/>
                <w:szCs w:val="17"/>
                <w:color w:val="0000FF"/>
              </w:rPr>
              <w:t>07/23/2021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vMerge w:val="continue"/>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NEWARK</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6"/>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2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3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0"/>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3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 Reported</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3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80" w:type="dxa"/>
            <w:vAlign w:val="bottom"/>
          </w:tcPr>
          <w:p>
            <w:pPr>
              <w:spacing w:after="0"/>
              <w:rPr>
                <w:sz w:val="16"/>
                <w:szCs w:val="16"/>
                <w:color w:val="auto"/>
              </w:rPr>
            </w:pPr>
          </w:p>
        </w:tc>
        <w:tc>
          <w:tcPr>
            <w:tcW w:w="320" w:type="dxa"/>
            <w:vAlign w:val="bottom"/>
          </w:tcPr>
          <w:p>
            <w:pPr>
              <w:jc w:val="center"/>
              <w:ind w:right="100"/>
              <w:spacing w:after="0"/>
              <w:rPr>
                <w:sz w:val="20"/>
                <w:szCs w:val="20"/>
                <w:color w:val="auto"/>
              </w:rPr>
            </w:pPr>
            <w:r>
              <w:rPr>
                <w:rFonts w:ascii="Arial" w:cs="Arial" w:eastAsia="Arial" w:hAnsi="Arial"/>
                <w:sz w:val="12"/>
                <w:szCs w:val="12"/>
                <w:b w:val="1"/>
                <w:bCs w:val="1"/>
                <w:color w:val="auto"/>
                <w:w w:val="99"/>
              </w:rPr>
              <w:t>V</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 or</w:t>
            </w:r>
          </w:p>
        </w:tc>
        <w:tc>
          <w:tcPr>
            <w:tcW w:w="420" w:type="dxa"/>
            <w:vAlign w:val="bottom"/>
            <w:gridSpan w:val="3"/>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1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07/23/2021</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4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86"/>
              </w:rPr>
              <w:t>1,015,252,523</w:t>
            </w:r>
            <w:r>
              <w:rPr>
                <w:rFonts w:ascii="Arial" w:cs="Arial" w:eastAsia="Arial" w:hAnsi="Arial"/>
                <w:sz w:val="22"/>
                <w:szCs w:val="22"/>
                <w:color w:val="008000"/>
                <w:w w:val="86"/>
                <w:vertAlign w:val="superscript"/>
              </w:rPr>
              <w:t>(1)</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0000FF"/>
                <w:w w:val="94"/>
              </w:rPr>
              <w:t>1,015,252,523</w:t>
            </w:r>
            <w:r>
              <w:rPr>
                <w:rFonts w:ascii="Arial" w:cs="Arial" w:eastAsia="Arial" w:hAnsi="Arial"/>
                <w:sz w:val="22"/>
                <w:szCs w:val="22"/>
                <w:color w:val="008000"/>
                <w:w w:val="94"/>
                <w:vertAlign w:val="superscript"/>
              </w:rPr>
              <w:t>(1)</w:t>
            </w:r>
          </w:p>
        </w:tc>
        <w:tc>
          <w:tcPr>
            <w:tcW w:w="920" w:type="dxa"/>
            <w:vAlign w:val="bottom"/>
            <w:tcBorders>
              <w:bottom w:val="single" w:sz="8" w:color="2C2C2C"/>
            </w:tcBorders>
          </w:tcPr>
          <w:p>
            <w:pPr>
              <w:ind w:left="2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("Shares") that were issued to Ayar Third Investment Company ("Ayar") in exchange for shares of common stock of Atieva, Inc., d/b/a Lucid Motors ("Lucid") held by Ayar upon the closing of the business combination transaction pursuant to the Agreement and Plan of Merger, dated February 22, 2021, by and among Churchill Capital Corp IV ("Churchill"), Air Merger Sub, Inc., a direct, wholly-owned subsidiary of Churchill and Lucid. Ayar is a wholly-owned subsidiary of The Public Investment Fund of Saudi Arabia ("PIF"), and as such PIF may be deemed to beneficially own the Shares held by Ayar. In addition, H.E. Yasir O. Al Rumayyan is the Governor of PIF and the sole manager of Ayar and may be deemed to beneficially own the Shares by virtue of his power to vote the Shares.</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Ayar may be deemed a director by deputization, as Turqi A. Alnowaiser, an employee of PIF, serves as a representative of Ayar on the Board of Directors of the Issuer.</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Turqi A. Alnowaiser,</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07/27/2021</w:t>
            </w: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Authorized Signatory</w:t>
            </w:r>
          </w:p>
        </w:tc>
        <w:tc>
          <w:tcPr>
            <w:tcW w:w="4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832"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2021-07-27T16:47:49Z</dcterms:created>
  <dcterms:modified xsi:type="dcterms:W3CDTF">2021-07-27T16:47:49Z</dcterms:modified>
</cp:coreProperties>
</file>