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9, 2026</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6" w:lineRule="exact"/>
        <w:rPr>
          <w:sz w:val="24"/>
          <w:szCs w:val="24"/>
          <w:color w:val="auto"/>
        </w:rPr>
      </w:pPr>
    </w:p>
    <w:tbl>
      <w:tblPr>
        <w:tblLayout w:type="fixed"/>
        <w:tblInd w:w="420" w:type="dxa"/>
        <w:tblCellMar>
          <w:top w:w="0" w:type="dxa"/>
          <w:left w:w="0" w:type="dxa"/>
          <w:bottom w:w="0" w:type="dxa"/>
          <w:right w:w="0" w:type="dxa"/>
        </w:tblCellMar>
      </w:tblPr>
      <w:tr>
        <w:trPr>
          <w:trHeight w:val="217"/>
        </w:trPr>
        <w:tc>
          <w:tcPr>
            <w:tcW w:w="3720" w:type="dxa"/>
            <w:vAlign w:val="bottom"/>
          </w:tcPr>
          <w:p>
            <w:pPr>
              <w:jc w:val="center"/>
              <w:ind w:right="7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0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3"/>
        </w:trPr>
        <w:tc>
          <w:tcPr>
            <w:tcW w:w="3720" w:type="dxa"/>
            <w:vAlign w:val="bottom"/>
          </w:tcPr>
          <w:p>
            <w:pPr>
              <w:jc w:val="center"/>
              <w:ind w:right="791"/>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8"/>
              </w:rPr>
              <w:t>(Commission File</w:t>
            </w:r>
          </w:p>
        </w:tc>
        <w:tc>
          <w:tcPr>
            <w:tcW w:w="350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232"/>
        </w:trPr>
        <w:tc>
          <w:tcPr>
            <w:tcW w:w="372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00" w:type="dxa"/>
            <w:vAlign w:val="bottom"/>
          </w:tcPr>
          <w:p>
            <w:pPr>
              <w:spacing w:after="0"/>
              <w:rPr>
                <w:sz w:val="20"/>
                <w:szCs w:val="20"/>
                <w:color w:val="auto"/>
              </w:rPr>
            </w:pPr>
          </w:p>
        </w:tc>
      </w:tr>
      <w:tr>
        <w:trPr>
          <w:trHeight w:val="404"/>
        </w:trPr>
        <w:tc>
          <w:tcPr>
            <w:tcW w:w="3720" w:type="dxa"/>
            <w:vAlign w:val="bottom"/>
          </w:tcPr>
          <w:p>
            <w:pPr>
              <w:jc w:val="center"/>
              <w:ind w:right="751"/>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4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17"/>
        </w:trPr>
        <w:tc>
          <w:tcPr>
            <w:tcW w:w="3720" w:type="dxa"/>
            <w:vAlign w:val="bottom"/>
          </w:tcPr>
          <w:p>
            <w:pPr>
              <w:jc w:val="center"/>
              <w:ind w:right="751"/>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40" w:type="dxa"/>
            <w:vAlign w:val="bottom"/>
          </w:tcPr>
          <w:p>
            <w:pPr>
              <w:spacing w:after="0"/>
              <w:rPr>
                <w:sz w:val="18"/>
                <w:szCs w:val="18"/>
                <w:color w:val="auto"/>
              </w:rPr>
            </w:pPr>
          </w:p>
        </w:tc>
        <w:tc>
          <w:tcPr>
            <w:tcW w:w="350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2"/>
        </w:trPr>
        <w:tc>
          <w:tcPr>
            <w:tcW w:w="3720" w:type="dxa"/>
            <w:vAlign w:val="bottom"/>
          </w:tcPr>
          <w:p>
            <w:pPr>
              <w:jc w:val="center"/>
              <w:ind w:right="73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3040" w:type="dxa"/>
            <w:vAlign w:val="bottom"/>
          </w:tcPr>
          <w:p>
            <w:pPr>
              <w:spacing w:after="0"/>
              <w:rPr>
                <w:sz w:val="20"/>
                <w:szCs w:val="20"/>
                <w:color w:val="auto"/>
              </w:rPr>
            </w:pPr>
          </w:p>
        </w:tc>
        <w:tc>
          <w:tcPr>
            <w:tcW w:w="3500" w:type="dxa"/>
            <w:vAlign w:val="bottom"/>
          </w:tcPr>
          <w:p>
            <w:pPr>
              <w:jc w:val="center"/>
              <w:ind w:left="83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1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1"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340" w:hanging="333"/>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04"/>
        </w:trPr>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4260" w:type="dxa"/>
            <w:vAlign w:val="bottom"/>
          </w:tcPr>
          <w:p>
            <w:pPr>
              <w:spacing w:after="0"/>
              <w:rPr>
                <w:sz w:val="24"/>
                <w:szCs w:val="24"/>
                <w:color w:val="auto"/>
              </w:rPr>
            </w:pPr>
          </w:p>
        </w:tc>
      </w:tr>
      <w:tr>
        <w:trPr>
          <w:trHeight w:val="236"/>
        </w:trPr>
        <w:tc>
          <w:tcPr>
            <w:tcW w:w="4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6"/>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$0.0001 par value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176" w:lineRule="exact"/>
        <w:rPr>
          <w:sz w:val="24"/>
          <w:szCs w:val="24"/>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2" w:lineRule="exact"/>
        <w:rPr>
          <w:sz w:val="24"/>
          <w:szCs w:val="24"/>
          <w:color w:val="auto"/>
        </w:rPr>
      </w:pPr>
    </w:p>
    <w:p>
      <w:pPr>
        <w:jc w:val="both"/>
        <w:spacing w:after="0" w:line="23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177800</wp:posOffset>
            </wp:positionV>
            <wp:extent cx="71342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330200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 w:name="page2"/>
    <w:bookmarkEnd w:id="1"/>
    <w:p>
      <w:pPr>
        <w:ind w:right="440"/>
        <w:spacing w:after="0" w:line="28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2026, Lucid Group,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that Silvio Napoli will be the Company’s next Chief Executive Officer (“</w:t>
      </w:r>
      <w:r>
        <w:rPr>
          <w:rFonts w:ascii="Times New Roman" w:cs="Times New Roman" w:eastAsia="Times New Roman" w:hAnsi="Times New Roman"/>
          <w:sz w:val="18"/>
          <w:szCs w:val="18"/>
          <w:b w:val="1"/>
          <w:bCs w:val="1"/>
          <w:i w:val="1"/>
          <w:iCs w:val="1"/>
          <w:color w:val="auto"/>
        </w:rPr>
        <w:t>CEO</w:t>
      </w:r>
      <w:r>
        <w:rPr>
          <w:rFonts w:ascii="Times New Roman" w:cs="Times New Roman" w:eastAsia="Times New Roman" w:hAnsi="Times New Roman"/>
          <w:sz w:val="18"/>
          <w:szCs w:val="18"/>
          <w:color w:val="auto"/>
        </w:rPr>
        <w:t>”). Mr. Napoli will commence employment with the Company as the Executive Director based in Switzerland pursuant to a Swiss employment agreement (the “</w:t>
      </w:r>
      <w:r>
        <w:rPr>
          <w:rFonts w:ascii="Times New Roman" w:cs="Times New Roman" w:eastAsia="Times New Roman" w:hAnsi="Times New Roman"/>
          <w:sz w:val="18"/>
          <w:szCs w:val="18"/>
          <w:b w:val="1"/>
          <w:bCs w:val="1"/>
          <w:i w:val="1"/>
          <w:iCs w:val="1"/>
          <w:color w:val="auto"/>
        </w:rPr>
        <w:t>Napoli Swiss Employment Agreement</w:t>
      </w:r>
      <w:r>
        <w:rPr>
          <w:rFonts w:ascii="Times New Roman" w:cs="Times New Roman" w:eastAsia="Times New Roman" w:hAnsi="Times New Roman"/>
          <w:sz w:val="18"/>
          <w:szCs w:val="18"/>
          <w:color w:val="auto"/>
        </w:rPr>
        <w:t>”) and be appointed to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Executive Committee, in each case on April 15, 2026 (the “</w:t>
      </w:r>
      <w:r>
        <w:rPr>
          <w:rFonts w:ascii="Times New Roman" w:cs="Times New Roman" w:eastAsia="Times New Roman" w:hAnsi="Times New Roman"/>
          <w:sz w:val="18"/>
          <w:szCs w:val="18"/>
          <w:b w:val="1"/>
          <w:bCs w:val="1"/>
          <w:i w:val="1"/>
          <w:iCs w:val="1"/>
          <w:color w:val="auto"/>
        </w:rPr>
        <w:t>Start Date</w:t>
      </w:r>
      <w:r>
        <w:rPr>
          <w:rFonts w:ascii="Times New Roman" w:cs="Times New Roman" w:eastAsia="Times New Roman" w:hAnsi="Times New Roman"/>
          <w:sz w:val="18"/>
          <w:szCs w:val="18"/>
          <w:color w:val="auto"/>
        </w:rPr>
        <w:t>”). He is expected to be appointed as the Company’s CEO in the coming weeks pursuant to a U.S. offer letter (the “</w:t>
      </w:r>
      <w:r>
        <w:rPr>
          <w:rFonts w:ascii="Times New Roman" w:cs="Times New Roman" w:eastAsia="Times New Roman" w:hAnsi="Times New Roman"/>
          <w:sz w:val="18"/>
          <w:szCs w:val="18"/>
          <w:b w:val="1"/>
          <w:bCs w:val="1"/>
          <w:i w:val="1"/>
          <w:iCs w:val="1"/>
          <w:color w:val="auto"/>
        </w:rPr>
        <w:t>Napoli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U.S. Offer Letter</w:t>
      </w:r>
      <w:r>
        <w:rPr>
          <w:rFonts w:ascii="Times New Roman" w:cs="Times New Roman" w:eastAsia="Times New Roman" w:hAnsi="Times New Roman"/>
          <w:sz w:val="18"/>
          <w:szCs w:val="18"/>
          <w:color w:val="auto"/>
        </w:rPr>
        <w:t>”, and together with the Napoli Swiss Employment Agreement, the “</w:t>
      </w:r>
      <w:r>
        <w:rPr>
          <w:rFonts w:ascii="Times New Roman" w:cs="Times New Roman" w:eastAsia="Times New Roman" w:hAnsi="Times New Roman"/>
          <w:sz w:val="18"/>
          <w:szCs w:val="18"/>
          <w:b w:val="1"/>
          <w:bCs w:val="1"/>
          <w:i w:val="1"/>
          <w:iCs w:val="1"/>
          <w:color w:val="auto"/>
        </w:rPr>
        <w:t>Napoli Offer Letters</w:t>
      </w:r>
      <w:r>
        <w:rPr>
          <w:rFonts w:ascii="Times New Roman" w:cs="Times New Roman" w:eastAsia="Times New Roman" w:hAnsi="Times New Roman"/>
          <w:sz w:val="18"/>
          <w:szCs w:val="18"/>
          <w:color w:val="auto"/>
        </w:rPr>
        <w:t>”), once he receives the right to work in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which time his principal placement of employment will be in Newark, California. Marc Winterhoff will continue to be the Company’s Interim CEO until Mr. Napoli is appointed as CEO, at which time Mr. Winterhoff will resume his previous role of Chief Operating Officer of the Company.</w:t>
      </w:r>
    </w:p>
    <w:p>
      <w:pPr>
        <w:spacing w:after="0" w:line="1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Mr. Napoli, age 60, served as the Chairman of the Board of Directors and Chief Executive Officer from January 2022 to March 2025 of Schindler Group, one of the world’s leading industrial technology companies, where he was the group’s Executive Chairman from April 2017 to December 2021 and Chief Executive Officer from January 2014 to March 2016. Mr. Napoli joined the Schindler Group in 1994 and has served in a number of leadership roles, including Director of Corporate Development, President and Chief Executive Officer of Schindler India and President of Asia-Pacific. Prior to Schindler Group, he spent four years with The Dow Chemical Company in Germany. Mr. Napoli has served as a member on the Board of Directors of Eaton Corporation plc since 2019, where he serves as the Chair of the Innovation &amp; Technology Committee. From 2019 to 2022, Mr. Napoli was the Chairman and President of the Board of Directors of the Swiss-American Chamber of Commerce, Zurich (Switzerland), advocating for Swiss, American and Multinational business interests. Mr. Napoli holds an MBA from Harvard Business School, which he earned as a Fulbright Scholar, and a Master of Engineering degree in materials science from the Swiss Federal Institute of Technology, Lausanne, Switzerland.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Pursuant to the Napoli Offer Letters, Mr. Napoli will be eligible to receive the following compensation, among other things: (i) an annual base salary of $1,500,000; (ii) beginning for the 2026 performance period, a target annual incentive bonus opportunity of 200% of base salary, a threshold payout level of 100% of base salary and a maximum payout level of 300% of base salary, provided that, for the 2026 performance period, such bonus shall be paid out based on the greater of (x) target performance or (y) actual performance for the full 2026 performance period, pro-rated based on the Start Date; (iii) initial equity grants described below; (iv) eligibility to participate in the Lucid Group, Inc. Executive Severance Benefit Plan, as modified under the Napoli Offer Letters;</w:t>
      </w:r>
    </w:p>
    <w:p>
      <w:pPr>
        <w:spacing w:after="0" w:line="3" w:lineRule="exact"/>
        <w:rPr>
          <w:sz w:val="20"/>
          <w:szCs w:val="20"/>
          <w:color w:val="auto"/>
        </w:rPr>
      </w:pPr>
    </w:p>
    <w:p>
      <w:pPr>
        <w:jc w:val="both"/>
        <w:ind w:firstLine="7"/>
        <w:spacing w:after="0" w:line="251" w:lineRule="auto"/>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up to $25,000 per month for six months for temporary housing expenses; and (vi) provision of, or reimbursement for, two Company vehicles, security protection and tax and financial planning. Mr. Napoli will also receive a lump sum payment of $1,000,000 to cover any expenses in connection with moving to the U.S. Mr. Napoli will not earn compensation for his service as a member of the Board while he is employed by the Company.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Napoli will receive a 2026 annual long-term incentive grant with a target grant value of $9,500,000, allocated as (i) $3,800,000 in the form of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xml:space="preserve">”) that vest over four years, </w:t>
      </w:r>
      <w:r>
        <w:rPr>
          <w:rFonts w:ascii="Times New Roman" w:cs="Times New Roman" w:eastAsia="Times New Roman" w:hAnsi="Times New Roman"/>
          <w:sz w:val="18"/>
          <w:szCs w:val="18"/>
          <w:color w:val="262626"/>
        </w:rPr>
        <w:t>with 25% vesting on a one-year cliff and the remainder vesting quarterly in 12 installments thereafter</w:t>
      </w:r>
      <w:r>
        <w:rPr>
          <w:rFonts w:ascii="Times New Roman" w:cs="Times New Roman" w:eastAsia="Times New Roman" w:hAnsi="Times New Roman"/>
          <w:sz w:val="18"/>
          <w:szCs w:val="18"/>
          <w:color w:val="auto"/>
        </w:rPr>
        <w:t>, (ii) $5,700,000 in the form of performance-based RSUs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(assuming target performance), on the same terms and conditions that apply to the annual PSU grants in 2026 to other executive officers of the Company, subject in each case to Mr. Napoli’s continued employment with the Company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262626"/>
        </w:rPr>
        <w:t>Mr. Napoli will also receive a one-time grant of performance-based stock options (the “</w:t>
      </w:r>
      <w:r>
        <w:rPr>
          <w:rFonts w:ascii="Times New Roman" w:cs="Times New Roman" w:eastAsia="Times New Roman" w:hAnsi="Times New Roman"/>
          <w:sz w:val="18"/>
          <w:szCs w:val="18"/>
          <w:b w:val="1"/>
          <w:bCs w:val="1"/>
          <w:i w:val="1"/>
          <w:iCs w:val="1"/>
          <w:color w:val="262626"/>
        </w:rPr>
        <w:t>New Hire PSOs</w:t>
      </w:r>
      <w:r>
        <w:rPr>
          <w:rFonts w:ascii="Times New Roman" w:cs="Times New Roman" w:eastAsia="Times New Roman" w:hAnsi="Times New Roman"/>
          <w:sz w:val="18"/>
          <w:szCs w:val="18"/>
          <w:color w:val="262626"/>
        </w:rPr>
        <w:t>”), with a maximum of 1,000,000 shares of the Company’s Class A common stock (“</w:t>
      </w:r>
      <w:r>
        <w:rPr>
          <w:rFonts w:ascii="Times New Roman" w:cs="Times New Roman" w:eastAsia="Times New Roman" w:hAnsi="Times New Roman"/>
          <w:sz w:val="18"/>
          <w:szCs w:val="18"/>
          <w:b w:val="1"/>
          <w:bCs w:val="1"/>
          <w:i w:val="1"/>
          <w:iCs w:val="1"/>
          <w:color w:val="262626"/>
        </w:rPr>
        <w:t>Shares</w:t>
      </w:r>
      <w:r>
        <w:rPr>
          <w:rFonts w:ascii="Times New Roman" w:cs="Times New Roman" w:eastAsia="Times New Roman" w:hAnsi="Times New Roman"/>
          <w:sz w:val="18"/>
          <w:szCs w:val="18"/>
          <w:color w:val="262626"/>
        </w:rPr>
        <w:t>”) subject to such option, if maximum performance is achieved between the Start Date and the fifth anniversary of the Start Date (the “</w:t>
      </w:r>
      <w:r>
        <w:rPr>
          <w:rFonts w:ascii="Times New Roman" w:cs="Times New Roman" w:eastAsia="Times New Roman" w:hAnsi="Times New Roman"/>
          <w:sz w:val="18"/>
          <w:szCs w:val="18"/>
          <w:b w:val="1"/>
          <w:bCs w:val="1"/>
          <w:i w:val="1"/>
          <w:iCs w:val="1"/>
          <w:color w:val="262626"/>
        </w:rPr>
        <w:t>Performance Period</w:t>
      </w:r>
      <w:r>
        <w:rPr>
          <w:rFonts w:ascii="Times New Roman" w:cs="Times New Roman" w:eastAsia="Times New Roman" w:hAnsi="Times New Roman"/>
          <w:sz w:val="18"/>
          <w:szCs w:val="18"/>
          <w:color w:val="262626"/>
        </w:rPr>
        <w:t>”) and time-based vesting conditions are satisfied. The New Hire PSOs will be segmented into five tranches of 200,000 each, with the performance-based vesting condition for each tranche satisfied based on achievement of a Market Capitalization Performance Hurdle of $5.0 billion, $7.5 billion, $10.0 billion, $12.5 billion and 17.5 billion, for tranche 1, 2, 3, 4, and 5, respectively.</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262626"/>
        </w:rPr>
        <w:t>The “</w:t>
      </w:r>
      <w:r>
        <w:rPr>
          <w:rFonts w:ascii="Times New Roman" w:cs="Times New Roman" w:eastAsia="Times New Roman" w:hAnsi="Times New Roman"/>
          <w:sz w:val="18"/>
          <w:szCs w:val="18"/>
          <w:b w:val="1"/>
          <w:bCs w:val="1"/>
          <w:i w:val="1"/>
          <w:iCs w:val="1"/>
          <w:color w:val="262626"/>
        </w:rPr>
        <w:t>Market Capitalization Performance Hurdle</w:t>
      </w:r>
      <w:r>
        <w:rPr>
          <w:rFonts w:ascii="Times New Roman" w:cs="Times New Roman" w:eastAsia="Times New Roman" w:hAnsi="Times New Roman"/>
          <w:sz w:val="18"/>
          <w:szCs w:val="18"/>
          <w:color w:val="262626"/>
        </w:rPr>
        <w:t>” involves achievement of the volume-weighted average of the Company’s market capitalization for 45 consecutive trading days, as defined in, and as calculated in accordance with, the Napoli Swiss Employment Agreement.</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62626"/>
        </w:rPr>
        <w:t>A given tranche vests upon the later of (x) the tranche’s time-based vesting date (which is the second anniversary of the Start Date for tranche 1, third anniversary of the Start Date for tranches 2 and 3 and fourth anniversary of the Start Date for tranches 4 and 5) and (y) certification of achievement of the Market Capitalization Performance Hurdle, in each case, subject to Mr. Napoli’s continued employment with a Group Company (as defined in the Napoli Offer Letters).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of the Napoli U.S. Offer Letter and the Napoli Swiss Employment Agreement, which will be filed as exhibits to the Company’s Quarterly Report on Form 10-Q for the fiscal quarter ending June 30, 2026.</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is no arrangement or understanding with any person pursuant to which Mr. Napoli was appointed as an executive officer or a member of the Board, and there are no family relationships between Mr. Napoli and any director or executive officer of the Company. Additionally, there are no transactions between Mr. Napoli and the Company and/or its subsidiaries that would be required to be reported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411480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spacing w:after="0" w:line="251" w:lineRule="auto"/>
        <w:rPr>
          <w:sz w:val="20"/>
          <w:szCs w:val="20"/>
          <w:color w:val="auto"/>
        </w:rPr>
      </w:pPr>
      <w:r>
        <w:rPr>
          <w:rFonts w:ascii="Times New Roman" w:cs="Times New Roman" w:eastAsia="Times New Roman" w:hAnsi="Times New Roman"/>
          <w:sz w:val="18"/>
          <w:szCs w:val="18"/>
          <w:color w:val="auto"/>
        </w:rPr>
        <w:t>The Board also approved revised compensation terms for Mr. Winterhoff regarding his anticipated transition back to the role of the Company’s Chief Operating Officer (the “</w:t>
      </w:r>
      <w:r>
        <w:rPr>
          <w:rFonts w:ascii="Times New Roman" w:cs="Times New Roman" w:eastAsia="Times New Roman" w:hAnsi="Times New Roman"/>
          <w:sz w:val="18"/>
          <w:szCs w:val="18"/>
          <w:b w:val="1"/>
          <w:bCs w:val="1"/>
          <w:i w:val="1"/>
          <w:iCs w:val="1"/>
          <w:color w:val="auto"/>
        </w:rPr>
        <w:t>Revised Winterhoff Compensation Terms</w:t>
      </w:r>
      <w:r>
        <w:rPr>
          <w:rFonts w:ascii="Times New Roman" w:cs="Times New Roman" w:eastAsia="Times New Roman" w:hAnsi="Times New Roman"/>
          <w:sz w:val="18"/>
          <w:szCs w:val="18"/>
          <w:color w:val="auto"/>
        </w:rPr>
        <w:t>”). Pursuant to the Revised Winterhoff Compensation Terms, Mr. Winterhoff will be eligible to receive the following, effective as of the Start Date: (i) an annual base salary of $1,000,000; (ii) beginning for the 2026 performance period, a target annual incentive bonus opportunity of 150% of base salary, a threshold payout level of 75% of base salary and a maximum payout level of 225% of base salary; (iii) a 2026 annual long-term incentive award with a target grant value of $5,400,000, which will be granted in the same mix of equity award vehicles that apply to the Company’s other executive officers’ annual long-term incentive grants in 2026; (iv) $2,000,000 of cash recognition and retention bonuses, $1,000,000 of which vests upon the Start Date; and $1,000,000 of which vests on the first anniversary of the Start Date, subject to Mr. Winterhoff’s continued employment with the Company.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Winterhoff will also receive a performance-based cash bonus which has a maximum payout opportunity of $3,000,000 (the “</w:t>
      </w:r>
      <w:r>
        <w:rPr>
          <w:rFonts w:ascii="Times New Roman" w:cs="Times New Roman" w:eastAsia="Times New Roman" w:hAnsi="Times New Roman"/>
          <w:sz w:val="18"/>
          <w:szCs w:val="18"/>
          <w:b w:val="1"/>
          <w:bCs w:val="1"/>
          <w:i w:val="1"/>
          <w:iCs w:val="1"/>
          <w:color w:val="auto"/>
        </w:rPr>
        <w:t>Performance-Based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segmented into three equal tranches of $1,000,000. Each tranche of the Performance-Based Cash Bonus may only be earned if both the time-based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performance-based vesting conditions applicable to such tranche are met. Such vesting conditions for tranche 1, tranche 2, and tranche 3 of the Performance-Based Cash Bonus are the same in all material respects as those that apply to tranche 1, tranche 2 and tranche 3 of the New Hire PSOs for Mr. Napoli, respectively.</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April 14, 2026, the Company issued a press release (the “</w:t>
      </w:r>
      <w:r>
        <w:rPr>
          <w:rFonts w:ascii="Times New Roman" w:cs="Times New Roman" w:eastAsia="Times New Roman" w:hAnsi="Times New Roman"/>
          <w:sz w:val="18"/>
          <w:szCs w:val="18"/>
          <w:b w:val="1"/>
          <w:bCs w:val="1"/>
          <w:i w:val="1"/>
          <w:iCs w:val="1"/>
          <w:color w:val="auto"/>
        </w:rPr>
        <w:t>Press Release</w:t>
      </w:r>
      <w:r>
        <w:rPr>
          <w:rFonts w:ascii="Times New Roman" w:cs="Times New Roman" w:eastAsia="Times New Roman" w:hAnsi="Times New Roman"/>
          <w:sz w:val="18"/>
          <w:szCs w:val="18"/>
          <w:color w:val="auto"/>
        </w:rPr>
        <w:t>”) announcing the Company’s Chief Executive Officer transition as described herein. A copy of this Press Release is furnished herewith as Exhibit 99.1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employment of Mr. Napoli and Mr. Winterhoff and the anticipated timeline and compensation.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those factors discussed under the cautionary language and the Risk Factors in our Annual Report on Form 10-K for the year ended December 31, 2025, Current Reports on Form 8-K, and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report.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report.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546735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860" w:type="dxa"/>
            <w:vAlign w:val="bottom"/>
          </w:tcPr>
          <w:p>
            <w:pPr>
              <w:spacing w:after="0"/>
              <w:rPr>
                <w:sz w:val="20"/>
                <w:szCs w:val="20"/>
                <w:color w:val="auto"/>
              </w:rPr>
            </w:pPr>
          </w:p>
        </w:tc>
      </w:tr>
      <w:tr>
        <w:trPr>
          <w:trHeight w:val="40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21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2"/>
        </w:trPr>
        <w:tc>
          <w:tcPr>
            <w:tcW w:w="3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6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0000EE"/>
              </w:rPr>
              <w:t>Lucid Press Release, dated April 14, 2026</w:t>
            </w: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26"/>
        </w:trPr>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14, 2026</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15875</wp:posOffset>
            </wp:positionV>
            <wp:extent cx="334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6450" cy="8255"/>
                    </a:xfrm>
                    <a:prstGeom prst="rect">
                      <a:avLst/>
                    </a:prstGeom>
                    <a:noFill/>
                  </pic:spPr>
                </pic:pic>
              </a:graphicData>
            </a:graphic>
          </wp:anchor>
        </w:drawing>
      </w:r>
    </w:p>
    <w:p>
      <w:pPr>
        <w:spacing w:after="0" w:line="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274955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96455" cy="415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Names Global Industrial Leader Silvio Napoli as Next Chief Executive Officer to Accelerate Growth, Profitability and Value Creation</w:t>
      </w:r>
    </w:p>
    <w:p>
      <w:pPr>
        <w:spacing w:after="0" w:line="222" w:lineRule="exact"/>
        <w:rPr>
          <w:sz w:val="20"/>
          <w:szCs w:val="20"/>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Silvio Napoli, formerly Chairman and Chief Executive Officer of Schindler Group, to join Lucid as next Chief Executive Officer</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Chief Executive Officer Marc Winterhoff will continue as Chief Operating Officer upon Napoli assuming the role</w:t>
      </w:r>
    </w:p>
    <w:p>
      <w:pPr>
        <w:spacing w:after="0" w:line="21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Newark, Calif., April 14, 2026 – </w:t>
      </w:r>
      <w:r>
        <w:rPr>
          <w:rFonts w:ascii="Times New Roman" w:cs="Times New Roman" w:eastAsia="Times New Roman" w:hAnsi="Times New Roman"/>
          <w:sz w:val="18"/>
          <w:szCs w:val="18"/>
          <w:color w:val="auto"/>
        </w:rPr>
        <w:t>Lucid Group, Inc. (NASDAQ: LCID), maker of the world’s most advanced software-defined vehicles and technologies,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today announced that Silvio Napoli will be Lucid’s next Chief Executive Officer (CEO) and will join Lucid’s Board of Directors. Mr. Napoli is currently based in Switzerland and will be relocating to the U.S. Interim Chief Executive Officer Marc Winterhoff will serve as Lucid’s Chief Operating Officer (COO) upon Napoli assuming the CEO role.</w:t>
      </w:r>
    </w:p>
    <w:p>
      <w:pPr>
        <w:spacing w:after="0" w:line="18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Napoli’s deep operational expertise, financial discipline, and track record of leadership in innovation position Lucid for its next phase of growth as it further scales production of Lucid Gravity and Lucid Air, advances its upcoming Midsize platform vehicles, pursues new streams of revenue through autonomy, robotaxi, and software-enabled innovation, and accelerate toward growth, positive free cash flow, and profitability.</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behalf of the Board, we are pleased to welcome Silvio as Lucid’s next CEO,” said Turqi Alnowaiser, Chairman of the Lucid Board of Directors. “Silvio is a proven global leader with deep experience leading complex, technology-driven organizations through periods of rapid growth and operational scaling. He brings a strong track record of global manufacturing excellence, operational discipline, driving growth across global markets and leading state-of-the-art customer service. His expertise in capital allocation, operational efficiency and translating advanced technology into consistent high-quality performance over time will be critical as Lucid continues to scale and execute its strategy.”</w:t>
      </w:r>
    </w:p>
    <w:p>
      <w:pPr>
        <w:spacing w:after="0" w:line="18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Alnowaiser added, “I would also like to thank Marc for his leadership as Interim CEO during a pivotal period for the company. Under Marc’s stewardship, Lucid expanded and sharpened its strategy, strengthened execution and operational discipline, and led the business through an exceptionally challenging environment while maintaining momentum. We are fortunate to have his continued leadership as COO.”</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Napoli brings decades of global industrial leadership experience, most recently serving as Chairman and CEO of Schindler Group, one of the world’s leading industrial technology companies. During his tenure, he led large-scale global operations across complex markets, with a strong track record in manufacturing excellence, cost discipline, capital allocation, and building and leading resilient, high-performing organizations. He also led the vertical transportation industry’s evolution toward a more technology-enabled, service-oriented business model, strengthening recurring revenue and long-term value creation. Napoli is known for a leadership style that emphasizes clarity of priorities, accountability, and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 w:name="page8"/>
    <w:bookmarkEnd w:id="7"/>
    <w:p>
      <w:pPr>
        <w:ind w:right="40"/>
        <w:spacing w:after="0" w:line="277" w:lineRule="auto"/>
        <w:rPr>
          <w:sz w:val="20"/>
          <w:szCs w:val="20"/>
          <w:color w:val="auto"/>
        </w:rPr>
      </w:pPr>
      <w:r>
        <w:rPr>
          <w:rFonts w:ascii="Times New Roman" w:cs="Times New Roman" w:eastAsia="Times New Roman" w:hAnsi="Times New Roman"/>
          <w:sz w:val="18"/>
          <w:szCs w:val="18"/>
          <w:color w:val="auto"/>
        </w:rPr>
        <w:t>“The past year has been an important period of progress for Lucid, and I’m proud of the work the team has done to strengthen our operations and execution,” said Winterhoff. “We have laid out a clear vision and enhanced strategy, and I look forward to continuing that work alongside Silvio.”</w:t>
      </w:r>
    </w:p>
    <w:p>
      <w:pPr>
        <w:spacing w:after="0" w:line="163"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“Lucid has established a strong foundation built on technology leadership and an expanding product portfolio, including Lucid Air, Lucid Gravity, and the upcoming Midsize vehicles,” said Napoli. “Working with Marc and the executive team, my focus will be on consistent execution, financial discipline and helping translate Lucid’s breakthrough innovations into long-term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Silvio Napoli</w:t>
      </w:r>
    </w:p>
    <w:p>
      <w:pPr>
        <w:spacing w:after="0" w:line="22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Following a comprehensive search, Silvio Napoli is joining Lucid as the next CEO of Lucid and a member of the board of directors. Prior to joining Lucid, Napoli served as Chairman and CEO of the Schindler Group where he led large-scale international operations and drove strategic and operational change across global markets. His experience spans manufacturing, supply chain, commercial execution, organizational performance, and business transformation, including helping industrial businesses evolve toward more technology-enabled and service-oriented models. He holds an MBA from Harvard Business School which he earned as a Fulbright scholar.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Lucid Group, Inc. (NASDAQ: LCID) is a technology company creating exceptional mobility experiences through innovation to drive the world forward. Built on Lucid’s proprietary technology and software-defined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employment of Mr. Napoli and Mr. Winterhoff and the anticipated timeline.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the Company. These forward-looking statements are subject to a number of risks and uncertainties, including those factors discussed under the cautionary language and the Risk Factors in our Annual Report on Form 10-K for the year ended December 31, 2025, Current Reports on Form 8-K, and other documents the Company has filed or will file with the Securities and Exchange Commission. If any of these risks materialize or the Company’s assumptions prove incorrect, actual results could differ materially from the results implied by these forward-looking statements. There may be additional risks that the Company currently does not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communication. The Company anticipates that subsequent events and developments will cause the Company’s assessments to change. However, while the Company may elect to update these forward-looking statements at some point in the future, the Company specifically disclaims any obligation to do so. These forward-looking statements should not be relied upon as representing the Company’s assessments as of any date subsequent to the date of this communication. Accordingly, undue reliance should not be placed upon the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investor@lucidmotors.com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2026-04-14T06:06:56Z</dcterms:created>
  <dcterms:modified xsi:type="dcterms:W3CDTF">2026-04-14T06:06:56Z</dcterms:modified>
</cp:coreProperties>
</file>