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alibri" w:cs="Calibri" w:eastAsia="Calibri" w:hAnsi="Calibri"/>
          <w:sz w:val="11"/>
          <w:szCs w:val="11"/>
          <w:color w:val="003366"/>
        </w:rPr>
        <w:t>TABLE OF CONTENTS</w:t>
      </w:r>
    </w:p>
    <w:p>
      <w:pPr>
        <w:spacing w:after="0" w:line="369" w:lineRule="exact"/>
        <w:rPr>
          <w:sz w:val="24"/>
          <w:szCs w:val="24"/>
          <w:color w:val="auto"/>
        </w:rPr>
      </w:pPr>
    </w:p>
    <w:p>
      <w:pPr>
        <w:jc w:val="right"/>
        <w:ind w:right="1279"/>
        <w:spacing w:after="0"/>
        <w:rPr>
          <w:sz w:val="20"/>
          <w:szCs w:val="20"/>
          <w:color w:val="auto"/>
        </w:rPr>
      </w:pPr>
      <w:r>
        <w:rPr>
          <w:rFonts w:ascii="Times New Roman" w:cs="Times New Roman" w:eastAsia="Times New Roman" w:hAnsi="Times New Roman"/>
          <w:sz w:val="14"/>
          <w:szCs w:val="14"/>
          <w:b w:val="1"/>
          <w:bCs w:val="1"/>
          <w:color w:val="auto"/>
        </w:rPr>
        <w:t> Filed Pursuant to Rule 424(b)(5)​</w:t>
      </w:r>
    </w:p>
    <w:p>
      <w:pPr>
        <w:jc w:val="right"/>
        <w:ind w:right="1279"/>
        <w:spacing w:after="0"/>
        <w:rPr>
          <w:sz w:val="20"/>
          <w:szCs w:val="20"/>
          <w:color w:val="auto"/>
        </w:rPr>
      </w:pPr>
      <w:r>
        <w:rPr>
          <w:rFonts w:ascii="Times New Roman" w:cs="Times New Roman" w:eastAsia="Times New Roman" w:hAnsi="Times New Roman"/>
          <w:sz w:val="14"/>
          <w:szCs w:val="14"/>
          <w:b w:val="1"/>
          <w:bCs w:val="1"/>
          <w:color w:val="auto"/>
        </w:rPr>
        <w:t> Registration No. 333-295033​</w:t>
      </w:r>
    </w:p>
    <w:p>
      <w:pPr>
        <w:spacing w:after="0" w:line="13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(To Prospectus Dated April 14, 2026)</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36,057,692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1481455</wp:posOffset>
            </wp:positionH>
            <wp:positionV relativeFrom="paragraph">
              <wp:posOffset>101600</wp:posOffset>
            </wp:positionV>
            <wp:extent cx="275717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7170" cy="180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Lucid Group, Inc.</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14" w:lineRule="exact"/>
        <w:rPr>
          <w:sz w:val="24"/>
          <w:szCs w:val="24"/>
          <w:color w:val="auto"/>
        </w:rPr>
      </w:pPr>
    </w:p>
    <w:p>
      <w:pPr>
        <w:ind w:left="1300" w:right="1939" w:firstLine="280"/>
        <w:spacing w:after="0" w:line="283" w:lineRule="auto"/>
        <w:rPr>
          <w:sz w:val="20"/>
          <w:szCs w:val="20"/>
          <w:color w:val="auto"/>
        </w:rPr>
      </w:pPr>
      <w:r>
        <w:rPr>
          <w:rFonts w:ascii="Times New Roman" w:cs="Times New Roman" w:eastAsia="Times New Roman" w:hAnsi="Times New Roman"/>
          <w:sz w:val="14"/>
          <w:szCs w:val="14"/>
          <w:color w:val="auto"/>
        </w:rPr>
        <w:t>We are offering 36,057,692 shares of our Class A common stock, par value $0.0001 per share (“common stock”).</w:t>
      </w:r>
    </w:p>
    <w:p>
      <w:pPr>
        <w:spacing w:after="0" w:line="72" w:lineRule="exact"/>
        <w:rPr>
          <w:sz w:val="24"/>
          <w:szCs w:val="24"/>
          <w:color w:val="auto"/>
        </w:rPr>
      </w:pPr>
    </w:p>
    <w:p>
      <w:pPr>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(“Nasdaq”) under the symbol “LCID.” On April 13, 2026, the last reported sale price of our common stock was $9.24 per share.</w:t>
      </w:r>
    </w:p>
    <w:p>
      <w:pPr>
        <w:spacing w:after="0" w:line="72" w:lineRule="exact"/>
        <w:rPr>
          <w:sz w:val="24"/>
          <w:szCs w:val="24"/>
          <w:color w:val="auto"/>
        </w:rPr>
      </w:pPr>
    </w:p>
    <w:p>
      <w:pPr>
        <w:jc w:val="both"/>
        <w:ind w:left="1300" w:right="1559" w:firstLine="280"/>
        <w:spacing w:after="0" w:line="283" w:lineRule="auto"/>
        <w:rPr>
          <w:sz w:val="20"/>
          <w:szCs w:val="20"/>
          <w:color w:val="auto"/>
        </w:rPr>
      </w:pPr>
      <w:r>
        <w:rPr>
          <w:rFonts w:ascii="Times New Roman" w:cs="Times New Roman" w:eastAsia="Times New Roman" w:hAnsi="Times New Roman"/>
          <w:sz w:val="14"/>
          <w:szCs w:val="14"/>
          <w:color w:val="auto"/>
        </w:rPr>
        <w:t>The underwriter has agreed to purchase the shares of common stock from us at a price of $8.112 per share, which will result in approximately $291.5 million of net proceeds to us, after estimated expenses.</w:t>
      </w:r>
    </w:p>
    <w:p>
      <w:pPr>
        <w:spacing w:after="0" w:line="62" w:lineRule="exact"/>
        <w:rPr>
          <w:sz w:val="24"/>
          <w:szCs w:val="24"/>
          <w:color w:val="auto"/>
        </w:rPr>
      </w:pPr>
    </w:p>
    <w:p>
      <w:pPr>
        <w:ind w:left="1300" w:right="1439" w:firstLine="280"/>
        <w:spacing w:after="0" w:line="256" w:lineRule="auto"/>
        <w:rPr>
          <w:sz w:val="20"/>
          <w:szCs w:val="20"/>
          <w:color w:val="auto"/>
        </w:rPr>
      </w:pPr>
      <w:r>
        <w:rPr>
          <w:rFonts w:ascii="Times New Roman" w:cs="Times New Roman" w:eastAsia="Times New Roman" w:hAnsi="Times New Roman"/>
          <w:sz w:val="14"/>
          <w:szCs w:val="14"/>
          <w:color w:val="auto"/>
        </w:rPr>
        <w:t>The underwriter may offer the shares of common stock from time to time for sale in one or more transactions on the Nasdaq, in the over-the-counter market, through negotiated transactions or otherwise at market prices prevailing at the time of sale, at prices related to prevailing market prices or at negotiated prices. The underwriter may effect such transactions by selling shares of common stock to or through dealers, and such dealers may receive compensation in the form of discounts, concessions or commissions from the underwriter and / or purchasers of shares of common stock for whom they may act as agents or to whom they may sell as principal. See “Underwriting.”</w:t>
      </w:r>
    </w:p>
    <w:p>
      <w:pPr>
        <w:spacing w:after="0" w:line="9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color w:val="auto"/>
        </w:rPr>
        <w:t>Delivery of the shares of our common stock will be made on or about April 15, 2026.</w:t>
      </w:r>
    </w:p>
    <w:p>
      <w:pPr>
        <w:spacing w:after="0" w:line="121" w:lineRule="exact"/>
        <w:rPr>
          <w:sz w:val="24"/>
          <w:szCs w:val="24"/>
          <w:color w:val="auto"/>
        </w:rPr>
      </w:pPr>
    </w:p>
    <w:p>
      <w:pPr>
        <w:ind w:left="1300" w:right="1399" w:firstLine="280"/>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Investing in our common stock involves certain risks. You should review carefully the risks and uncertainties described under the heading “Risk Factors” beginning on page </w:t>
      </w:r>
      <w:r>
        <w:rPr>
          <w:rFonts w:ascii="Times New Roman" w:cs="Times New Roman" w:eastAsia="Times New Roman" w:hAnsi="Times New Roman"/>
          <w:sz w:val="14"/>
          <w:szCs w:val="14"/>
          <w:b w:val="1"/>
          <w:bCs w:val="1"/>
          <w:u w:val="single" w:color="auto"/>
          <w:color w:val="0000EE"/>
        </w:rPr>
        <w:t>S-9</w:t>
      </w:r>
      <w:r>
        <w:rPr>
          <w:rFonts w:ascii="Times New Roman" w:cs="Times New Roman" w:eastAsia="Times New Roman" w:hAnsi="Times New Roman"/>
          <w:sz w:val="14"/>
          <w:szCs w:val="14"/>
          <w:b w:val="1"/>
          <w:bCs w:val="1"/>
          <w:color w:val="auto"/>
        </w:rPr>
        <w:t xml:space="preserve"> of this prospectus supplement and in the documents incorporated by reference into this prospectus supplement.</w:t>
      </w:r>
    </w:p>
    <w:p>
      <w:pPr>
        <w:spacing w:after="0" w:line="72" w:lineRule="exact"/>
        <w:rPr>
          <w:sz w:val="24"/>
          <w:szCs w:val="24"/>
          <w:color w:val="auto"/>
        </w:rPr>
      </w:pPr>
    </w:p>
    <w:p>
      <w:pPr>
        <w:ind w:left="1300" w:right="1419" w:firstLine="280"/>
        <w:spacing w:after="0" w:line="267" w:lineRule="auto"/>
        <w:rPr>
          <w:sz w:val="20"/>
          <w:szCs w:val="20"/>
          <w:color w:val="auto"/>
        </w:rPr>
      </w:pPr>
      <w:r>
        <w:rPr>
          <w:rFonts w:ascii="Times New Roman" w:cs="Times New Roman" w:eastAsia="Times New Roman" w:hAnsi="Times New Roman"/>
          <w:sz w:val="14"/>
          <w:szCs w:val="14"/>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155575</wp:posOffset>
            </wp:positionV>
            <wp:extent cx="9613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BofA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155575</wp:posOffset>
            </wp:positionV>
            <wp:extent cx="9613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1249680</wp:posOffset>
            </wp:positionV>
            <wp:extent cx="531876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sectPr>
      </w:pPr>
    </w:p>
    <w:bookmarkStart w:id="1" w:name="page2"/>
    <w:bookmarkEnd w:id="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12065</wp:posOffset>
            </wp:positionV>
            <wp:extent cx="4058920" cy="13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auto"/>
        </w:rPr>
        <w:t>Prospectus Supplement</w:t>
      </w:r>
    </w:p>
    <w:p>
      <w:pPr>
        <w:spacing w:after="0" w:line="41" w:lineRule="exact"/>
        <w:rPr>
          <w:sz w:val="20"/>
          <w:szCs w:val="20"/>
          <w:color w:val="auto"/>
        </w:rPr>
      </w:pPr>
    </w:p>
    <w:p>
      <w:pPr>
        <w:ind w:left="1300" w:right="1600"/>
        <w:spacing w:after="0" w:line="302" w:lineRule="auto"/>
        <w:rPr>
          <w:sz w:val="20"/>
          <w:szCs w:val="20"/>
          <w:color w:val="auto"/>
        </w:rPr>
      </w:pPr>
      <w:r>
        <w:rPr>
          <w:rFonts w:ascii="Times New Roman" w:cs="Times New Roman" w:eastAsia="Times New Roman" w:hAnsi="Times New Roman"/>
          <w:sz w:val="14"/>
          <w:szCs w:val="14"/>
          <w:u w:val="single" w:color="auto"/>
          <w:color w:val="0000EE"/>
        </w:rPr>
        <w:t>ABOUT THIS PROSPECTUS SUPPLEMENT TRADEMARKS, SERVICE MARKS AND TRADE NAMES 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-269240</wp:posOffset>
            </wp:positionV>
            <wp:extent cx="4058920" cy="127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58920" cy="127000"/>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-15240</wp:posOffset>
            </wp:positionV>
            <wp:extent cx="4058920" cy="133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EE"/>
        </w:rPr>
        <w:t>SPECIAL NOTE REGARDING FORWARD-LOOKING STATEMENTS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THE OFFERING</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SUMMARY HISTORICAL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DIVIDENDS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UNDERWRITING</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 FEDERAL INCOME TAX CONSIDERATIONS FOR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auto"/>
        </w:rPr>
        <w:t>Prospectus</w:t>
      </w:r>
    </w:p>
    <w:p>
      <w:pPr>
        <w:spacing w:after="0" w:line="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-85725</wp:posOffset>
            </wp:positionV>
            <wp:extent cx="4062095" cy="93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62095" cy="93345"/>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-8255</wp:posOffset>
            </wp:positionV>
            <wp:extent cx="4062095" cy="153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FREQUENTLY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USED TERMS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CAUTIONARY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COMPANY</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U</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.S. FEDERAL INCOME TAX CONSIDERATIONS FOR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5"/>
        </w:trPr>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tcPr>
          <w:p>
            <w:pPr>
              <w:spacing w:after="0"/>
              <w:rPr>
                <w:sz w:val="24"/>
                <w:szCs w:val="24"/>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78"/>
              </w:rPr>
              <w:t xml:space="preserve">Page </w:t>
            </w:r>
            <w:r>
              <w:rPr>
                <w:rFonts w:ascii="Times New Roman" w:cs="Times New Roman" w:eastAsia="Times New Roman" w:hAnsi="Times New Roman"/>
                <w:sz w:val="22"/>
                <w:szCs w:val="22"/>
                <w:b w:val="1"/>
                <w:bCs w:val="1"/>
                <w:color w:val="auto"/>
                <w:w w:val="78"/>
                <w:vertAlign w:val="subscript"/>
              </w:rPr>
              <w:t>​</w:t>
            </w: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07"/>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1"/>
        </w:trPr>
        <w:tc>
          <w:tcPr>
            <w:tcW w:w="1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0000EE"/>
            </w:tcBorders>
          </w:tcPr>
          <w:p>
            <w:pPr>
              <w:jc w:val="right"/>
              <w:spacing w:after="0" w:line="131" w:lineRule="exact"/>
              <w:rPr>
                <w:sz w:val="20"/>
                <w:szCs w:val="20"/>
                <w:color w:val="auto"/>
              </w:rPr>
            </w:pPr>
            <w:r>
              <w:rPr>
                <w:rFonts w:ascii="Times New Roman" w:cs="Times New Roman" w:eastAsia="Times New Roman" w:hAnsi="Times New Roman"/>
                <w:sz w:val="14"/>
                <w:szCs w:val="14"/>
                <w:color w:val="0000EE"/>
                <w:w w:val="78"/>
              </w:rPr>
              <w:t>S-ii</w:t>
            </w: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80"/>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78"/>
              </w:rPr>
              <w:t>S-ii</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71"/>
              </w:rPr>
              <w:t>S-iii</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73"/>
              </w:rPr>
              <w:t>S-iv</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2"/>
              </w:rPr>
              <w:t>S-1</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2"/>
              </w:rPr>
              <w:t>S-4</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2"/>
              </w:rPr>
              <w:t>S-6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2"/>
              </w:rPr>
              <w:t>S-9</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2"/>
                <w:szCs w:val="12"/>
                <w:color w:val="auto"/>
                <w:w w:val="70"/>
              </w:rPr>
              <w:t>​</w:t>
            </w:r>
            <w:r>
              <w:rPr>
                <w:rFonts w:ascii="Times New Roman" w:cs="Times New Roman" w:eastAsia="Times New Roman" w:hAnsi="Times New Roman"/>
                <w:sz w:val="12"/>
                <w:szCs w:val="12"/>
                <w:color w:val="0000EE"/>
                <w:w w:val="70"/>
              </w:rPr>
              <w:t>S-14</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2"/>
                <w:szCs w:val="12"/>
                <w:color w:val="auto"/>
                <w:w w:val="70"/>
              </w:rPr>
              <w:t>​</w:t>
            </w:r>
            <w:r>
              <w:rPr>
                <w:rFonts w:ascii="Times New Roman" w:cs="Times New Roman" w:eastAsia="Times New Roman" w:hAnsi="Times New Roman"/>
                <w:sz w:val="12"/>
                <w:szCs w:val="12"/>
                <w:color w:val="0000EE"/>
                <w:w w:val="70"/>
              </w:rPr>
              <w:t>S-15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S-29</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17"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32"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w:t>
      </w:r>
    </w:p>
    <w:p>
      <w:pPr>
        <w:sectPr>
          <w:pgSz w:w="11900" w:h="16838" w:orient="portrait"/>
          <w:cols w:equalWidth="0" w:num="2">
            <w:col w:w="6520" w:space="720"/>
            <w:col w:w="1779"/>
          </w:cols>
          <w:pgMar w:left="1440" w:top="107" w:right="1440" w:bottom="1440" w:gutter="0" w:footer="0" w:header="0"/>
        </w:sectPr>
      </w:pPr>
    </w:p>
    <w:bookmarkStart w:id="2" w:name="page3"/>
    <w:bookmarkEnd w:id="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25"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w:t>
      </w:r>
    </w:p>
    <w:p>
      <w:pPr>
        <w:spacing w:after="0" w:line="91" w:lineRule="exact"/>
        <w:rPr>
          <w:sz w:val="20"/>
          <w:szCs w:val="20"/>
          <w:color w:val="auto"/>
        </w:rPr>
      </w:pPr>
    </w:p>
    <w:p>
      <w:pPr>
        <w:ind w:left="1300" w:right="1679" w:firstLine="280"/>
        <w:spacing w:after="0" w:line="267" w:lineRule="auto"/>
        <w:rPr>
          <w:sz w:val="20"/>
          <w:szCs w:val="20"/>
          <w:color w:val="auto"/>
        </w:rPr>
      </w:pPr>
      <w:r>
        <w:rPr>
          <w:rFonts w:ascii="Times New Roman" w:cs="Times New Roman" w:eastAsia="Times New Roman" w:hAnsi="Times New Roman"/>
          <w:sz w:val="14"/>
          <w:szCs w:val="14"/>
          <w:color w:val="auto"/>
        </w:rPr>
        <w:t>You should read both this prospectus supplement and the accompanying prospectus, together with additional information described under the heading “Where You Can Find More Information” in this prospectus supplement and the accompanying prospectus.</w:t>
      </w:r>
    </w:p>
    <w:p>
      <w:pPr>
        <w:spacing w:after="0" w:line="72" w:lineRule="exact"/>
        <w:rPr>
          <w:sz w:val="20"/>
          <w:szCs w:val="20"/>
          <w:color w:val="auto"/>
        </w:rPr>
      </w:pPr>
    </w:p>
    <w:p>
      <w:pPr>
        <w:ind w:left="1300" w:right="1359" w:firstLine="280"/>
        <w:spacing w:after="0" w:line="267" w:lineRule="auto"/>
        <w:rPr>
          <w:sz w:val="20"/>
          <w:szCs w:val="20"/>
          <w:color w:val="auto"/>
        </w:rPr>
      </w:pPr>
      <w:r>
        <w:rPr>
          <w:rFonts w:ascii="Times New Roman" w:cs="Times New Roman" w:eastAsia="Times New Roman" w:hAnsi="Times New Roman"/>
          <w:sz w:val="14"/>
          <w:szCs w:val="14"/>
          <w:color w:val="auto"/>
        </w:rPr>
        <w:t>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w:t>
      </w:r>
    </w:p>
    <w:p>
      <w:pPr>
        <w:spacing w:after="0" w:line="83" w:lineRule="exact"/>
        <w:rPr>
          <w:sz w:val="20"/>
          <w:szCs w:val="20"/>
          <w:color w:val="auto"/>
        </w:rPr>
      </w:pPr>
    </w:p>
    <w:p>
      <w:pPr>
        <w:ind w:left="1300" w:right="1519" w:firstLine="280"/>
        <w:spacing w:after="0" w:line="261" w:lineRule="auto"/>
        <w:rPr>
          <w:sz w:val="20"/>
          <w:szCs w:val="20"/>
          <w:color w:val="auto"/>
        </w:rPr>
      </w:pPr>
      <w:r>
        <w:rPr>
          <w:rFonts w:ascii="Times New Roman" w:cs="Times New Roman" w:eastAsia="Times New Roman" w:hAnsi="Times New Roman"/>
          <w:sz w:val="14"/>
          <w:szCs w:val="14"/>
          <w:color w:val="auto"/>
        </w:rPr>
        <w:t>Neither we nor the underwriter have authorized anyone to provide you with information that is in addition to or different from the information included or incorporated by reference into this prospectus supplement or the accompanying prospectus. Neither we nor the underwriter are making an offer of these securities in any jurisdiction where such offer is not permitted.</w:t>
      </w:r>
    </w:p>
    <w:p>
      <w:pPr>
        <w:spacing w:after="0" w:line="88" w:lineRule="exact"/>
        <w:rPr>
          <w:sz w:val="20"/>
          <w:szCs w:val="20"/>
          <w:color w:val="auto"/>
        </w:rPr>
      </w:pPr>
    </w:p>
    <w:p>
      <w:pPr>
        <w:ind w:left="1300" w:right="1439" w:firstLine="280"/>
        <w:spacing w:after="0" w:line="257" w:lineRule="auto"/>
        <w:rPr>
          <w:sz w:val="20"/>
          <w:szCs w:val="20"/>
          <w:color w:val="auto"/>
        </w:rPr>
      </w:pPr>
      <w:r>
        <w:rPr>
          <w:rFonts w:ascii="Times New Roman" w:cs="Times New Roman" w:eastAsia="Times New Roman" w:hAnsi="Times New Roman"/>
          <w:sz w:val="14"/>
          <w:szCs w:val="14"/>
          <w:color w:val="auto"/>
        </w:rPr>
        <w:t>You should not assume that the information in this prospectus supplement, the accompanying prospectus or any documents incorporated by reference is accurate as of any date other than the date of the applicable document. Since the respective dates of this prospectus supplement, the accompanying prospectus and the documents incorporated by reference into this prospectus supplement and the accompanying prospectus, our business, financial condition, results of operations and prospects may have changed.</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TRADEMARKS, SERVICE MARKS AND TRADE NAMES</w:t>
      </w:r>
    </w:p>
    <w:p>
      <w:pPr>
        <w:spacing w:after="0" w:line="114" w:lineRule="exact"/>
        <w:rPr>
          <w:sz w:val="20"/>
          <w:szCs w:val="20"/>
          <w:color w:val="auto"/>
        </w:rPr>
      </w:pPr>
    </w:p>
    <w:p>
      <w:pPr>
        <w:ind w:left="1300" w:right="1339" w:firstLine="280"/>
        <w:spacing w:after="0" w:line="241" w:lineRule="auto"/>
        <w:rPr>
          <w:sz w:val="20"/>
          <w:szCs w:val="20"/>
          <w:color w:val="auto"/>
        </w:rPr>
      </w:pPr>
      <w:r>
        <w:rPr>
          <w:rFonts w:ascii="Times New Roman" w:cs="Times New Roman" w:eastAsia="Times New Roman" w:hAnsi="Times New Roman"/>
          <w:sz w:val="14"/>
          <w:szCs w:val="14"/>
          <w:color w:val="auto"/>
        </w:rPr>
        <w:t xml:space="preserve">We own or have rights to various trademarks, service marks and trade names that we use in connection with the operation of our business. This prospectus supplement may also contain trademarks, service marks and trade names of third parties, which are the property of their respective owners. Our use or display of third parties’ trademarks, service marks or trade names in this prospectus supplement is not intended to, and does not imply, a relationship with or endorsement or sponsorship by us. Solely for convenience, the trademarks, service marks and trade names referred to in this prospectus supplement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 or </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permitted under applicable law, our rights or the rights of the applicable licensor to such trademarks, service marks and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ind w:left="1300" w:right="1479" w:firstLine="280"/>
        <w:spacing w:after="0" w:line="260"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of 1933, as amended (the “Securities Act”) relating to the common stock offered by this prospectus supplement. This prospectus supplement and the accompanying prospectus are a part of that registration statement, which includes additional information not contained in this prospectus supplement or the accompanying prospectus.</w:t>
      </w:r>
    </w:p>
    <w:p>
      <w:pPr>
        <w:spacing w:after="0" w:line="259" w:lineRule="exact"/>
        <w:rPr>
          <w:sz w:val="20"/>
          <w:szCs w:val="20"/>
          <w:color w:val="auto"/>
        </w:rPr>
      </w:pPr>
    </w:p>
    <w:p>
      <w:pPr>
        <w:ind w:left="1300" w:right="1459" w:firstLine="280"/>
        <w:spacing w:after="0" w:line="261"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spacing w:after="0" w:line="78" w:lineRule="exact"/>
        <w:rPr>
          <w:sz w:val="20"/>
          <w:szCs w:val="20"/>
          <w:color w:val="auto"/>
        </w:rPr>
      </w:pPr>
    </w:p>
    <w:p>
      <w:pPr>
        <w:ind w:left="1300" w:right="1419" w:firstLine="280"/>
        <w:spacing w:after="0" w:line="260" w:lineRule="auto"/>
        <w:rPr>
          <w:sz w:val="20"/>
          <w:szCs w:val="20"/>
          <w:color w:val="auto"/>
        </w:rPr>
      </w:pPr>
      <w:r>
        <w:rPr>
          <w:rFonts w:ascii="Times New Roman" w:cs="Times New Roman" w:eastAsia="Times New Roman" w:hAnsi="Times New Roman"/>
          <w:sz w:val="14"/>
          <w:szCs w:val="14"/>
          <w:color w:val="auto"/>
        </w:rPr>
        <w:t>We are incorporating by reference the filings listed below and any additional documents that we may file with the SEC pursuant to Section 13(a), 13(c), 14 or 15(d) of the Securities Exchange Act of 1934, as amended (the “Exchange Act”), on or after the date hereof and prior to the termination of this offering (other than documents or information deemed to have been furnished and not filed in accordance with SEC rules):</w:t>
      </w:r>
    </w:p>
    <w:p>
      <w:pPr>
        <w:spacing w:after="0" w:line="227" w:lineRule="exact"/>
        <w:rPr>
          <w:sz w:val="20"/>
          <w:szCs w:val="20"/>
          <w:color w:val="auto"/>
        </w:rPr>
      </w:pPr>
    </w:p>
    <w:p>
      <w:pPr>
        <w:ind w:left="1720" w:right="1319" w:hanging="131"/>
        <w:spacing w:after="0" w:line="283" w:lineRule="auto"/>
        <w:tabs>
          <w:tab w:leader="none" w:pos="1720" w:val="left"/>
        </w:tabs>
        <w:numPr>
          <w:ilvl w:val="0"/>
          <w:numId w:val="1"/>
        </w:numPr>
        <w:rPr>
          <w:rFonts w:ascii="Times New Roman" w:cs="Times New Roman" w:eastAsia="Times New Roman" w:hAnsi="Times New Roman"/>
          <w:sz w:val="14"/>
          <w:szCs w:val="14"/>
          <w:u w:val="single" w:color="auto"/>
          <w:color w:val="0000EE"/>
        </w:rPr>
      </w:pPr>
      <w:hyperlink r:id="rId28">
        <w:r>
          <w:rPr>
            <w:rFonts w:ascii="Times New Roman" w:cs="Times New Roman" w:eastAsia="Times New Roman" w:hAnsi="Times New Roman"/>
            <w:sz w:val="14"/>
            <w:szCs w:val="14"/>
            <w:u w:val="single" w:color="auto"/>
            <w:color w:val="0000EE"/>
          </w:rPr>
          <w:t>our Annual Report on Form 10-K for the fiscal year ended December 31, 2025, filed with the SEC on</w:t>
        </w:r>
      </w:hyperlink>
      <w:r>
        <w:rPr>
          <w:rFonts w:ascii="Times New Roman" w:cs="Times New Roman" w:eastAsia="Times New Roman" w:hAnsi="Times New Roman"/>
          <w:sz w:val="14"/>
          <w:szCs w:val="14"/>
          <w:u w:val="single" w:color="auto"/>
          <w:color w:val="0000EE"/>
        </w:rPr>
        <w:t xml:space="preserve"> </w:t>
      </w:r>
      <w:hyperlink r:id="rId28">
        <w:r>
          <w:rPr>
            <w:rFonts w:ascii="Times New Roman" w:cs="Times New Roman" w:eastAsia="Times New Roman" w:hAnsi="Times New Roman"/>
            <w:sz w:val="14"/>
            <w:szCs w:val="14"/>
            <w:u w:val="single" w:color="auto"/>
            <w:color w:val="0000EE"/>
          </w:rPr>
          <w:t>February 24, 2026;</w:t>
        </w:r>
      </w:hyperlink>
    </w:p>
    <w:p>
      <w:pPr>
        <w:spacing w:after="0" w:line="40" w:lineRule="exact"/>
        <w:rPr>
          <w:rFonts w:ascii="Times New Roman" w:cs="Times New Roman" w:eastAsia="Times New Roman" w:hAnsi="Times New Roman"/>
          <w:sz w:val="14"/>
          <w:szCs w:val="14"/>
          <w:u w:val="single" w:color="auto"/>
          <w:color w:val="0000EE"/>
        </w:rPr>
      </w:pPr>
    </w:p>
    <w:p>
      <w:pPr>
        <w:ind w:left="1720" w:right="1559" w:hanging="131"/>
        <w:spacing w:after="0" w:line="267" w:lineRule="auto"/>
        <w:tabs>
          <w:tab w:leader="none" w:pos="1720" w:val="left"/>
        </w:tabs>
        <w:numPr>
          <w:ilvl w:val="0"/>
          <w:numId w:val="1"/>
        </w:numPr>
        <w:rPr>
          <w:rFonts w:ascii="Times New Roman" w:cs="Times New Roman" w:eastAsia="Times New Roman" w:hAnsi="Times New Roman"/>
          <w:sz w:val="14"/>
          <w:szCs w:val="14"/>
          <w:u w:val="single" w:color="auto"/>
          <w:color w:val="0000EE"/>
        </w:rPr>
      </w:pPr>
      <w:hyperlink r:id="rId29">
        <w:r>
          <w:rPr>
            <w:rFonts w:ascii="Times New Roman" w:cs="Times New Roman" w:eastAsia="Times New Roman" w:hAnsi="Times New Roman"/>
            <w:sz w:val="14"/>
            <w:szCs w:val="14"/>
            <w:color w:val="auto"/>
          </w:rPr>
          <w:t xml:space="preserve">information specifically incorporated by reference into </w:t>
        </w:r>
        <w:r>
          <w:rPr>
            <w:rFonts w:ascii="Times New Roman" w:cs="Times New Roman" w:eastAsia="Times New Roman" w:hAnsi="Times New Roman"/>
            <w:sz w:val="14"/>
            <w:szCs w:val="14"/>
            <w:u w:val="single" w:color="auto"/>
            <w:color w:val="0000EE"/>
          </w:rPr>
          <w:t>our Annual Report on Form 10-K for the</w:t>
        </w:r>
      </w:hyperlink>
      <w:r>
        <w:rPr>
          <w:rFonts w:ascii="Times New Roman" w:cs="Times New Roman" w:eastAsia="Times New Roman" w:hAnsi="Times New Roman"/>
          <w:sz w:val="14"/>
          <w:szCs w:val="14"/>
          <w:color w:val="auto"/>
        </w:rPr>
        <w:t xml:space="preserve"> </w:t>
      </w:r>
      <w:hyperlink r:id="rId30">
        <w:r>
          <w:rPr>
            <w:rFonts w:ascii="Times New Roman" w:cs="Times New Roman" w:eastAsia="Times New Roman" w:hAnsi="Times New Roman"/>
            <w:sz w:val="14"/>
            <w:szCs w:val="14"/>
            <w:u w:val="single" w:color="auto"/>
            <w:color w:val="0000EE"/>
          </w:rPr>
          <w:t>fiscal year ended December 31,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from our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Definitive Proxy Statement on Schedule 14A filed</w:t>
        </w:r>
      </w:hyperlink>
      <w:r>
        <w:rPr>
          <w:rFonts w:ascii="Times New Roman" w:cs="Times New Roman" w:eastAsia="Times New Roman" w:hAnsi="Times New Roman"/>
          <w:sz w:val="14"/>
          <w:szCs w:val="14"/>
          <w:color w:val="0000EE"/>
        </w:rPr>
        <w:t xml:space="preserve"> </w:t>
      </w:r>
      <w:hyperlink r:id="rId30">
        <w:r>
          <w:rPr>
            <w:rFonts w:ascii="Times New Roman" w:cs="Times New Roman" w:eastAsia="Times New Roman" w:hAnsi="Times New Roman"/>
            <w:sz w:val="14"/>
            <w:szCs w:val="14"/>
            <w:u w:val="single" w:color="auto"/>
            <w:color w:val="0000EE"/>
          </w:rPr>
          <w:t>with the SEC on April 24, 2025;</w:t>
        </w:r>
      </w:hyperlink>
    </w:p>
    <w:p>
      <w:pPr>
        <w:spacing w:after="0" w:line="51" w:lineRule="exact"/>
        <w:rPr>
          <w:rFonts w:ascii="Times New Roman" w:cs="Times New Roman" w:eastAsia="Times New Roman" w:hAnsi="Times New Roman"/>
          <w:sz w:val="14"/>
          <w:szCs w:val="14"/>
          <w:u w:val="single" w:color="auto"/>
          <w:color w:val="0000EE"/>
        </w:rPr>
      </w:pPr>
    </w:p>
    <w:p>
      <w:pPr>
        <w:ind w:left="1720" w:right="1359" w:hanging="131"/>
        <w:spacing w:after="0" w:line="261"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31">
        <w:r>
          <w:rPr>
            <w:rFonts w:ascii="Times New Roman" w:cs="Times New Roman" w:eastAsia="Times New Roman" w:hAnsi="Times New Roman"/>
            <w:sz w:val="14"/>
            <w:szCs w:val="14"/>
            <w:u w:val="single" w:color="auto"/>
            <w:color w:val="0000EE"/>
          </w:rPr>
          <w:t>January 23, 2026</w:t>
        </w:r>
      </w:hyperlink>
      <w:r>
        <w:rPr>
          <w:rFonts w:ascii="Times New Roman" w:cs="Times New Roman" w:eastAsia="Times New Roman" w:hAnsi="Times New Roman"/>
          <w:sz w:val="14"/>
          <w:szCs w:val="14"/>
          <w:color w:val="auto"/>
        </w:rPr>
        <w:t xml:space="preserve">, </w:t>
      </w:r>
      <w:hyperlink r:id="rId32">
        <w:r>
          <w:rPr>
            <w:rFonts w:ascii="Times New Roman" w:cs="Times New Roman" w:eastAsia="Times New Roman" w:hAnsi="Times New Roman"/>
            <w:sz w:val="14"/>
            <w:szCs w:val="14"/>
            <w:u w:val="single" w:color="auto"/>
            <w:color w:val="0000EE"/>
          </w:rPr>
          <w:t>February 24,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(only with respect to Item 2.05 and 8.01 therein and the related exhibits thereto), </w:t>
      </w:r>
      <w:hyperlink r:id="rId33">
        <w:r>
          <w:rPr>
            <w:rFonts w:ascii="Times New Roman" w:cs="Times New Roman" w:eastAsia="Times New Roman" w:hAnsi="Times New Roman"/>
            <w:sz w:val="14"/>
            <w:szCs w:val="14"/>
            <w:u w:val="single" w:color="auto"/>
            <w:color w:val="0000EE"/>
          </w:rPr>
          <w:t>April 14,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(only with respect to Item 5.02 therein and the related exhibits thereto) and </w:t>
      </w:r>
      <w:hyperlink r:id="rId34">
        <w:r>
          <w:rPr>
            <w:rFonts w:ascii="Times New Roman" w:cs="Times New Roman" w:eastAsia="Times New Roman" w:hAnsi="Times New Roman"/>
            <w:sz w:val="14"/>
            <w:szCs w:val="14"/>
            <w:u w:val="single" w:color="auto"/>
            <w:color w:val="0000EE"/>
          </w:rPr>
          <w:t>April 14,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(only with respect to Items 1.01, 3.02, 3.03, and 8.01 therein and the related exhibits thereto); and</w:t>
      </w:r>
    </w:p>
    <w:p>
      <w:pPr>
        <w:spacing w:after="0" w:line="56" w:lineRule="exact"/>
        <w:rPr>
          <w:rFonts w:ascii="Times New Roman" w:cs="Times New Roman" w:eastAsia="Times New Roman" w:hAnsi="Times New Roman"/>
          <w:sz w:val="14"/>
          <w:szCs w:val="14"/>
          <w:color w:val="auto"/>
        </w:rPr>
      </w:pPr>
    </w:p>
    <w:p>
      <w:pPr>
        <w:ind w:left="1720" w:right="1339" w:hanging="131"/>
        <w:spacing w:after="0" w:line="261" w:lineRule="auto"/>
        <w:tabs>
          <w:tab w:leader="none" w:pos="1720" w:val="left"/>
        </w:tabs>
        <w:numPr>
          <w:ilvl w:val="0"/>
          <w:numId w:val="1"/>
        </w:numPr>
        <w:rPr>
          <w:rFonts w:ascii="Times New Roman" w:cs="Times New Roman" w:eastAsia="Times New Roman" w:hAnsi="Times New Roman"/>
          <w:sz w:val="14"/>
          <w:szCs w:val="14"/>
          <w:color w:val="000000"/>
        </w:rPr>
      </w:pPr>
      <w:hyperlink r:id="rId35">
        <w:r>
          <w:rPr>
            <w:rFonts w:ascii="Times New Roman" w:cs="Times New Roman" w:eastAsia="Times New Roman" w:hAnsi="Times New Roman"/>
            <w:sz w:val="14"/>
            <w:szCs w:val="14"/>
            <w:color w:val="auto"/>
          </w:rPr>
          <w:t xml:space="preserve">the description of our capital stock contained in our Registration Statement on </w:t>
        </w:r>
        <w:r>
          <w:rPr>
            <w:rFonts w:ascii="Times New Roman" w:cs="Times New Roman" w:eastAsia="Times New Roman" w:hAnsi="Times New Roman"/>
            <w:sz w:val="14"/>
            <w:szCs w:val="14"/>
            <w:u w:val="single" w:color="auto"/>
            <w:color w:val="0000EE"/>
          </w:rPr>
          <w:t>Form 8-A (File</w:t>
        </w:r>
      </w:hyperlink>
      <w:r>
        <w:rPr>
          <w:rFonts w:ascii="Times New Roman" w:cs="Times New Roman" w:eastAsia="Times New Roman" w:hAnsi="Times New Roman"/>
          <w:sz w:val="14"/>
          <w:szCs w:val="14"/>
          <w:color w:val="auto"/>
        </w:rPr>
        <w:t xml:space="preserve"> </w:t>
      </w:r>
      <w:hyperlink r:id="rId35">
        <w:r>
          <w:rPr>
            <w:rFonts w:ascii="Times New Roman" w:cs="Times New Roman" w:eastAsia="Times New Roman" w:hAnsi="Times New Roman"/>
            <w:sz w:val="14"/>
            <w:szCs w:val="14"/>
            <w:u w:val="single" w:color="auto"/>
            <w:color w:val="0000EE"/>
          </w:rPr>
          <w:t>No. 001-39408), filed with the SEC on July 23, 2021</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and any amendments or reports filed for </w:t>
        </w:r>
      </w:hyperlink>
      <w:r>
        <w:rPr>
          <w:rFonts w:ascii="Times New Roman" w:cs="Times New Roman" w:eastAsia="Times New Roman" w:hAnsi="Times New Roman"/>
          <w:sz w:val="14"/>
          <w:szCs w:val="14"/>
          <w:color w:val="0000EE"/>
        </w:rPr>
        <w:t xml:space="preserve">the </w:t>
      </w:r>
      <w:r>
        <w:rPr>
          <w:rFonts w:ascii="Times New Roman" w:cs="Times New Roman" w:eastAsia="Times New Roman" w:hAnsi="Times New Roman"/>
          <w:sz w:val="14"/>
          <w:szCs w:val="14"/>
          <w:color w:val="000000"/>
        </w:rPr>
        <w:t xml:space="preserve">purpose of updating such description, including </w:t>
      </w:r>
      <w:hyperlink r:id="rId36">
        <w:r>
          <w:rPr>
            <w:rFonts w:ascii="Times New Roman" w:cs="Times New Roman" w:eastAsia="Times New Roman" w:hAnsi="Times New Roman"/>
            <w:sz w:val="14"/>
            <w:szCs w:val="14"/>
            <w:u w:val="single" w:color="auto"/>
            <w:color w:val="0000EE"/>
          </w:rPr>
          <w:t>Exhibit 4.10</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of our Annual Report on Form 10-K for the fiscal year ended December 31, 2025, filed with the SEC on February 24, 2026.</w:t>
      </w:r>
    </w:p>
    <w:p>
      <w:pPr>
        <w:spacing w:after="0" w:line="88" w:lineRule="exact"/>
        <w:rPr>
          <w:rFonts w:ascii="Times New Roman" w:cs="Times New Roman" w:eastAsia="Times New Roman" w:hAnsi="Times New Roman"/>
          <w:sz w:val="14"/>
          <w:szCs w:val="14"/>
          <w:color w:val="auto"/>
        </w:rPr>
      </w:pPr>
    </w:p>
    <w:p>
      <w:pPr>
        <w:ind w:left="1300" w:right="1479" w:firstLine="280"/>
        <w:spacing w:after="0" w:line="257" w:lineRule="auto"/>
        <w:rPr>
          <w:sz w:val="20"/>
          <w:szCs w:val="20"/>
          <w:color w:val="auto"/>
        </w:rPr>
      </w:pPr>
      <w:r>
        <w:rPr>
          <w:rFonts w:ascii="Times New Roman" w:cs="Times New Roman" w:eastAsia="Times New Roman" w:hAnsi="Times New Roman"/>
          <w:sz w:val="14"/>
          <w:szCs w:val="14"/>
          <w:color w:val="auto"/>
        </w:rPr>
        <w:t>Notwithstanding the foregoing, we are not incorporating by reference any documents, portions of documents, exhibits or other information, including any information and related exhibits under Item 2.02 and Item 7.01 of Current Report on Form 8-K, that are deemed to have been furnished to, rather than filed with, the SEC. 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w:t>
      </w:r>
    </w:p>
    <w:p>
      <w:pPr>
        <w:spacing w:after="0" w:line="90" w:lineRule="exact"/>
        <w:rPr>
          <w:rFonts w:ascii="Times New Roman" w:cs="Times New Roman" w:eastAsia="Times New Roman" w:hAnsi="Times New Roman"/>
          <w:sz w:val="14"/>
          <w:szCs w:val="14"/>
          <w:color w:val="auto"/>
        </w:rPr>
      </w:pPr>
    </w:p>
    <w:p>
      <w:pPr>
        <w:ind w:left="1300" w:right="1379" w:firstLine="280"/>
        <w:spacing w:after="0" w:line="253" w:lineRule="auto"/>
        <w:rPr>
          <w:sz w:val="20"/>
          <w:szCs w:val="20"/>
          <w:color w:val="auto"/>
        </w:rPr>
      </w:pPr>
      <w:r>
        <w:rPr>
          <w:rFonts w:ascii="Times New Roman" w:cs="Times New Roman" w:eastAsia="Times New Roman" w:hAnsi="Times New Roman"/>
          <w:sz w:val="14"/>
          <w:szCs w:val="14"/>
          <w:color w:val="auto"/>
        </w:rPr>
        <w:t>The SEC maintains a website at www.sec.gov, from which you can inspect these documents and other information we have filed electronically with the SEC. You may also request copies of these documents, at no cost to you, by contacting us by mail: 7373 Gateway Boulevard, Newark, CA 94560, Attention: Investor Relations, by email: investor@lucidmotors.com or by telephone: (510) 648-3553.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any amendments to those documents. However, we will not send you exhibits to these documents, unless those exhibits have been specifically incorporated by reference into this prospectus supplement. The information contained on, or that may be accessed through, our website is not part of, and is not incorporated into, this prospectus supplement or the registration statement of which it forms a part.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9"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S-iii</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25" w:lineRule="exact"/>
        <w:rPr>
          <w:sz w:val="20"/>
          <w:szCs w:val="20"/>
          <w:color w:val="auto"/>
        </w:rPr>
      </w:pPr>
    </w:p>
    <w:p>
      <w:pPr>
        <w:ind w:left="1300" w:right="1359" w:firstLine="280"/>
        <w:spacing w:after="0" w:line="252"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and the documents incorporated by reference into this prospectus supplement contain statements that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supplement and the documents incorporated by reference into this prospectus supplement and the accompanying prospectus and include, but are not limited to, statements regarding our intentions, beliefs or current expectations concerning, among other things, results of operations, financial condition, liquidity, capital expenditures,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logistics and supply chain, studio openings, sales channels and strategies, future vehicle programs, expansion and the potential success of our distribution strategy, our financial and operating outlook, future market launches and international expansion, including our manufacturing facility in Saudi Arabia and related timing and value to us, our needs for additional financing, the closing of the Uber Private Placement (as defined below) and the PIF Private Placement (as defined below) and the promise of our technology. Such forward-looking statements are based on available current market material and our current expectations, beliefs and forecasts concerning future developments. Factors that may impact such forward-looking statements include:</w:t>
      </w:r>
    </w:p>
    <w:p>
      <w:pPr>
        <w:spacing w:after="0" w:line="200" w:lineRule="exact"/>
        <w:rPr>
          <w:sz w:val="20"/>
          <w:szCs w:val="20"/>
          <w:color w:val="auto"/>
        </w:rPr>
      </w:pPr>
    </w:p>
    <w:p>
      <w:pPr>
        <w:spacing w:after="0" w:line="201" w:lineRule="exact"/>
        <w:rPr>
          <w:sz w:val="20"/>
          <w:szCs w:val="20"/>
          <w:color w:val="auto"/>
        </w:rPr>
      </w:pPr>
    </w:p>
    <w:p>
      <w:pPr>
        <w:ind w:left="1720" w:right="1339" w:hanging="131"/>
        <w:spacing w:after="0" w:line="257"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domestic and foreign business, economic, market, financial, political, regulatory and legal conditions, including changes of policies, imposition or proposed imposition of tariffs, export controls, threat of a trade war, the risk of a global economic recession or other downturn, bank closures and liquidity concerns at financial institutions, and global or regional conflicts or other geopolitical events, including the military operations in the Gulf region and the Middle East, and the potential escalation and broadening of the war in Iran;</w:t>
      </w:r>
    </w:p>
    <w:p>
      <w:pPr>
        <w:spacing w:after="0" w:line="69" w:lineRule="exact"/>
        <w:rPr>
          <w:rFonts w:ascii="Times New Roman" w:cs="Times New Roman" w:eastAsia="Times New Roman" w:hAnsi="Times New Roman"/>
          <w:sz w:val="14"/>
          <w:szCs w:val="14"/>
          <w:color w:val="auto"/>
        </w:rPr>
      </w:pPr>
    </w:p>
    <w:p>
      <w:pPr>
        <w:ind w:left="1720" w:right="151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in overall demand for our products and services and cancellation of orders for our vehicles;</w:t>
      </w:r>
    </w:p>
    <w:p>
      <w:pPr>
        <w:spacing w:after="0" w:line="40" w:lineRule="exact"/>
        <w:rPr>
          <w:rFonts w:ascii="Times New Roman" w:cs="Times New Roman" w:eastAsia="Times New Roman" w:hAnsi="Times New Roman"/>
          <w:sz w:val="14"/>
          <w:szCs w:val="14"/>
          <w:color w:val="auto"/>
        </w:rPr>
      </w:pPr>
    </w:p>
    <w:p>
      <w:pPr>
        <w:ind w:left="1720" w:right="1399" w:hanging="131"/>
        <w:spacing w:after="0" w:line="261"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prices and availability of commodities and components, including rare-earth minerals, semiconductors and their related products, and other materials, our supply chain, logistics, inventory management and quality control, and our ability to complete the tooling of our manufacturing facilities over time and scale production of our vehicles;</w:t>
      </w:r>
    </w:p>
    <w:p>
      <w:pPr>
        <w:spacing w:after="0" w:line="56"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uncertainty of our projected financial and operational information;</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timing of expected business milestones and commercial product launches;</w:t>
      </w:r>
    </w:p>
    <w:p>
      <w:pPr>
        <w:spacing w:after="0" w:line="101"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construction and expansion of our manufacturing facilities and the increase of our production capacity;</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expenses and control costs;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future market adoption of our offerings;</w:t>
      </w:r>
    </w:p>
    <w:p>
      <w:pPr>
        <w:spacing w:after="0" w:line="91" w:lineRule="exact"/>
        <w:rPr>
          <w:rFonts w:ascii="Times New Roman" w:cs="Times New Roman" w:eastAsia="Times New Roman" w:hAnsi="Times New Roman"/>
          <w:sz w:val="14"/>
          <w:szCs w:val="14"/>
          <w:color w:val="auto"/>
        </w:rPr>
      </w:pPr>
    </w:p>
    <w:p>
      <w:pPr>
        <w:ind w:left="1720" w:right="153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and the pace and depth of electric vehicle (“EV”) adoption generally on our business;</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policies, and governmental incentives;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fuel and energy prices;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rapidly innovate;</w:t>
      </w: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720" w:right="1339" w:hanging="131"/>
        <w:spacing w:after="0" w:line="267"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or maintain partnerships with original equipment manufacturers, vendors and technology providers, including our ability to realize the anticipated benefits of our partnerships with Aston Martin, Uber Technologies, Inc. (“Uber”), Nuro, Inc. and NVIDIA Corporation;</w:t>
      </w:r>
    </w:p>
    <w:p>
      <w:pPr>
        <w:spacing w:after="0" w:line="51" w:lineRule="exact"/>
        <w:rPr>
          <w:rFonts w:ascii="Times New Roman" w:cs="Times New Roman" w:eastAsia="Times New Roman" w:hAnsi="Times New Roman"/>
          <w:sz w:val="14"/>
          <w:szCs w:val="14"/>
          <w:color w:val="auto"/>
        </w:rPr>
      </w:pPr>
    </w:p>
    <w:p>
      <w:pPr>
        <w:ind w:left="1720" w:right="161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 and recruit and retain key employees, including our executive team;</w:t>
      </w:r>
    </w:p>
    <w:p>
      <w:pPr>
        <w:spacing w:after="0" w:line="40" w:lineRule="exact"/>
        <w:rPr>
          <w:rFonts w:ascii="Times New Roman" w:cs="Times New Roman" w:eastAsia="Times New Roman" w:hAnsi="Times New Roman"/>
          <w:sz w:val="14"/>
          <w:szCs w:val="14"/>
          <w:color w:val="auto"/>
        </w:rPr>
      </w:pPr>
    </w:p>
    <w:p>
      <w:pPr>
        <w:ind w:left="1720" w:right="1639" w:hanging="131"/>
        <w:spacing w:after="0" w:line="267"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need to attract, retain, and motivate key employees, including engineering and management employees, as we have undertaken multiple significant management changes in the past;</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potential vehicle recalls;</w:t>
      </w:r>
    </w:p>
    <w:p>
      <w:pPr>
        <w:spacing w:after="0" w:line="91" w:lineRule="exact"/>
        <w:rPr>
          <w:rFonts w:ascii="Times New Roman" w:cs="Times New Roman" w:eastAsia="Times New Roman" w:hAnsi="Times New Roman"/>
          <w:sz w:val="14"/>
          <w:szCs w:val="14"/>
          <w:color w:val="auto"/>
        </w:rPr>
      </w:pPr>
    </w:p>
    <w:p>
      <w:pPr>
        <w:ind w:left="1720" w:right="167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expand our brand, and capture additional market share, and the risks associated with negative press or reputational harm;</w:t>
      </w:r>
    </w:p>
    <w:p>
      <w:pPr>
        <w:spacing w:after="0" w:line="40" w:lineRule="exact"/>
        <w:rPr>
          <w:rFonts w:ascii="Times New Roman" w:cs="Times New Roman" w:eastAsia="Times New Roman" w:hAnsi="Times New Roman"/>
          <w:sz w:val="14"/>
          <w:szCs w:val="14"/>
          <w:color w:val="auto"/>
        </w:rPr>
      </w:pPr>
    </w:p>
    <w:p>
      <w:pPr>
        <w:ind w:left="1720" w:right="179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Convertible Senior Notes (as defined below) and Redeemable Convertible Preferred Stock (as defined below);</w:t>
      </w:r>
    </w:p>
    <w:p>
      <w:pPr>
        <w:spacing w:after="0" w:line="40" w:lineRule="exact"/>
        <w:rPr>
          <w:rFonts w:ascii="Times New Roman" w:cs="Times New Roman" w:eastAsia="Times New Roman" w:hAnsi="Times New Roman"/>
          <w:sz w:val="14"/>
          <w:szCs w:val="14"/>
          <w:color w:val="auto"/>
        </w:rPr>
      </w:pPr>
    </w:p>
    <w:p>
      <w:pPr>
        <w:jc w:val="both"/>
        <w:ind w:left="1720" w:right="1799" w:hanging="131"/>
        <w:spacing w:after="0" w:line="267"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reduction or elimination of, and our ability to obtain and effectively utilize, zero emission vehicle credits, tax incentives, and other governmental and regulatory programs and incentives;</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conduct equity, equity-linked, or debt financing in the future;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pay interest and principal on our indebtedness;</w:t>
      </w:r>
    </w:p>
    <w:p>
      <w:pPr>
        <w:spacing w:after="0" w:line="91"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changes to vehicle specifications which may impact performance, features, pricing, and other expectations;</w:t>
      </w:r>
    </w:p>
    <w:p>
      <w:pPr>
        <w:spacing w:after="0" w:line="40" w:lineRule="exact"/>
        <w:rPr>
          <w:rFonts w:ascii="Times New Roman" w:cs="Times New Roman" w:eastAsia="Times New Roman" w:hAnsi="Times New Roman"/>
          <w:sz w:val="14"/>
          <w:szCs w:val="14"/>
          <w:color w:val="auto"/>
        </w:rPr>
      </w:pPr>
    </w:p>
    <w:p>
      <w:pPr>
        <w:ind w:left="1720" w:right="1499" w:hanging="131"/>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potential litigation, government and regulatory proceedings, investigations and inquiries;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intended use of the net proceeds from this offering; and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in this prospectus supplement or our other filings with the SEC.</w:t>
      </w:r>
    </w:p>
    <w:p>
      <w:pPr>
        <w:spacing w:after="0" w:line="123" w:lineRule="exact"/>
        <w:rPr>
          <w:sz w:val="20"/>
          <w:szCs w:val="20"/>
          <w:color w:val="auto"/>
        </w:rPr>
      </w:pPr>
    </w:p>
    <w:p>
      <w:pPr>
        <w:ind w:left="1300" w:right="1319" w:firstLine="280"/>
        <w:spacing w:after="0" w:line="252"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supplement and the documents incorporated by reference into this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supplement and in our Annual Report on Form 10-K for the year ended December 31, 2025 incorporated by reference herein, and as may be updated in this prospectus supplement and in filings we make with the SEC.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supplement.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 supplement.</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25" w:lineRule="exact"/>
        <w:rPr>
          <w:sz w:val="20"/>
          <w:szCs w:val="20"/>
          <w:color w:val="auto"/>
        </w:rPr>
      </w:pPr>
    </w:p>
    <w:p>
      <w:pPr>
        <w:ind w:left="1320" w:right="1319" w:firstLine="280"/>
        <w:spacing w:after="0" w:line="244" w:lineRule="auto"/>
        <w:rPr>
          <w:sz w:val="20"/>
          <w:szCs w:val="20"/>
          <w:color w:val="auto"/>
        </w:rPr>
      </w:pPr>
      <w:r>
        <w:rPr>
          <w:rFonts w:ascii="Times New Roman" w:cs="Times New Roman" w:eastAsia="Times New Roman" w:hAnsi="Times New Roman"/>
          <w:sz w:val="14"/>
          <w:szCs w:val="14"/>
          <w:color w:val="auto"/>
        </w:rPr>
        <w:t>This summary highlights selected information and does not contain all of the information that may be important to you. This summary is qualified in its entirety by the more detailed information included in or incorporated by reference into this prospectus supplement and the accompanying prospectus. Before making your investment decision with respect to our securities, you should carefully read this entire prospectus supplement, the accompanying prospectus and the documents incorporated by reference that are described in “Where You Can Find More Information.” Unless the context requires otherwise or unless otherwise specified, references in this prospectus supplement to “Lucid,” “we,” “our,” “us,” and the “Company” refer to Lucid Group, Inc. and its consolidated subsidiaries.</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About Lucid</w:t>
      </w:r>
    </w:p>
    <w:p>
      <w:pPr>
        <w:spacing w:after="0" w:line="114" w:lineRule="exact"/>
        <w:rPr>
          <w:sz w:val="20"/>
          <w:szCs w:val="20"/>
          <w:color w:val="auto"/>
        </w:rPr>
      </w:pPr>
    </w:p>
    <w:p>
      <w:pPr>
        <w:ind w:left="1320" w:right="1379" w:firstLine="280"/>
        <w:spacing w:after="0" w:line="248" w:lineRule="auto"/>
        <w:rPr>
          <w:sz w:val="20"/>
          <w:szCs w:val="20"/>
          <w:color w:val="auto"/>
        </w:rPr>
      </w:pPr>
      <w:r>
        <w:rPr>
          <w:rFonts w:ascii="Times New Roman" w:cs="Times New Roman" w:eastAsia="Times New Roman" w:hAnsi="Times New Roman"/>
          <w:sz w:val="14"/>
          <w:szCs w:val="14"/>
          <w:color w:val="auto"/>
        </w:rPr>
        <w:t>We are a technology company that is shaping the future of mobility through our innovations, advanced technology, and software -defined vehicle platforms. Our award-winning Lucid Air and Lucid Gravity set new standards with their unmatched combination of performance, range, space and efficiency. Our focus on in-house hardware and software innovation, vertical integration, and a “clean sheet” approach to engineering and design led to the development of the award-winning Lucid Air and Lucid Gravity, and upcoming Midsize platform.</w:t>
      </w:r>
    </w:p>
    <w:p>
      <w:pPr>
        <w:spacing w:after="0" w:line="251" w:lineRule="exact"/>
        <w:rPr>
          <w:sz w:val="20"/>
          <w:szCs w:val="20"/>
          <w:color w:val="auto"/>
        </w:rPr>
      </w:pPr>
    </w:p>
    <w:p>
      <w:pPr>
        <w:ind w:left="1320" w:right="1339" w:firstLine="280"/>
        <w:spacing w:after="0" w:line="245" w:lineRule="auto"/>
        <w:rPr>
          <w:sz w:val="20"/>
          <w:szCs w:val="20"/>
          <w:color w:val="auto"/>
        </w:rPr>
      </w:pPr>
      <w:r>
        <w:rPr>
          <w:rFonts w:ascii="Times New Roman" w:cs="Times New Roman" w:eastAsia="Times New Roman" w:hAnsi="Times New Roman"/>
          <w:sz w:val="14"/>
          <w:szCs w:val="14"/>
          <w:color w:val="auto"/>
        </w:rPr>
        <w:t>We sell vehicles directly to consumers in North America through our retail sales network and online channels, including Lucid Financial Services. We believe that owning and operating our sales network provides the best opportunity to closely manage the customer experience, gather direct feedback, and ensure that every interaction is tailored to customer needs. We are also actively exploring alternative importer and agency models to enhance flexibility and optimize our distribution strategy in response to evolving market dynamics. We also own and operate a vehicle service network comprised of service centers in major metropolitan areas and a fleet of mobile service vehicles. In addition to our in-house capabilities, we continue to grow an approved list of specially trained collision repair shops, which in some cases serve as repair hubs for mobile service.</w:t>
      </w:r>
    </w:p>
    <w:p>
      <w:pPr>
        <w:spacing w:after="0" w:line="30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New CEO Appointment</w:t>
      </w:r>
    </w:p>
    <w:p>
      <w:pPr>
        <w:spacing w:after="0" w:line="125" w:lineRule="exact"/>
        <w:rPr>
          <w:sz w:val="20"/>
          <w:szCs w:val="20"/>
          <w:color w:val="auto"/>
        </w:rPr>
      </w:pPr>
    </w:p>
    <w:p>
      <w:pPr>
        <w:ind w:left="1320" w:right="1379" w:firstLine="280"/>
        <w:spacing w:after="0" w:line="247" w:lineRule="auto"/>
        <w:rPr>
          <w:sz w:val="20"/>
          <w:szCs w:val="20"/>
          <w:color w:val="auto"/>
        </w:rPr>
      </w:pPr>
      <w:r>
        <w:rPr>
          <w:rFonts w:ascii="Times New Roman" w:cs="Times New Roman" w:eastAsia="Times New Roman" w:hAnsi="Times New Roman"/>
          <w:sz w:val="14"/>
          <w:szCs w:val="14"/>
          <w:color w:val="auto"/>
        </w:rPr>
        <w:t>On April 14, 2026, we announced that Silvio Napoli will be the Company’s next Chief Executive Officer (“CEO”). Mr. Napoli is expected to be appointed as the Company’s CEO in the coming weeks once he receives the right to work in the United States. In addition, Mr. Napoli is expected to be appointed to the Company’s board of directors (the “Board”) and Executive Committee thereof, in each case, on April 15, 2026.</w:t>
      </w:r>
    </w:p>
    <w:p>
      <w:pPr>
        <w:spacing w:after="0" w:line="30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PIF Private Placement</w:t>
      </w:r>
    </w:p>
    <w:p>
      <w:pPr>
        <w:spacing w:after="0" w:line="125" w:lineRule="exact"/>
        <w:rPr>
          <w:sz w:val="20"/>
          <w:szCs w:val="20"/>
          <w:color w:val="auto"/>
        </w:rPr>
      </w:pPr>
    </w:p>
    <w:p>
      <w:pPr>
        <w:ind w:left="1320" w:right="1359" w:firstLine="280"/>
        <w:spacing w:after="0" w:line="245" w:lineRule="auto"/>
        <w:rPr>
          <w:sz w:val="20"/>
          <w:szCs w:val="20"/>
          <w:color w:val="auto"/>
        </w:rPr>
      </w:pPr>
      <w:r>
        <w:rPr>
          <w:rFonts w:ascii="Times New Roman" w:cs="Times New Roman" w:eastAsia="Times New Roman" w:hAnsi="Times New Roman"/>
          <w:sz w:val="14"/>
          <w:szCs w:val="14"/>
          <w:color w:val="auto"/>
        </w:rPr>
        <w:t>On April 14, 2026, we entered into a subscription agreement (the “PIF Subscription Agreement”) between us and Ayar Third Investment Company, a single shareholder limited liability company organized under the laws of the Kingdom of Saudi Arabia (“Ayar”), an affiliate of the Public Investment Fund (“PIF”) and the Company’s majority shareholder. Pursuant to the PIF Subscription Agreement, Ayar agreed to purchase from us 55,000 shares of our Series C Convertible Preferred Stock, par value $0.0001 per share (the “Series C Convertible Preferred Stock”), for an aggregate purchase price of $550.0 million in a private placement (the “PIF Private Placement”). The PIF Private Placement is expected to close no later than the 10th business day following the date of the PIF Subscription Agreement and is subject to customary closing conditions.</w:t>
      </w:r>
    </w:p>
    <w:p>
      <w:pPr>
        <w:spacing w:after="0" w:line="30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Uber Transactions</w:t>
      </w:r>
    </w:p>
    <w:p>
      <w:pPr>
        <w:spacing w:after="0" w:line="17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Vehicle Production Agreement</w:t>
      </w:r>
    </w:p>
    <w:p>
      <w:pPr>
        <w:spacing w:after="0" w:line="125" w:lineRule="exact"/>
        <w:rPr>
          <w:sz w:val="20"/>
          <w:szCs w:val="20"/>
          <w:color w:val="auto"/>
        </w:rPr>
      </w:pPr>
    </w:p>
    <w:p>
      <w:pPr>
        <w:ind w:left="1320" w:right="1399" w:firstLine="280"/>
        <w:spacing w:after="0" w:line="267" w:lineRule="auto"/>
        <w:rPr>
          <w:sz w:val="20"/>
          <w:szCs w:val="20"/>
          <w:color w:val="auto"/>
        </w:rPr>
      </w:pPr>
      <w:r>
        <w:rPr>
          <w:rFonts w:ascii="Times New Roman" w:cs="Times New Roman" w:eastAsia="Times New Roman" w:hAnsi="Times New Roman"/>
          <w:sz w:val="14"/>
          <w:szCs w:val="14"/>
          <w:color w:val="auto"/>
        </w:rPr>
        <w:t>On April 14, 2026, we announced the entry into a Second Vehicle Production Agreement (the “Second VPA”) with Uber, under which Uber and its designated fleet operators have agreed to purchase a minimum</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39"/>
        <w:spacing w:after="0" w:line="259" w:lineRule="auto"/>
        <w:rPr>
          <w:sz w:val="20"/>
          <w:szCs w:val="20"/>
          <w:color w:val="auto"/>
        </w:rPr>
      </w:pPr>
      <w:r>
        <w:rPr>
          <w:rFonts w:ascii="Times New Roman" w:cs="Times New Roman" w:eastAsia="Times New Roman" w:hAnsi="Times New Roman"/>
          <w:sz w:val="14"/>
          <w:szCs w:val="14"/>
          <w:color w:val="auto"/>
        </w:rPr>
        <w:t>commitment of 25,000 Lucid Midsize platform vehicles for use as robotaxis that have been modified to include certain autonomous driving hardware and other features over a six-year period following the start of production. Start of production of Lucid Midsize Plus vehicles is targeted to occur in late 2028.</w:t>
      </w:r>
    </w:p>
    <w:p>
      <w:pPr>
        <w:spacing w:after="0" w:line="78" w:lineRule="exact"/>
        <w:rPr>
          <w:sz w:val="20"/>
          <w:szCs w:val="20"/>
          <w:color w:val="auto"/>
        </w:rPr>
      </w:pPr>
    </w:p>
    <w:p>
      <w:pPr>
        <w:ind w:left="1320" w:right="1339" w:firstLine="280"/>
        <w:spacing w:after="0" w:line="259" w:lineRule="auto"/>
        <w:rPr>
          <w:sz w:val="20"/>
          <w:szCs w:val="20"/>
          <w:color w:val="auto"/>
        </w:rPr>
      </w:pPr>
      <w:r>
        <w:rPr>
          <w:rFonts w:ascii="Times New Roman" w:cs="Times New Roman" w:eastAsia="Times New Roman" w:hAnsi="Times New Roman"/>
          <w:sz w:val="14"/>
          <w:szCs w:val="14"/>
          <w:color w:val="auto"/>
        </w:rPr>
        <w:t>Pursuant to the offset provisions under the Vehicle Production Agreement we entered into with Uber on July 16, 2025, the Minimum Quantity Guarantee increased the aggregate number of Lucid Gravity Plus (as defined therein) and Lucid Midsize Plus vehicles Uber is committed to purchase to 35,000 units.</w:t>
      </w:r>
    </w:p>
    <w:p>
      <w:pPr>
        <w:spacing w:after="0" w:line="1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Uber Private Placement</w:t>
      </w:r>
    </w:p>
    <w:p>
      <w:pPr>
        <w:spacing w:after="0" w:line="125" w:lineRule="exact"/>
        <w:rPr>
          <w:sz w:val="20"/>
          <w:szCs w:val="20"/>
          <w:color w:val="auto"/>
        </w:rPr>
      </w:pPr>
    </w:p>
    <w:p>
      <w:pPr>
        <w:ind w:left="1320" w:right="1499" w:firstLine="280"/>
        <w:spacing w:after="0" w:line="247" w:lineRule="auto"/>
        <w:rPr>
          <w:sz w:val="20"/>
          <w:szCs w:val="20"/>
          <w:color w:val="auto"/>
        </w:rPr>
      </w:pPr>
      <w:r>
        <w:rPr>
          <w:rFonts w:ascii="Times New Roman" w:cs="Times New Roman" w:eastAsia="Times New Roman" w:hAnsi="Times New Roman"/>
          <w:sz w:val="14"/>
          <w:szCs w:val="14"/>
          <w:color w:val="auto"/>
        </w:rPr>
        <w:t>On April 14, 2026, in connection with the Second VPA, we and a subsidiary of Uber, SMB Holding Corporation (“SMB”), entered into a subscription agreement (the “Uber Subscription Agreement”), under which we agreed to issue and SMB agreed to purchase, in a private placement (the “Uber Private Placement”), $200.0 million of our common stock. The Uber Private Placement is expected to close on April 15, 2026, and is subject to customary closing conditions.</w:t>
      </w:r>
    </w:p>
    <w:p>
      <w:pPr>
        <w:spacing w:after="0" w:line="13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DDTL Credit Facility</w:t>
      </w:r>
    </w:p>
    <w:p>
      <w:pPr>
        <w:spacing w:after="0" w:line="125" w:lineRule="exact"/>
        <w:rPr>
          <w:sz w:val="20"/>
          <w:szCs w:val="20"/>
          <w:color w:val="auto"/>
        </w:rPr>
      </w:pPr>
    </w:p>
    <w:p>
      <w:pPr>
        <w:ind w:left="1320" w:right="1319" w:firstLine="280"/>
        <w:spacing w:after="0" w:line="244" w:lineRule="auto"/>
        <w:rPr>
          <w:sz w:val="20"/>
          <w:szCs w:val="20"/>
          <w:color w:val="auto"/>
        </w:rPr>
      </w:pPr>
      <w:r>
        <w:rPr>
          <w:rFonts w:ascii="Times New Roman" w:cs="Times New Roman" w:eastAsia="Times New Roman" w:hAnsi="Times New Roman"/>
          <w:sz w:val="14"/>
          <w:szCs w:val="14"/>
          <w:color w:val="auto"/>
        </w:rPr>
        <w:t>On April 1, 2026, we borrowed $500.0 million under the unsecured delayed draw term loan facility (the “DDTL Credit Facility,” and such draw, the “DDTL Draw”) provided by the credit agreement, dated August 4, 2024, by and between us and Ayar, as the sole lender, and as administrative agent thereunder, as amended from time to time. On April 14, 2026, we entered into an Amendment No. 2 to Credit Agreement (the “DDTL Amendment”), pursuant to which the aggregate undrawn delayed draw term commitments under the DDTL Credit Facility were increased by $500 million, such that, after giving effect to such increase, the sum of outstanding delayed draw term loans and aggregate undrawn delayed draw term commitments was increased to approximately $2.5 billion.</w:t>
      </w:r>
    </w:p>
    <w:p>
      <w:pPr>
        <w:spacing w:after="0" w:line="89" w:lineRule="exact"/>
        <w:rPr>
          <w:sz w:val="20"/>
          <w:szCs w:val="20"/>
          <w:color w:val="auto"/>
        </w:rPr>
      </w:pPr>
    </w:p>
    <w:p>
      <w:pPr>
        <w:jc w:val="both"/>
        <w:ind w:left="1320" w:right="1399" w:firstLine="280"/>
        <w:spacing w:after="0" w:line="259" w:lineRule="auto"/>
        <w:rPr>
          <w:sz w:val="20"/>
          <w:szCs w:val="20"/>
          <w:color w:val="auto"/>
        </w:rPr>
      </w:pPr>
      <w:r>
        <w:rPr>
          <w:rFonts w:ascii="Times New Roman" w:cs="Times New Roman" w:eastAsia="Times New Roman" w:hAnsi="Times New Roman"/>
          <w:sz w:val="14"/>
          <w:szCs w:val="14"/>
          <w:color w:val="auto"/>
        </w:rPr>
        <w:t>The DDTL Amendment, among other things, eliminated the minimum liquidity covenant and removed the requirement that the Company fully utilize the borrowing availability under the ABL Credit Agreement (as defined therein) prior to making borrowings under the DDTL Credit Facility.</w:t>
      </w:r>
    </w:p>
    <w:p>
      <w:pPr>
        <w:spacing w:after="0" w:line="1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Preliminary Financial Results</w:t>
      </w:r>
    </w:p>
    <w:p>
      <w:pPr>
        <w:spacing w:after="0" w:line="125" w:lineRule="exact"/>
        <w:rPr>
          <w:sz w:val="20"/>
          <w:szCs w:val="20"/>
          <w:color w:val="auto"/>
        </w:rPr>
      </w:pPr>
    </w:p>
    <w:p>
      <w:pPr>
        <w:ind w:left="1320" w:right="1439" w:firstLine="280"/>
        <w:spacing w:after="0" w:line="267" w:lineRule="auto"/>
        <w:rPr>
          <w:sz w:val="20"/>
          <w:szCs w:val="20"/>
          <w:color w:val="auto"/>
        </w:rPr>
      </w:pPr>
      <w:r>
        <w:rPr>
          <w:rFonts w:ascii="Times New Roman" w:cs="Times New Roman" w:eastAsia="Times New Roman" w:hAnsi="Times New Roman"/>
          <w:sz w:val="14"/>
          <w:szCs w:val="14"/>
          <w:color w:val="auto"/>
        </w:rPr>
        <w:t>Although our financial results for the quarter ended March 31, 2026 are not yet finalized, we estimate that our financial results will fall within the following ranges.</w:t>
      </w:r>
    </w:p>
    <w:p>
      <w:pPr>
        <w:sectPr>
          <w:pgSz w:w="11900" w:h="16838" w:orient="portrait"/>
          <w:cols w:equalWidth="0" w:num="1">
            <w:col w:w="9019"/>
          </w:cols>
          <w:pgMar w:left="1440" w:top="107" w:right="1440" w:bottom="1440" w:gutter="0" w:footer="0" w:header="0"/>
        </w:sectPr>
      </w:pPr>
    </w:p>
    <w:p>
      <w:pPr>
        <w:spacing w:after="0" w:line="24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7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7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3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p>
      <w:pPr>
        <w:spacing w:after="0" w:line="4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Revenue</w:t>
      </w:r>
    </w:p>
    <w:p>
      <w:pPr>
        <w:spacing w:after="0" w:line="3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Loss from operations</w:t>
      </w:r>
    </w:p>
    <w:p>
      <w:pPr>
        <w:spacing w:after="0" w:line="3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Balance Sheet Data:</w:t>
      </w:r>
    </w:p>
    <w:p>
      <w:pPr>
        <w:spacing w:after="0" w:line="4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Cash and cash equivalents (at end of period)</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Long-term debt (at end of period)</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5"/>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7"/>
              </w:rPr>
              <w:t>Quarter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5"/>
              </w:rPr>
              <w:t>March 31, 2026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80"/>
        </w:trPr>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w w:val="86"/>
              </w:rPr>
              <w:t>Low</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High</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82"/>
        </w:trPr>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4"/>
          </w:tcPr>
          <w:p>
            <w:pPr>
              <w:jc w:val="center"/>
              <w:ind w:right="352"/>
              <w:spacing w:after="0"/>
              <w:rPr>
                <w:sz w:val="20"/>
                <w:szCs w:val="20"/>
                <w:color w:val="auto"/>
              </w:rPr>
            </w:pPr>
            <w:r>
              <w:rPr>
                <w:rFonts w:ascii="Times New Roman" w:cs="Times New Roman" w:eastAsia="Times New Roman" w:hAnsi="Times New Roman"/>
                <w:sz w:val="11"/>
                <w:szCs w:val="11"/>
                <w:b w:val="1"/>
                <w:bCs w:val="1"/>
                <w:color w:val="auto"/>
                <w:w w:val="98"/>
              </w:rPr>
              <w:t>(in thousands)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14"/>
        </w:trPr>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4"/>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284,000​</w:t>
            </w:r>
          </w:p>
        </w:tc>
        <w:tc>
          <w:tcPr>
            <w:tcW w:w="0" w:type="dxa"/>
            <w:vAlign w:val="bottom"/>
          </w:tcPr>
          <w:p>
            <w:pPr>
              <w:spacing w:after="0"/>
              <w:rPr>
                <w:sz w:val="1"/>
                <w:szCs w:val="1"/>
                <w:color w:val="auto"/>
              </w:rPr>
            </w:pPr>
          </w:p>
        </w:tc>
      </w:tr>
      <w:tr>
        <w:trPr>
          <w:trHeight w:val="141"/>
        </w:trPr>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(985,000)</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w w:val="97"/>
              </w:rPr>
              <w:t>(1,005,000)</w:t>
            </w:r>
          </w:p>
        </w:tc>
        <w:tc>
          <w:tcPr>
            <w:tcW w:w="0" w:type="dxa"/>
            <w:vAlign w:val="bottom"/>
          </w:tcPr>
          <w:p>
            <w:pPr>
              <w:spacing w:after="0"/>
              <w:rPr>
                <w:sz w:val="1"/>
                <w:szCs w:val="1"/>
                <w:color w:val="auto"/>
              </w:rPr>
            </w:pPr>
          </w:p>
        </w:tc>
      </w:tr>
      <w:tr>
        <w:trPr>
          <w:trHeight w:val="78"/>
        </w:trPr>
        <w:tc>
          <w:tcPr>
            <w:tcW w:w="8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jc w:val="right"/>
              <w:spacing w:after="0" w:line="78"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jc w:val="right"/>
              <w:spacing w:after="0" w:line="78"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81"/>
        </w:trPr>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4"/>
        </w:trPr>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4"/>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700,356​​</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4"/>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700,356​</w:t>
            </w:r>
          </w:p>
        </w:tc>
        <w:tc>
          <w:tcPr>
            <w:tcW w:w="0" w:type="dxa"/>
            <w:vAlign w:val="bottom"/>
          </w:tcPr>
          <w:p>
            <w:pPr>
              <w:spacing w:after="0"/>
              <w:rPr>
                <w:sz w:val="1"/>
                <w:szCs w:val="1"/>
                <w:color w:val="auto"/>
              </w:rPr>
            </w:pPr>
          </w:p>
        </w:tc>
      </w:tr>
      <w:tr>
        <w:trPr>
          <w:trHeight w:val="210"/>
        </w:trPr>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4"/>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2,047,844​​</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4"/>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2,047,844​</w:t>
            </w:r>
          </w:p>
        </w:tc>
        <w:tc>
          <w:tcPr>
            <w:tcW w:w="0" w:type="dxa"/>
            <w:vAlign w:val="bottom"/>
          </w:tcPr>
          <w:p>
            <w:pPr>
              <w:spacing w:after="0"/>
              <w:rPr>
                <w:sz w:val="1"/>
                <w:szCs w:val="1"/>
                <w:color w:val="auto"/>
              </w:rPr>
            </w:pPr>
          </w:p>
        </w:tc>
      </w:tr>
    </w:tbl>
    <w:p>
      <w:pPr>
        <w:spacing w:after="0" w:line="69" w:lineRule="exact"/>
        <w:rPr>
          <w:sz w:val="20"/>
          <w:szCs w:val="20"/>
          <w:color w:val="auto"/>
        </w:rPr>
      </w:pPr>
    </w:p>
    <w:p>
      <w:pPr>
        <w:sectPr>
          <w:pgSz w:w="11900" w:h="16838" w:orient="portrait"/>
          <w:cols w:equalWidth="0" w:num="2">
            <w:col w:w="5020" w:space="720"/>
            <w:col w:w="3279"/>
          </w:cols>
          <w:pgMar w:left="1440" w:top="107" w:right="1440"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4"/>
          <w:szCs w:val="14"/>
          <w:color w:val="auto"/>
        </w:rPr>
        <w:t>As of March 31, 2026, we had approximately $3.16 billion of total liquidity, consisting of</w:t>
      </w:r>
    </w:p>
    <w:p>
      <w:pPr>
        <w:spacing w:after="0" w:line="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 approximately $714.0 million in cash, cash equivalents, and investment balances, (ii) approximately</w:t>
      </w:r>
    </w:p>
    <w:p>
      <w:pPr>
        <w:ind w:left="1320" w:right="1439"/>
        <w:spacing w:after="0" w:line="243" w:lineRule="auto"/>
        <w:rPr>
          <w:sz w:val="20"/>
          <w:szCs w:val="20"/>
          <w:color w:val="auto"/>
        </w:rPr>
      </w:pPr>
      <w:r>
        <w:rPr>
          <w:rFonts w:ascii="Times New Roman" w:cs="Times New Roman" w:eastAsia="Times New Roman" w:hAnsi="Times New Roman"/>
          <w:sz w:val="14"/>
          <w:szCs w:val="14"/>
          <w:color w:val="auto"/>
        </w:rPr>
        <w:t>$1.98 billion available under our DDTL Credit Facility, (iii) approximately $468.4 million available under our ABL Credit Facility (as defined below) and (iv) approximately $2.3 million available under our GIB Credit Facility (as defined below). Availability under our ABL Credit Facility is subject to the value of eligible assets in the borrowing base.</w:t>
      </w:r>
    </w:p>
    <w:p>
      <w:pPr>
        <w:spacing w:after="0" w:line="89" w:lineRule="exact"/>
        <w:rPr>
          <w:sz w:val="20"/>
          <w:szCs w:val="20"/>
          <w:color w:val="auto"/>
        </w:rPr>
      </w:pPr>
    </w:p>
    <w:p>
      <w:pPr>
        <w:ind w:left="1320" w:right="1459" w:firstLine="280"/>
        <w:spacing w:after="0" w:line="259" w:lineRule="auto"/>
        <w:rPr>
          <w:sz w:val="20"/>
          <w:szCs w:val="20"/>
          <w:color w:val="auto"/>
        </w:rPr>
      </w:pPr>
      <w:r>
        <w:rPr>
          <w:rFonts w:ascii="Times New Roman" w:cs="Times New Roman" w:eastAsia="Times New Roman" w:hAnsi="Times New Roman"/>
          <w:sz w:val="14"/>
          <w:szCs w:val="14"/>
          <w:color w:val="auto"/>
        </w:rPr>
        <w:t>The foregoing estimates are preliminary as the Company is in the process of completing its closing procedures for the quarter ended March 31, 2026. The preliminary estimates are based solely upon information available to the Company as of the date of this Current Report on Form 8-K and actual results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8" w:name="page9"/>
    <w:bookmarkEnd w:id="8"/>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59"/>
        <w:spacing w:after="0" w:line="258" w:lineRule="auto"/>
        <w:rPr>
          <w:sz w:val="20"/>
          <w:szCs w:val="20"/>
          <w:color w:val="auto"/>
        </w:rPr>
      </w:pPr>
      <w:r>
        <w:rPr>
          <w:rFonts w:ascii="Times New Roman" w:cs="Times New Roman" w:eastAsia="Times New Roman" w:hAnsi="Times New Roman"/>
          <w:sz w:val="14"/>
          <w:szCs w:val="14"/>
          <w:color w:val="auto"/>
        </w:rPr>
        <w:t>may differ from these estimates subject to the completion of the Company’s quarter-end closing procedures, final adjustments and developments that may arise between now and the time the financial results for the quarter ended March 31, 2026 are finalized. Investors should refer to the actual results included in the Company’s financial statements for the quarter ended March 31, 2026 once it becomes available upon filing of the Company’s Quarterly Report on Form 10-Q.</w:t>
      </w:r>
    </w:p>
    <w:p>
      <w:pPr>
        <w:spacing w:after="0" w:line="91" w:lineRule="exact"/>
        <w:rPr>
          <w:sz w:val="20"/>
          <w:szCs w:val="20"/>
          <w:color w:val="auto"/>
        </w:rPr>
      </w:pPr>
    </w:p>
    <w:p>
      <w:pPr>
        <w:ind w:left="1320" w:right="1379" w:firstLine="280"/>
        <w:spacing w:after="0" w:line="267" w:lineRule="auto"/>
        <w:rPr>
          <w:sz w:val="20"/>
          <w:szCs w:val="20"/>
          <w:color w:val="auto"/>
        </w:rPr>
      </w:pPr>
      <w:r>
        <w:rPr>
          <w:rFonts w:ascii="Times New Roman" w:cs="Times New Roman" w:eastAsia="Times New Roman" w:hAnsi="Times New Roman"/>
          <w:sz w:val="14"/>
          <w:szCs w:val="14"/>
          <w:color w:val="auto"/>
        </w:rPr>
        <w:t>The Company’s independent registered public accounting firm has not reviewed or performed any procedures with respect to these preliminary estimates and, accordingly, does not express an opinion or any other form of assurance about them.</w:t>
      </w:r>
    </w:p>
    <w:p>
      <w:pPr>
        <w:spacing w:after="0" w:line="83" w:lineRule="exact"/>
        <w:rPr>
          <w:sz w:val="20"/>
          <w:szCs w:val="20"/>
          <w:color w:val="auto"/>
        </w:rPr>
      </w:pPr>
    </w:p>
    <w:p>
      <w:pPr>
        <w:ind w:left="1320" w:right="1379" w:firstLine="280"/>
        <w:spacing w:after="0" w:line="267" w:lineRule="auto"/>
        <w:rPr>
          <w:sz w:val="20"/>
          <w:szCs w:val="20"/>
          <w:color w:val="auto"/>
        </w:rPr>
      </w:pPr>
      <w:r>
        <w:rPr>
          <w:rFonts w:ascii="Times New Roman" w:cs="Times New Roman" w:eastAsia="Times New Roman" w:hAnsi="Times New Roman"/>
          <w:sz w:val="14"/>
          <w:szCs w:val="14"/>
          <w:color w:val="auto"/>
        </w:rPr>
        <w:t>As previously announced, during the quarter ended March 31, 2026, we produced 5,500 vehicles and delivered 3,093 vehicles. We also reaffirmed our previously shared production guidance of 25,000 – 27,000 vehicles.</w:t>
      </w:r>
    </w:p>
    <w:p>
      <w:pPr>
        <w:spacing w:after="0" w:line="7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On April 3, 2026, we reduced contractor headcount at our AMP-1 facility to improve cost efficiency.</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This will not result in a material change to us.</w:t>
      </w:r>
    </w:p>
    <w:p>
      <w:pPr>
        <w:spacing w:after="0" w:line="1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5" w:lineRule="exact"/>
        <w:rPr>
          <w:sz w:val="20"/>
          <w:szCs w:val="20"/>
          <w:color w:val="auto"/>
        </w:rPr>
      </w:pPr>
    </w:p>
    <w:p>
      <w:pPr>
        <w:ind w:left="1320" w:right="1339" w:firstLine="280"/>
        <w:spacing w:after="0" w:line="257" w:lineRule="auto"/>
        <w:rPr>
          <w:sz w:val="20"/>
          <w:szCs w:val="20"/>
          <w:color w:val="auto"/>
        </w:rPr>
      </w:pPr>
      <w:r>
        <w:rPr>
          <w:rFonts w:ascii="Times New Roman" w:cs="Times New Roman" w:eastAsia="Times New Roman" w:hAnsi="Times New Roman"/>
          <w:sz w:val="14"/>
          <w:szCs w:val="14"/>
          <w:color w:val="auto"/>
        </w:rPr>
        <w:t>Lucid Group, Inc. is a Delaware corporation. Our principal executive office is located at 7373 Gateway Boulevard, Newark, CA 94560 and our telephone number is (510) 648-3553. We maintain a website at https://www.lucidmotors.com. The information on, or accessible through, our website is not incorporated by reference in this prospectus supplement or the accompanying prospectus, and you should not consider it a part of this prospectus supplement or the accompanying prospectus. We have included our website address only as an inactive textual reference.</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Controlled Company Exemption</w:t>
      </w:r>
    </w:p>
    <w:p>
      <w:pPr>
        <w:spacing w:after="0" w:line="125" w:lineRule="exact"/>
        <w:rPr>
          <w:sz w:val="20"/>
          <w:szCs w:val="20"/>
          <w:color w:val="auto"/>
        </w:rPr>
      </w:pPr>
    </w:p>
    <w:p>
      <w:pPr>
        <w:ind w:left="1320" w:right="1319" w:firstLine="280"/>
        <w:spacing w:after="0" w:line="256" w:lineRule="auto"/>
        <w:rPr>
          <w:sz w:val="20"/>
          <w:szCs w:val="20"/>
          <w:color w:val="auto"/>
        </w:rPr>
      </w:pPr>
      <w:r>
        <w:rPr>
          <w:rFonts w:ascii="Times New Roman" w:cs="Times New Roman" w:eastAsia="Times New Roman" w:hAnsi="Times New Roman"/>
          <w:sz w:val="14"/>
          <w:szCs w:val="14"/>
          <w:color w:val="auto"/>
        </w:rPr>
        <w:t>As of March 31, 2026,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eight directors to the Board. On and after April 15, 2026, Ayar is expected to have the ability to nominate five of the nine directors to the Board. Ayar is an affiliate of PIF.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14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4291330"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25" w:lineRule="exact"/>
        <w:rPr>
          <w:sz w:val="20"/>
          <w:szCs w:val="20"/>
          <w:color w:val="auto"/>
        </w:rPr>
      </w:pPr>
    </w:p>
    <w:p>
      <w:pPr>
        <w:ind w:left="1320" w:right="1419" w:firstLine="280"/>
        <w:spacing w:after="0" w:line="274" w:lineRule="auto"/>
        <w:rPr>
          <w:sz w:val="20"/>
          <w:szCs w:val="20"/>
          <w:color w:val="auto"/>
        </w:rPr>
      </w:pPr>
      <w:r>
        <w:rPr>
          <w:rFonts w:ascii="Times New Roman" w:cs="Times New Roman" w:eastAsia="Times New Roman" w:hAnsi="Times New Roman"/>
          <w:sz w:val="14"/>
          <w:szCs w:val="14"/>
          <w:color w:val="auto"/>
        </w:rPr>
        <w:t>The following is a brief summary of certain terms of this offering. For a more complete description of the terms of the common stock offered hereby, see the description of our capital stock contained in Exhibit 4.10 of our Annual Report on Form 10-K for the fiscal year ended December 31, 2025.</w:t>
      </w:r>
    </w:p>
    <w:p>
      <w:pPr>
        <w:spacing w:after="0" w:line="90" w:lineRule="exact"/>
        <w:rPr>
          <w:sz w:val="20"/>
          <w:szCs w:val="20"/>
          <w:color w:val="auto"/>
        </w:rPr>
      </w:pPr>
    </w:p>
    <w:p>
      <w:pPr>
        <w:ind w:left="1320" w:right="1379" w:firstLine="28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investment in our common stock involves a high degree of risk. You should carefully consider the information set forth under “Risk Factors” beginning on page </w:t>
      </w:r>
      <w:r>
        <w:rPr>
          <w:rFonts w:ascii="Times New Roman" w:cs="Times New Roman" w:eastAsia="Times New Roman" w:hAnsi="Times New Roman"/>
          <w:sz w:val="14"/>
          <w:szCs w:val="14"/>
          <w:u w:val="single" w:color="auto"/>
          <w:color w:val="0000EE"/>
        </w:rPr>
        <w:t>S-9</w:t>
      </w:r>
      <w:r>
        <w:rPr>
          <w:rFonts w:ascii="Times New Roman" w:cs="Times New Roman" w:eastAsia="Times New Roman" w:hAnsi="Times New Roman"/>
          <w:sz w:val="14"/>
          <w:szCs w:val="14"/>
          <w:color w:val="auto"/>
        </w:rPr>
        <w:t xml:space="preserve"> of this prospectus supplement and “Risk Factors” in our </w:t>
      </w:r>
      <w:hyperlink r:id="rId28">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and the other information included or incorporated by reference into this prospectus supplement and the accompanying prospectus.</w:t>
      </w:r>
    </w:p>
    <w:p>
      <w:pPr>
        <w:sectPr>
          <w:pgSz w:w="11900" w:h="16838" w:orient="portrait"/>
          <w:cols w:equalWidth="0" w:num="1">
            <w:col w:w="9019"/>
          </w:cols>
          <w:pgMar w:left="1440" w:top="107" w:right="1440" w:bottom="1440" w:gutter="0" w:footer="0" w:header="0"/>
        </w:sectPr>
      </w:pPr>
    </w:p>
    <w:p>
      <w:pPr>
        <w:spacing w:after="0" w:line="2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Issuer</w:t>
      </w:r>
    </w:p>
    <w:p>
      <w:pPr>
        <w:spacing w:after="0" w:line="9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Common stock offered by us</w:t>
      </w:r>
    </w:p>
    <w:p>
      <w:pPr>
        <w:spacing w:after="0" w:line="91" w:lineRule="exact"/>
        <w:rPr>
          <w:sz w:val="20"/>
          <w:szCs w:val="20"/>
          <w:color w:val="auto"/>
        </w:rPr>
      </w:pPr>
    </w:p>
    <w:p>
      <w:pPr>
        <w:ind w:left="1460" w:hanging="139"/>
        <w:spacing w:after="0" w:line="286" w:lineRule="auto"/>
        <w:rPr>
          <w:sz w:val="20"/>
          <w:szCs w:val="20"/>
          <w:color w:val="auto"/>
        </w:rPr>
      </w:pPr>
      <w:r>
        <w:rPr>
          <w:rFonts w:ascii="Times New Roman" w:cs="Times New Roman" w:eastAsia="Times New Roman" w:hAnsi="Times New Roman"/>
          <w:sz w:val="14"/>
          <w:szCs w:val="14"/>
          <w:b w:val="1"/>
          <w:bCs w:val="1"/>
          <w:color w:val="auto"/>
        </w:rPr>
        <w:t>Common stock to be outstanding after this offering</w:t>
      </w:r>
    </w:p>
    <w:p>
      <w:pPr>
        <w:spacing w:after="0" w:line="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200" w:lineRule="exact"/>
        <w:rPr>
          <w:sz w:val="20"/>
          <w:szCs w:val="20"/>
          <w:color w:val="auto"/>
        </w:rPr>
      </w:pPr>
    </w:p>
    <w:p>
      <w:pPr>
        <w:spacing w:after="0" w:line="396" w:lineRule="exact"/>
        <w:rPr>
          <w:sz w:val="20"/>
          <w:szCs w:val="20"/>
          <w:color w:val="auto"/>
        </w:rPr>
      </w:pPr>
    </w:p>
    <w:p>
      <w:pPr>
        <w:ind w:left="1460" w:right="140" w:hanging="139"/>
        <w:spacing w:after="0" w:line="326" w:lineRule="auto"/>
        <w:rPr>
          <w:sz w:val="20"/>
          <w:szCs w:val="20"/>
          <w:color w:val="auto"/>
        </w:rPr>
      </w:pPr>
      <w:r>
        <w:rPr>
          <w:rFonts w:ascii="Times New Roman" w:cs="Times New Roman" w:eastAsia="Times New Roman" w:hAnsi="Times New Roman"/>
          <w:sz w:val="13"/>
          <w:szCs w:val="13"/>
          <w:b w:val="1"/>
          <w:bCs w:val="1"/>
          <w:color w:val="auto"/>
        </w:rPr>
        <w:t>Nasdaq Global Select Market ticker symbol for common stock</w: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36,057,692 shares of our common stock.</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363,423,754 shares of our common stock.</w:t>
      </w:r>
    </w:p>
    <w:p>
      <w:pPr>
        <w:spacing w:after="0" w:line="91" w:lineRule="exact"/>
        <w:rPr>
          <w:sz w:val="20"/>
          <w:szCs w:val="20"/>
          <w:color w:val="auto"/>
        </w:rPr>
      </w:pPr>
    </w:p>
    <w:p>
      <w:pPr>
        <w:ind w:right="1379"/>
        <w:spacing w:after="0" w:line="261" w:lineRule="auto"/>
        <w:rPr>
          <w:sz w:val="20"/>
          <w:szCs w:val="20"/>
          <w:color w:val="auto"/>
        </w:rPr>
      </w:pPr>
      <w:r>
        <w:rPr>
          <w:rFonts w:ascii="Times New Roman" w:cs="Times New Roman" w:eastAsia="Times New Roman" w:hAnsi="Times New Roman"/>
          <w:sz w:val="14"/>
          <w:szCs w:val="14"/>
          <w:color w:val="auto"/>
        </w:rPr>
        <w:t xml:space="preserve">We intend to use the net proceeds from the sale of our common stock in this offering for general corporate purposes, including capital expenditures and working capital. See “Use of Proceeds” on page </w:t>
      </w:r>
      <w:r>
        <w:rPr>
          <w:rFonts w:ascii="Times New Roman" w:cs="Times New Roman" w:eastAsia="Times New Roman" w:hAnsi="Times New Roman"/>
          <w:sz w:val="14"/>
          <w:szCs w:val="14"/>
          <w:u w:val="single" w:color="auto"/>
          <w:color w:val="0000EE"/>
        </w:rPr>
        <w:t>S-14</w:t>
      </w:r>
      <w:r>
        <w:rPr>
          <w:rFonts w:ascii="Times New Roman" w:cs="Times New Roman" w:eastAsia="Times New Roman" w:hAnsi="Times New Roman"/>
          <w:sz w:val="14"/>
          <w:szCs w:val="14"/>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“LCID.”</w:t>
      </w:r>
    </w:p>
    <w:p>
      <w:pPr>
        <w:spacing w:after="0" w:line="91" w:lineRule="exact"/>
        <w:rPr>
          <w:sz w:val="20"/>
          <w:szCs w:val="20"/>
          <w:color w:val="auto"/>
        </w:rPr>
      </w:pPr>
    </w:p>
    <w:p>
      <w:pPr>
        <w:ind w:right="1359"/>
        <w:spacing w:after="0" w:line="255"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Investing in our common stock involves risk. See “Risk Factors” in this prospectus supplement and “Risk Factors” in </w:t>
      </w:r>
      <w:hyperlink r:id="rId28">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u w:val="single" w:color="auto"/>
            <w:color w:val="0000EE"/>
          </w:rPr>
          <w:t>Annual Report on Form 10-K for the year ended</w:t>
        </w:r>
      </w:hyperlink>
      <w:r>
        <w:rPr>
          <w:rFonts w:ascii="Times New Roman" w:cs="Times New Roman" w:eastAsia="Times New Roman" w:hAnsi="Times New Roman"/>
          <w:sz w:val="14"/>
          <w:szCs w:val="14"/>
          <w:color w:val="auto"/>
        </w:rPr>
        <w:t xml:space="preserve"> </w:t>
      </w:r>
      <w:hyperlink r:id="rId28">
        <w:r>
          <w:rPr>
            <w:rFonts w:ascii="Times New Roman" w:cs="Times New Roman" w:eastAsia="Times New Roman" w:hAnsi="Times New Roman"/>
            <w:sz w:val="14"/>
            <w:szCs w:val="14"/>
            <w:u w:val="single" w:color="auto"/>
            <w:color w:val="0000EE"/>
          </w:rPr>
          <w:t>December 31, 2025</w:t>
        </w:r>
        <w:r>
          <w:rPr>
            <w:rFonts w:ascii="Times New Roman" w:cs="Times New Roman" w:eastAsia="Times New Roman" w:hAnsi="Times New Roman"/>
            <w:sz w:val="14"/>
            <w:szCs w:val="14"/>
            <w:color w:val="000000"/>
          </w:rPr>
          <w:t xml:space="preserve">, and the other information </w:t>
        </w:r>
      </w:hyperlink>
      <w:r>
        <w:rPr>
          <w:rFonts w:ascii="Times New Roman" w:cs="Times New Roman" w:eastAsia="Times New Roman" w:hAnsi="Times New Roman"/>
          <w:sz w:val="14"/>
          <w:szCs w:val="14"/>
          <w:color w:val="0000EE"/>
        </w:rPr>
        <w:t xml:space="preserve">included </w:t>
      </w:r>
      <w:r>
        <w:rPr>
          <w:rFonts w:ascii="Times New Roman" w:cs="Times New Roman" w:eastAsia="Times New Roman" w:hAnsi="Times New Roman"/>
          <w:sz w:val="14"/>
          <w:szCs w:val="14"/>
          <w:color w:val="000000"/>
        </w:rPr>
        <w:t>or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incorporated by reference into this prospectus supplement and the accompanying prospectus for a discussion of factors you should carefully consider before deciding to invest in our common stock.</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Equiniti Trust Company.</w:t>
      </w:r>
    </w:p>
    <w:p>
      <w:pPr>
        <w:spacing w:after="0" w:line="123" w:lineRule="exact"/>
        <w:rPr>
          <w:sz w:val="20"/>
          <w:szCs w:val="20"/>
          <w:color w:val="auto"/>
        </w:rPr>
      </w:pPr>
    </w:p>
    <w:p>
      <w:pPr>
        <w:sectPr>
          <w:pgSz w:w="11900" w:h="16838" w:orient="portrait"/>
          <w:cols w:equalWidth="0" w:num="2">
            <w:col w:w="3520" w:space="500"/>
            <w:col w:w="4999"/>
          </w:cols>
          <w:pgMar w:left="1440" w:top="107" w:right="1440" w:bottom="1440" w:gutter="0" w:footer="0" w:header="0"/>
          <w:type w:val="continuous"/>
        </w:sectPr>
      </w:pPr>
    </w:p>
    <w:p>
      <w:pPr>
        <w:ind w:left="1320" w:right="1379" w:firstLine="280"/>
        <w:spacing w:after="0" w:line="260" w:lineRule="auto"/>
        <w:rPr>
          <w:sz w:val="20"/>
          <w:szCs w:val="20"/>
          <w:color w:val="auto"/>
        </w:rPr>
      </w:pPr>
      <w:r>
        <w:rPr>
          <w:rFonts w:ascii="Times New Roman" w:cs="Times New Roman" w:eastAsia="Times New Roman" w:hAnsi="Times New Roman"/>
          <w:sz w:val="14"/>
          <w:szCs w:val="14"/>
          <w:color w:val="auto"/>
        </w:rPr>
        <w:t>Unless we specifically state otherwise or the context otherwise requires, the information above is as of December 31, 2025, does not give effect to any awards of stock options or restricted stock units (“RSUs”) after December 31, 2025, the exercise of warrants or stock options or the settlement of RSUs after December 31, 2025, or any accrual of dividends under our Redeemable Convertible Preferred Stock, and excludes:</w:t>
      </w:r>
    </w:p>
    <w:p>
      <w:pPr>
        <w:spacing w:after="0" w:line="227" w:lineRule="exact"/>
        <w:rPr>
          <w:sz w:val="20"/>
          <w:szCs w:val="20"/>
          <w:color w:val="auto"/>
        </w:rPr>
      </w:pPr>
    </w:p>
    <w:p>
      <w:pPr>
        <w:ind w:left="1740" w:right="1679" w:hanging="137"/>
        <w:spacing w:after="0" w:line="283"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4,435,000 shares of our common stock issuable upon the exercise of warrants outstanding as of December 31, 2025, each with an exercise price of $115.0 per share;</w:t>
      </w:r>
    </w:p>
    <w:p>
      <w:pPr>
        <w:spacing w:after="0" w:line="40" w:lineRule="exact"/>
        <w:rPr>
          <w:rFonts w:ascii="Times New Roman" w:cs="Times New Roman" w:eastAsia="Times New Roman" w:hAnsi="Times New Roman"/>
          <w:sz w:val="14"/>
          <w:szCs w:val="14"/>
          <w:color w:val="auto"/>
        </w:rPr>
      </w:pPr>
    </w:p>
    <w:p>
      <w:pPr>
        <w:ind w:left="1740" w:right="1399" w:hanging="137"/>
        <w:spacing w:after="0" w:line="283"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2,030,874 shares of our common stock issuable upon the exercise of stock options outstanding as of December 31, 2025, with a weighted average exercise price of $19.09 per share;</w:t>
      </w:r>
    </w:p>
    <w:p>
      <w:pPr>
        <w:spacing w:after="0" w:line="40" w:lineRule="exact"/>
        <w:rPr>
          <w:rFonts w:ascii="Times New Roman" w:cs="Times New Roman" w:eastAsia="Times New Roman" w:hAnsi="Times New Roman"/>
          <w:sz w:val="14"/>
          <w:szCs w:val="14"/>
          <w:color w:val="auto"/>
        </w:rPr>
      </w:pPr>
    </w:p>
    <w:p>
      <w:pPr>
        <w:ind w:left="1740" w:hanging="137"/>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19,983,583 shares subject to RSUs outstanding as of December 31, 2025;</w:t>
      </w:r>
    </w:p>
    <w:p>
      <w:pPr>
        <w:spacing w:after="0" w:line="91" w:lineRule="exact"/>
        <w:rPr>
          <w:rFonts w:ascii="Times New Roman" w:cs="Times New Roman" w:eastAsia="Times New Roman" w:hAnsi="Times New Roman"/>
          <w:sz w:val="14"/>
          <w:szCs w:val="14"/>
          <w:color w:val="auto"/>
        </w:rPr>
      </w:pPr>
    </w:p>
    <w:p>
      <w:pPr>
        <w:ind w:left="1740" w:right="1439" w:hanging="137"/>
        <w:spacing w:after="0" w:line="267"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3,431,856 shares of our common stock reserved for future issuance under the Lucid Group, Inc. Amended and Restated 2021 Stock Incentive Plan (including the Lucid Group, Inc. 2021 Employee Stock Purchase Plan, attached thereto) as of December 31, 2025;</w:t>
      </w:r>
    </w:p>
    <w:p>
      <w:pPr>
        <w:spacing w:after="0" w:line="51" w:lineRule="exact"/>
        <w:rPr>
          <w:rFonts w:ascii="Times New Roman" w:cs="Times New Roman" w:eastAsia="Times New Roman" w:hAnsi="Times New Roman"/>
          <w:sz w:val="14"/>
          <w:szCs w:val="14"/>
          <w:color w:val="auto"/>
        </w:rPr>
      </w:pPr>
    </w:p>
    <w:p>
      <w:pPr>
        <w:ind w:left="1740" w:right="1499" w:hanging="137"/>
        <w:spacing w:after="0" w:line="283"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372,950 shares of our common stock issuable upon the conversion of our 1.25% Convertible Senior Notes due 2026 (the “2026 Convertible Notes”);</w:t>
      </w:r>
    </w:p>
    <w:p>
      <w:pPr>
        <w:spacing w:after="0" w:line="40" w:lineRule="exact"/>
        <w:rPr>
          <w:rFonts w:ascii="Times New Roman" w:cs="Times New Roman" w:eastAsia="Times New Roman" w:hAnsi="Times New Roman"/>
          <w:sz w:val="14"/>
          <w:szCs w:val="14"/>
          <w:color w:val="auto"/>
        </w:rPr>
      </w:pPr>
    </w:p>
    <w:p>
      <w:pPr>
        <w:ind w:left="1740" w:right="1319" w:hanging="137"/>
        <w:spacing w:after="0" w:line="283"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36,666,630 shares of our common stock issuable upon the conversion of our 5.00% Convertible Senior Notes due 2030 (the “2030 Convertible Notes”);</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10" w:name="page11"/>
    <w:bookmarkEnd w:id="10"/>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740" w:right="1319" w:hanging="137"/>
        <w:spacing w:after="0" w:line="267"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46,846,313 shares of our common stock issuable upon the conversion of our 7.00% Convertible Senior Notes due 2031 (the “2031 Convertible Notes,” and together with the 2026 Convertible Notes and the 2030 Convertible Notes, the “Convertible Senior Notes”);</w:t>
      </w:r>
    </w:p>
    <w:p>
      <w:pPr>
        <w:spacing w:after="0" w:line="51" w:lineRule="exact"/>
        <w:rPr>
          <w:rFonts w:ascii="Times New Roman" w:cs="Times New Roman" w:eastAsia="Times New Roman" w:hAnsi="Times New Roman"/>
          <w:sz w:val="14"/>
          <w:szCs w:val="14"/>
          <w:color w:val="auto"/>
        </w:rPr>
      </w:pPr>
    </w:p>
    <w:p>
      <w:pPr>
        <w:ind w:left="1740" w:right="1439" w:hanging="137"/>
        <w:spacing w:after="0" w:line="283"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32,526,595 shares of our common stock issuable upon the conversion of our Series A Convertible Preferred Stock, par value $0.0001 per share (“Series A Convertible Preferred Stock”);</w:t>
      </w:r>
    </w:p>
    <w:p>
      <w:pPr>
        <w:spacing w:after="0" w:line="40" w:lineRule="exact"/>
        <w:rPr>
          <w:rFonts w:ascii="Times New Roman" w:cs="Times New Roman" w:eastAsia="Times New Roman" w:hAnsi="Times New Roman"/>
          <w:sz w:val="14"/>
          <w:szCs w:val="14"/>
          <w:color w:val="auto"/>
        </w:rPr>
      </w:pPr>
    </w:p>
    <w:p>
      <w:pPr>
        <w:ind w:left="1740" w:right="1559" w:hanging="137"/>
        <w:spacing w:after="0" w:line="261"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19,358,849 shares of our common stock issuable upon the conversion of our (“Series B Convertible Preferred Stock,” together with the outstanding Series A Convertible Preferred Stock and the Series C Convertible Preferred Stock to be issued to Ayar, the “Redeemable Convertible Preferred Stock”);</w:t>
      </w:r>
    </w:p>
    <w:p>
      <w:pPr>
        <w:spacing w:after="0" w:line="56" w:lineRule="exact"/>
        <w:rPr>
          <w:rFonts w:ascii="Times New Roman" w:cs="Times New Roman" w:eastAsia="Times New Roman" w:hAnsi="Times New Roman"/>
          <w:sz w:val="14"/>
          <w:szCs w:val="14"/>
          <w:color w:val="auto"/>
        </w:rPr>
      </w:pPr>
    </w:p>
    <w:p>
      <w:pPr>
        <w:ind w:left="1740" w:right="1379" w:hanging="137"/>
        <w:spacing w:after="0" w:line="283"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our common stock underlying the Series C Convertible Preferred Stock to be issued to Ayar in the PIF Private Placement; and</w:t>
      </w:r>
    </w:p>
    <w:p>
      <w:pPr>
        <w:spacing w:after="0" w:line="40" w:lineRule="exact"/>
        <w:rPr>
          <w:rFonts w:ascii="Times New Roman" w:cs="Times New Roman" w:eastAsia="Times New Roman" w:hAnsi="Times New Roman"/>
          <w:sz w:val="14"/>
          <w:szCs w:val="14"/>
          <w:color w:val="auto"/>
        </w:rPr>
      </w:pPr>
    </w:p>
    <w:p>
      <w:pPr>
        <w:ind w:left="1740" w:hanging="137"/>
        <w:spacing w:after="0"/>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our common stock to be issued to Uber in the Uber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 HISTORICAL CONSOLIDATED FINANCIAL DATA</w:t>
      </w:r>
    </w:p>
    <w:p>
      <w:pPr>
        <w:spacing w:after="0" w:line="125" w:lineRule="exact"/>
        <w:rPr>
          <w:sz w:val="20"/>
          <w:szCs w:val="20"/>
          <w:color w:val="auto"/>
        </w:rPr>
      </w:pPr>
    </w:p>
    <w:p>
      <w:pPr>
        <w:ind w:left="1320" w:right="1719" w:firstLine="280"/>
        <w:spacing w:after="0" w:line="261" w:lineRule="auto"/>
        <w:rPr>
          <w:sz w:val="20"/>
          <w:szCs w:val="20"/>
          <w:color w:val="auto"/>
        </w:rPr>
      </w:pPr>
      <w:r>
        <w:rPr>
          <w:rFonts w:ascii="Times New Roman" w:cs="Times New Roman" w:eastAsia="Times New Roman" w:hAnsi="Times New Roman"/>
          <w:sz w:val="14"/>
          <w:szCs w:val="14"/>
          <w:color w:val="auto"/>
        </w:rPr>
        <w:t>The summary historical consolidated statements of operations data of Lucid for the years ended December 31, 2025, 2024 and 2023 and the summary historical consolidated balance sheets data as of December 31, 2025 and 2024 are derived from Lucid’s audited consolidated financial statements incorporated by reference into this prospectus supplement.</w:t>
      </w:r>
    </w:p>
    <w:p>
      <w:pPr>
        <w:spacing w:after="0" w:line="88" w:lineRule="exact"/>
        <w:rPr>
          <w:sz w:val="20"/>
          <w:szCs w:val="20"/>
          <w:color w:val="auto"/>
        </w:rPr>
      </w:pPr>
    </w:p>
    <w:p>
      <w:pPr>
        <w:ind w:left="1320" w:right="1339" w:firstLine="280"/>
        <w:spacing w:after="0" w:line="255" w:lineRule="auto"/>
        <w:rPr>
          <w:sz w:val="20"/>
          <w:szCs w:val="20"/>
          <w:color w:val="auto"/>
        </w:rPr>
      </w:pPr>
      <w:r>
        <w:rPr>
          <w:rFonts w:ascii="Times New Roman" w:cs="Times New Roman" w:eastAsia="Times New Roman" w:hAnsi="Times New Roman"/>
          <w:sz w:val="14"/>
          <w:szCs w:val="14"/>
          <w:color w:val="auto"/>
        </w:rPr>
        <w:t>Lucid’s historical results are not necessarily indicative of the results that may be expected for any other period in the future. The following data should be read together with, and is qualified in its entirety by reference to, “Risk Factors,” “Capitalization,” “Management’s Discussion and Analysis of Financial Condition and Results of Operations” and the historical consolidated financial statements and the accompanying notes included, as applicable, in this prospectus supplement and our reports filed with the SEC incorporated by reference into this prospectus supplement. Among other things, the historical consolidated financial statements include more detailed information regarding the basis of presentation for the information in the following data.</w:t>
      </w:r>
    </w:p>
    <w:p>
      <w:pPr>
        <w:spacing w:after="0" w:line="3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800" w:type="dxa"/>
            <w:vAlign w:val="bottom"/>
          </w:tcPr>
          <w:p>
            <w:pPr>
              <w:spacing w:after="0"/>
              <w:rPr>
                <w:sz w:val="15"/>
                <w:szCs w:val="15"/>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Fiscal Years Ended December 31,</w:t>
            </w:r>
          </w:p>
        </w:tc>
        <w:tc>
          <w:tcPr>
            <w:tcW w:w="480" w:type="dxa"/>
            <w:vAlign w:val="bottom"/>
            <w:tcBorders>
              <w:bottom w:val="single" w:sz="8" w:color="auto"/>
            </w:tcBorders>
          </w:tcPr>
          <w:p>
            <w:pPr>
              <w:spacing w:after="0"/>
              <w:rPr>
                <w:sz w:val="15"/>
                <w:szCs w:val="15"/>
                <w:color w:val="auto"/>
              </w:rPr>
            </w:pPr>
          </w:p>
        </w:tc>
        <w:tc>
          <w:tcPr>
            <w:tcW w:w="180" w:type="dxa"/>
            <w:vAlign w:val="bottom"/>
          </w:tcPr>
          <w:p>
            <w:pPr>
              <w:jc w:val="right"/>
              <w:ind w:right="15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6"/>
                <w:szCs w:val="16"/>
                <w:color w:val="auto"/>
              </w:rPr>
            </w:pPr>
          </w:p>
        </w:tc>
        <w:tc>
          <w:tcPr>
            <w:tcW w:w="48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Pr>
          <w:p>
            <w:pPr>
              <w:jc w:val="right"/>
              <w:ind w:right="15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6"/>
                <w:szCs w:val="16"/>
                <w:color w:val="auto"/>
              </w:rPr>
            </w:pPr>
          </w:p>
        </w:tc>
        <w:tc>
          <w:tcPr>
            <w:tcW w:w="2460" w:type="dxa"/>
            <w:vAlign w:val="bottom"/>
            <w:tcBorders>
              <w:top w:val="single" w:sz="8" w:color="auto"/>
            </w:tcBorders>
            <w:gridSpan w:val="14"/>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(in thousands, except share and per share numbers)</w:t>
            </w:r>
          </w:p>
        </w:tc>
        <w:tc>
          <w:tcPr>
            <w:tcW w:w="180" w:type="dxa"/>
            <w:vAlign w:val="bottom"/>
          </w:tcPr>
          <w:p>
            <w:pPr>
              <w:jc w:val="right"/>
              <w:ind w:right="15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​$ 1,353,790​​</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6"/>
                <w:szCs w:val="16"/>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807,832​​</w:t>
            </w:r>
          </w:p>
        </w:tc>
        <w:tc>
          <w:tcPr>
            <w:tcW w:w="1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4"/>
              </w:rPr>
              <w:t>​ ​$</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595,271​</w:t>
            </w:r>
          </w:p>
        </w:tc>
        <w:tc>
          <w:tcPr>
            <w:tcW w:w="180" w:type="dxa"/>
            <w:vAlign w:val="bottom"/>
            <w:tcBorders>
              <w:left w:val="single" w:sz="8" w:color="CCEEFF"/>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Costs and expenses</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480" w:type="dxa"/>
            <w:vAlign w:val="bottom"/>
          </w:tcPr>
          <w:p>
            <w:pPr>
              <w:spacing w:after="0"/>
              <w:rPr>
                <w:sz w:val="18"/>
                <w:szCs w:val="18"/>
                <w:color w:val="auto"/>
              </w:rPr>
            </w:pPr>
          </w:p>
        </w:tc>
        <w:tc>
          <w:tcPr>
            <w:tcW w:w="180" w:type="dxa"/>
            <w:vAlign w:val="bottom"/>
          </w:tcPr>
          <w:p>
            <w:pPr>
              <w:jc w:val="right"/>
              <w:ind w:right="155"/>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​2,610,176​​</w:t>
            </w:r>
          </w:p>
        </w:tc>
        <w:tc>
          <w:tcPr>
            <w:tcW w:w="92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​1,730,943​​</w:t>
            </w: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​1,936,066​</w:t>
            </w:r>
          </w:p>
        </w:tc>
        <w:tc>
          <w:tcPr>
            <w:tcW w:w="180" w:type="dxa"/>
            <w:vAlign w:val="bottom"/>
            <w:tcBorders>
              <w:left w:val="single" w:sz="8" w:color="CCEEFF"/>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 ​ 1,211,397​​</w:t>
            </w:r>
          </w:p>
        </w:tc>
        <w:tc>
          <w:tcPr>
            <w:tcW w:w="92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 ​ ​1,176,453​​</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937,012​</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​1,033,970​​</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900,952​​</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797,235​</w:t>
            </w:r>
          </w:p>
        </w:tc>
        <w:tc>
          <w:tcPr>
            <w:tcW w:w="180" w:type="dxa"/>
            <w:vAlign w:val="bottom"/>
            <w:tcBorders>
              <w:left w:val="single" w:sz="8" w:color="CCEEFF"/>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charges</w:t>
            </w:r>
          </w:p>
        </w:tc>
        <w:tc>
          <w:tcPr>
            <w:tcW w:w="1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320" w:type="dxa"/>
            <w:vAlign w:val="bottom"/>
          </w:tcPr>
          <w:p>
            <w:pPr>
              <w:spacing w:after="0"/>
              <w:rPr>
                <w:sz w:val="19"/>
                <w:szCs w:val="19"/>
                <w:color w:val="auto"/>
              </w:rPr>
            </w:pPr>
          </w:p>
        </w:tc>
        <w:tc>
          <w:tcPr>
            <w:tcW w:w="34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w:t>
            </w:r>
          </w:p>
        </w:tc>
        <w:tc>
          <w:tcPr>
            <w:tcW w:w="26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60" w:type="dxa"/>
            <w:vAlign w:val="bottom"/>
            <w:gridSpan w:val="4"/>
          </w:tcPr>
          <w:p>
            <w:pPr>
              <w:jc w:val="right"/>
              <w:spacing w:after="0" w:line="221" w:lineRule="exact"/>
              <w:rPr>
                <w:sz w:val="20"/>
                <w:szCs w:val="20"/>
                <w:color w:val="auto"/>
              </w:rPr>
            </w:pPr>
            <w:r>
              <w:rPr>
                <w:rFonts w:ascii="Times New Roman" w:cs="Times New Roman" w:eastAsia="Times New Roman" w:hAnsi="Times New Roman"/>
                <w:sz w:val="13"/>
                <w:szCs w:val="13"/>
                <w:color w:val="auto"/>
              </w:rPr>
              <w:t>20,304</w:t>
            </w:r>
            <w:r>
              <w:rPr>
                <w:rFonts w:ascii="Times New Roman" w:cs="Times New Roman" w:eastAsia="Times New Roman" w:hAnsi="Times New Roman"/>
                <w:sz w:val="25"/>
                <w:szCs w:val="25"/>
                <w:color w:val="auto"/>
                <w:vertAlign w:val="subscript"/>
              </w:rPr>
              <w:t>​​</w:t>
            </w:r>
          </w:p>
        </w:tc>
        <w:tc>
          <w:tcPr>
            <w:tcW w:w="30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60" w:type="dxa"/>
            <w:vAlign w:val="bottom"/>
            <w:gridSpan w:val="2"/>
          </w:tcPr>
          <w:p>
            <w:pPr>
              <w:jc w:val="right"/>
              <w:ind w:right="155"/>
              <w:spacing w:after="0" w:line="221" w:lineRule="exact"/>
              <w:rPr>
                <w:sz w:val="20"/>
                <w:szCs w:val="20"/>
                <w:color w:val="auto"/>
              </w:rPr>
            </w:pPr>
            <w:r>
              <w:rPr>
                <w:rFonts w:ascii="Times New Roman" w:cs="Times New Roman" w:eastAsia="Times New Roman" w:hAnsi="Times New Roman"/>
                <w:sz w:val="13"/>
                <w:szCs w:val="13"/>
                <w:color w:val="auto"/>
              </w:rPr>
              <w:t>24,546</w:t>
            </w:r>
            <w:r>
              <w:rPr>
                <w:rFonts w:ascii="Times New Roman" w:cs="Times New Roman" w:eastAsia="Times New Roman" w:hAnsi="Times New Roman"/>
                <w:sz w:val="25"/>
                <w:szCs w:val="25"/>
                <w:color w:val="auto"/>
                <w:vertAlign w:val="subscript"/>
              </w:rPr>
              <w: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cost and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ind w:left="20"/>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​4,855,543</w:t>
            </w:r>
            <w:r>
              <w:rPr>
                <w:rFonts w:ascii="Times New Roman" w:cs="Times New Roman" w:eastAsia="Times New Roman" w:hAnsi="Times New Roman"/>
                <w:sz w:val="24"/>
                <w:szCs w:val="24"/>
                <w:color w:val="auto"/>
                <w:vertAlign w:val="subscript"/>
              </w:rPr>
              <w:t>​​</w:t>
            </w:r>
          </w:p>
        </w:tc>
        <w:tc>
          <w:tcPr>
            <w:tcW w:w="920" w:type="dxa"/>
            <w:vAlign w:val="bottom"/>
            <w:gridSpan w:val="7"/>
            <w:shd w:val="clear" w:color="auto" w:fill="CCEEFF"/>
          </w:tcPr>
          <w:p>
            <w:pPr>
              <w:ind w:left="40"/>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​3,828,652</w:t>
            </w:r>
            <w:r>
              <w:rPr>
                <w:rFonts w:ascii="Times New Roman" w:cs="Times New Roman" w:eastAsia="Times New Roman" w:hAnsi="Times New Roman"/>
                <w:sz w:val="24"/>
                <w:szCs w:val="24"/>
                <w:color w:val="auto"/>
                <w:vertAlign w:val="subscript"/>
              </w:rPr>
              <w:t>​​</w:t>
            </w:r>
          </w:p>
        </w:tc>
        <w:tc>
          <w:tcPr>
            <w:tcW w:w="780" w:type="dxa"/>
            <w:vAlign w:val="bottom"/>
            <w:gridSpan w:val="3"/>
            <w:shd w:val="clear" w:color="auto" w:fill="CCEEFF"/>
          </w:tcPr>
          <w:p>
            <w:pPr>
              <w:ind w:left="20"/>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​3,694,859</w:t>
            </w:r>
          </w:p>
        </w:tc>
        <w:tc>
          <w:tcPr>
            <w:tcW w:w="180" w:type="dxa"/>
            <w:vAlign w:val="bottom"/>
            <w:tcBorders>
              <w:left w:val="single" w:sz="8" w:color="CCEEFF"/>
            </w:tcBorders>
          </w:tcPr>
          <w:p>
            <w:pPr>
              <w:jc w:val="right"/>
              <w:ind w:right="155"/>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 ​(3,501,753​​)</w:t>
            </w:r>
          </w:p>
        </w:tc>
        <w:tc>
          <w:tcPr>
            <w:tcW w:w="92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 ​ ​(3,020,820​​)</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​(3,099,588​)</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 (expense), net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 ​</w:t>
            </w:r>
          </w:p>
        </w:tc>
        <w:tc>
          <w:tcPr>
            <w:tcW w:w="3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 ​</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 ​</w:t>
            </w:r>
          </w:p>
        </w:tc>
        <w:tc>
          <w:tcPr>
            <w:tcW w:w="480" w:type="dxa"/>
            <w:vAlign w:val="bottom"/>
            <w:shd w:val="clear" w:color="auto" w:fill="CCEEFF"/>
          </w:tcPr>
          <w:p>
            <w:pPr>
              <w:spacing w:after="0"/>
              <w:rPr>
                <w:sz w:val="16"/>
                <w:szCs w:val="16"/>
                <w:color w:val="auto"/>
              </w:rPr>
            </w:pPr>
          </w:p>
        </w:tc>
        <w:tc>
          <w:tcPr>
            <w:tcW w:w="180" w:type="dxa"/>
            <w:vAlign w:val="bottom"/>
            <w:tcBorders>
              <w:left w:val="single" w:sz="8" w:color="CCEEFF"/>
            </w:tcBorders>
          </w:tcPr>
          <w:p>
            <w:pPr>
              <w:jc w:val="right"/>
              <w:ind w:right="15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fair value of common stock warrant liability</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19,514​​</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34,150​​</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86,926​</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equity securities of a related party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(15,785​​)</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(43,057​​)</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5,999​</w:t>
            </w:r>
          </w:p>
        </w:tc>
        <w:tc>
          <w:tcPr>
            <w:tcW w:w="180" w:type="dxa"/>
            <w:vAlign w:val="bottom"/>
            <w:tcBorders>
              <w:left w:val="single" w:sz="8" w:color="CCEEFF"/>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fair value of derivative liability associated with</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redeemable convertible preferred stock (related party)</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623,225​​</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155,350​​</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121,765​​</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156,443​​</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213,026​​</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204,274​</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(95,101​​)</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(32,923​​)</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(24,915​)</w:t>
            </w:r>
          </w:p>
        </w:tc>
        <w:tc>
          <w:tcPr>
            <w:tcW w:w="180" w:type="dxa"/>
            <w:vAlign w:val="bottom"/>
            <w:tcBorders>
              <w:left w:val="single" w:sz="8" w:color="CCEEFF"/>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color w:val="auto"/>
              </w:rPr>
              <w:t>(8,692)</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color w:val="auto"/>
              </w:rPr>
              <w:t>(18,469)</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color w:val="auto"/>
              </w:rPr>
              <w:t>(90)</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gridSpan w:val="2"/>
          </w:tcPr>
          <w:p>
            <w:pPr>
              <w:jc w:val="right"/>
              <w:spacing w:after="0" w:line="53"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gridSpan w:val="2"/>
          </w:tcPr>
          <w:p>
            <w:pPr>
              <w:jc w:val="right"/>
              <w:spacing w:after="0" w:line="53"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jc w:val="right"/>
              <w:ind w:right="155"/>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income,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60" w:type="dxa"/>
            <w:vAlign w:val="bottom"/>
            <w:gridSpan w:val="3"/>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color w:val="auto"/>
              </w:rPr>
              <w:t>801,369</w:t>
            </w:r>
            <w:r>
              <w:rPr>
                <w:rFonts w:ascii="Times New Roman" w:cs="Times New Roman" w:eastAsia="Times New Roman" w:hAnsi="Times New Roman"/>
                <w:sz w:val="24"/>
                <w:szCs w:val="24"/>
                <w:color w:val="auto"/>
                <w:vertAlign w:val="subscript"/>
              </w:rPr>
              <w:t>​​</w:t>
            </w:r>
          </w:p>
        </w:tc>
        <w:tc>
          <w:tcPr>
            <w:tcW w:w="260" w:type="dxa"/>
            <w:vAlign w:val="bottom"/>
            <w:gridSpan w:val="3"/>
            <w:shd w:val="clear" w:color="auto" w:fill="CCEEFF"/>
          </w:tcPr>
          <w:p>
            <w:pPr>
              <w:ind w:left="4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60" w:type="dxa"/>
            <w:vAlign w:val="bottom"/>
            <w:gridSpan w:val="4"/>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color w:val="auto"/>
              </w:rPr>
              <w:t>308,077</w:t>
            </w:r>
            <w:r>
              <w:rPr>
                <w:rFonts w:ascii="Times New Roman" w:cs="Times New Roman" w:eastAsia="Times New Roman" w:hAnsi="Times New Roman"/>
                <w:sz w:val="24"/>
                <w:szCs w:val="24"/>
                <w:color w:val="auto"/>
                <w:vertAlign w:val="subscript"/>
              </w:rPr>
              <w:t>​​</w:t>
            </w:r>
          </w:p>
        </w:tc>
        <w:tc>
          <w:tcPr>
            <w:tcW w:w="30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272,194</w:t>
            </w:r>
          </w:p>
        </w:tc>
        <w:tc>
          <w:tcPr>
            <w:tcW w:w="180" w:type="dxa"/>
            <w:vAlign w:val="bottom"/>
            <w:tcBorders>
              <w:left w:val="single" w:sz="8" w:color="CCEEFF"/>
            </w:tcBorders>
          </w:tcPr>
          <w:p>
            <w:pPr>
              <w:jc w:val="right"/>
              <w:ind w:right="155"/>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Loss before provision for (benefit from) income taxes</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 ​(2,700,384​​)</w:t>
            </w:r>
          </w:p>
        </w:tc>
        <w:tc>
          <w:tcPr>
            <w:tcW w:w="92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 ​ ​(2,712,743​​)</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​(2,827,394​)</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(2,333)</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80" w:type="dxa"/>
            <w:vAlign w:val="bottom"/>
            <w:tcBorders>
              <w:left w:val="single" w:sz="8" w:color="CCEEFF"/>
            </w:tcBorders>
            <w:vMerge w:val="restart"/>
          </w:tcPr>
          <w:p>
            <w:pPr>
              <w:jc w:val="right"/>
              <w:ind w:right="155"/>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40" w:type="dxa"/>
            <w:vAlign w:val="bottom"/>
            <w:gridSpan w:val="2"/>
            <w:shd w:val="clear" w:color="auto" w:fill="CCEEFF"/>
          </w:tcPr>
          <w:p>
            <w:pPr>
              <w:jc w:val="right"/>
              <w:spacing w:after="0" w:line="53"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80" w:type="dxa"/>
            <w:vAlign w:val="bottom"/>
            <w:tcBorders>
              <w:left w:val="single" w:sz="8" w:color="CCEEFF"/>
            </w:tcBorders>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 ​(2,698,051​​)</w:t>
            </w:r>
          </w:p>
        </w:tc>
        <w:tc>
          <w:tcPr>
            <w:tcW w:w="92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 ​ ​(2,713,942​​)</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​(2,828,420​)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Accretion of redeemable convertible preferred stock (related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(983,648)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4"/>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(347,610)</w:t>
            </w: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party)</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continue"/>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vMerge w:val="continue"/>
            <w:shd w:val="clear" w:color="auto" w:fill="CCEEFF"/>
          </w:tcPr>
          <w:p>
            <w:pPr>
              <w:spacing w:after="0"/>
              <w:rPr>
                <w:sz w:val="10"/>
                <w:szCs w:val="10"/>
                <w:color w:val="auto"/>
              </w:rPr>
            </w:pPr>
          </w:p>
        </w:tc>
        <w:tc>
          <w:tcPr>
            <w:tcW w:w="660" w:type="dxa"/>
            <w:vAlign w:val="bottom"/>
            <w:gridSpan w:val="4"/>
            <w:vMerge w:val="continue"/>
            <w:shd w:val="clear" w:color="auto" w:fill="CCEEFF"/>
          </w:tcPr>
          <w:p>
            <w:pPr>
              <w:spacing w:after="0"/>
              <w:rPr>
                <w:sz w:val="10"/>
                <w:szCs w:val="10"/>
                <w:color w:val="auto"/>
              </w:rPr>
            </w:pPr>
          </w:p>
        </w:tc>
        <w:tc>
          <w:tcPr>
            <w:tcW w:w="16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vMerge w:val="continue"/>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180" w:type="dxa"/>
            <w:vAlign w:val="bottom"/>
            <w:tcBorders>
              <w:left w:val="single" w:sz="8" w:color="CCEEFF"/>
            </w:tcBorders>
            <w:vMerge w:val="restart"/>
          </w:tcPr>
          <w:p>
            <w:pPr>
              <w:jc w:val="right"/>
              <w:ind w:right="155"/>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340" w:type="dxa"/>
            <w:vAlign w:val="bottom"/>
            <w:gridSpan w:val="2"/>
            <w:shd w:val="clear" w:color="auto" w:fill="CCEEFF"/>
          </w:tcPr>
          <w:p>
            <w:pPr>
              <w:jc w:val="right"/>
              <w:spacing w:after="0" w:line="64"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spacing w:after="0" w:line="64"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80" w:type="dxa"/>
            <w:vAlign w:val="bottom"/>
            <w:tcBorders>
              <w:left w:val="single" w:sz="8" w:color="CCEEFF"/>
            </w:tcBorders>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common stockholders, basic</w:t>
            </w:r>
          </w:p>
        </w:tc>
        <w:tc>
          <w:tcPr>
            <w:tcW w:w="10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4"/>
          </w:tcPr>
          <w:p>
            <w:pPr>
              <w:jc w:val="right"/>
              <w:ind w:right="4"/>
              <w:spacing w:after="0"/>
              <w:rPr>
                <w:sz w:val="20"/>
                <w:szCs w:val="20"/>
                <w:color w:val="auto"/>
              </w:rPr>
            </w:pPr>
            <w:r>
              <w:rPr>
                <w:rFonts w:ascii="Times New Roman" w:cs="Times New Roman" w:eastAsia="Times New Roman" w:hAnsi="Times New Roman"/>
                <w:sz w:val="14"/>
                <w:szCs w:val="14"/>
                <w:color w:val="auto"/>
              </w:rPr>
              <w:t>​(3,681,699)</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​(3,061,552)</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color w:val="auto"/>
                <w:w w:val="97"/>
              </w:rPr>
              <w:t>​(2,828,420)</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gridSpan w:val="2"/>
          </w:tcPr>
          <w:p>
            <w:pPr>
              <w:jc w:val="right"/>
              <w:spacing w:after="0" w:line="53"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gridSpan w:val="2"/>
          </w:tcPr>
          <w:p>
            <w:pPr>
              <w:jc w:val="right"/>
              <w:spacing w:after="0" w:line="53"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jc w:val="right"/>
              <w:ind w:right="155"/>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on 2026 Notes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14,309​​</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3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100" w:type="dxa"/>
            <w:vAlign w:val="bottom"/>
          </w:tcPr>
          <w:p>
            <w:pPr>
              <w:spacing w:after="0"/>
              <w:rPr>
                <w:sz w:val="15"/>
                <w:szCs w:val="15"/>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color w:val="auto"/>
              </w:rPr>
              <w:t>(121,765)</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155"/>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gridSpan w:val="2"/>
          </w:tcPr>
          <w:p>
            <w:pPr>
              <w:jc w:val="right"/>
              <w:spacing w:after="0" w:line="53"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common stockholders, diluted</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76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w w:val="93"/>
              </w:rPr>
              <w:t>$(3,789,155)</w:t>
            </w:r>
          </w:p>
        </w:tc>
        <w:tc>
          <w:tcPr>
            <w:tcW w:w="920" w:type="dxa"/>
            <w:vAlign w:val="bottom"/>
            <w:gridSpan w:val="7"/>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$(3,061,552)</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$(2,828,420)</w:t>
            </w:r>
          </w:p>
        </w:tc>
        <w:tc>
          <w:tcPr>
            <w:tcW w:w="180" w:type="dxa"/>
            <w:vAlign w:val="bottom"/>
            <w:tcBorders>
              <w:left w:val="single" w:sz="8" w:color="CCEEFF"/>
            </w:tcBorders>
            <w:vMerge w:val="restart"/>
          </w:tcPr>
          <w:p>
            <w:pPr>
              <w:jc w:val="right"/>
              <w:ind w:right="155"/>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rPr>
              <w:t>​ ​</w:t>
            </w: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rPr>
              <w:t>​ ​</w:t>
            </w:r>
          </w:p>
        </w:tc>
        <w:tc>
          <w:tcPr>
            <w:tcW w:w="1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80" w:type="dxa"/>
            <w:vAlign w:val="bottom"/>
            <w:tcBorders>
              <w:left w:val="single" w:sz="8" w:color="CCEEFF"/>
            </w:tcBorders>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S-6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5487670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27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4291330" cy="622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320" w:type="dxa"/>
        <w:tblCellMar>
          <w:top w:w="0" w:type="dxa"/>
          <w:left w:w="0" w:type="dxa"/>
          <w:bottom w:w="0" w:type="dxa"/>
          <w:right w:w="0" w:type="dxa"/>
        </w:tblCellMar>
      </w:tblPr>
      <w:tr>
        <w:trPr>
          <w:trHeight w:val="177"/>
        </w:trPr>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920" w:type="dxa"/>
            <w:vAlign w:val="bottom"/>
          </w:tcPr>
          <w:p>
            <w:pPr>
              <w:ind w:left="1780"/>
              <w:spacing w:after="0"/>
              <w:rPr>
                <w:sz w:val="20"/>
                <w:szCs w:val="20"/>
                <w:color w:val="auto"/>
              </w:rPr>
            </w:pPr>
            <w:r>
              <w:rPr>
                <w:rFonts w:ascii="Times New Roman" w:cs="Times New Roman" w:eastAsia="Times New Roman" w:hAnsi="Times New Roman"/>
                <w:sz w:val="11"/>
                <w:szCs w:val="11"/>
                <w:b w:val="1"/>
                <w:bCs w:val="1"/>
                <w:color w:val="auto"/>
              </w:rPr>
              <w:t>​ ​</w:t>
            </w: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Fiscal Years Ended December 31,</w:t>
            </w: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0"/>
        </w:trPr>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920" w:type="dxa"/>
            <w:vAlign w:val="bottom"/>
          </w:tcPr>
          <w:p>
            <w:pPr>
              <w:ind w:left="1820"/>
              <w:spacing w:after="0"/>
              <w:rPr>
                <w:sz w:val="20"/>
                <w:szCs w:val="20"/>
                <w:color w:val="auto"/>
              </w:rPr>
            </w:pPr>
            <w:r>
              <w:rPr>
                <w:rFonts w:ascii="Times New Roman" w:cs="Times New Roman" w:eastAsia="Times New Roman" w:hAnsi="Times New Roman"/>
                <w:sz w:val="11"/>
                <w:szCs w:val="11"/>
                <w:b w:val="1"/>
                <w:bCs w:val="1"/>
                <w:color w:val="auto"/>
              </w:rPr>
              <w:t>​ ​</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 ​</w:t>
            </w:r>
          </w:p>
        </w:tc>
        <w:tc>
          <w:tcPr>
            <w:tcW w:w="5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1"/>
        </w:trPr>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920" w:type="dxa"/>
            <w:vAlign w:val="bottom"/>
          </w:tcPr>
          <w:p>
            <w:pPr>
              <w:ind w:left="1780"/>
              <w:spacing w:after="0"/>
              <w:rPr>
                <w:sz w:val="20"/>
                <w:szCs w:val="20"/>
                <w:color w:val="auto"/>
              </w:rPr>
            </w:pPr>
            <w:r>
              <w:rPr>
                <w:rFonts w:ascii="Times New Roman" w:cs="Times New Roman" w:eastAsia="Times New Roman" w:hAnsi="Times New Roman"/>
                <w:sz w:val="11"/>
                <w:szCs w:val="11"/>
                <w:b w:val="1"/>
                <w:bCs w:val="1"/>
                <w:color w:val="auto"/>
              </w:rPr>
              <w:t>​ ​</w:t>
            </w:r>
          </w:p>
        </w:tc>
        <w:tc>
          <w:tcPr>
            <w:tcW w:w="268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 thousands, except share and per share numbers)</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4" w:lineRule="exact"/>
        <w:rPr>
          <w:sz w:val="20"/>
          <w:szCs w:val="20"/>
          <w:color w:val="auto"/>
        </w:rPr>
      </w:pPr>
    </w:p>
    <w:p>
      <w:pPr>
        <w:sectPr>
          <w:pgSz w:w="11900" w:h="16838" w:orient="portrait"/>
          <w:cols w:equalWidth="0" w:num="1">
            <w:col w:w="9019"/>
          </w:cols>
          <w:pgMar w:left="1440" w:top="107" w:right="1440" w:bottom="1440" w:gutter="0" w:footer="0" w:header="0"/>
        </w:sectPr>
      </w:pPr>
    </w:p>
    <w:p>
      <w:pPr>
        <w:ind w:left="1460" w:right="240" w:hanging="139"/>
        <w:spacing w:after="0" w:line="274" w:lineRule="auto"/>
        <w:rPr>
          <w:sz w:val="20"/>
          <w:szCs w:val="20"/>
          <w:color w:val="auto"/>
        </w:rPr>
      </w:pPr>
      <w:r>
        <w:rPr>
          <w:rFonts w:ascii="Times New Roman" w:cs="Times New Roman" w:eastAsia="Times New Roman" w:hAnsi="Times New Roman"/>
          <w:sz w:val="14"/>
          <w:szCs w:val="14"/>
          <w:color w:val="auto"/>
        </w:rPr>
        <w:t>Weighted average shares outstanding attributable to common stockholders, basic</w:t>
      </w:r>
    </w:p>
    <w:p>
      <w:pPr>
        <w:ind w:left="1460" w:right="240" w:hanging="139"/>
        <w:spacing w:after="0" w:line="274" w:lineRule="auto"/>
        <w:rPr>
          <w:sz w:val="20"/>
          <w:szCs w:val="20"/>
          <w:color w:val="auto"/>
        </w:rPr>
      </w:pPr>
      <w:r>
        <w:rPr>
          <w:rFonts w:ascii="Times New Roman" w:cs="Times New Roman" w:eastAsia="Times New Roman" w:hAnsi="Times New Roman"/>
          <w:sz w:val="14"/>
          <w:szCs w:val="14"/>
          <w:color w:val="auto"/>
        </w:rPr>
        <w:t>Weighted average shares outstanding attributable to common stockholders, diluted</w:t>
      </w:r>
    </w:p>
    <w:p>
      <w:pPr>
        <w:ind w:left="1460" w:hanging="139"/>
        <w:spacing w:after="0" w:line="274" w:lineRule="auto"/>
        <w:rPr>
          <w:sz w:val="20"/>
          <w:szCs w:val="20"/>
          <w:color w:val="auto"/>
        </w:rPr>
      </w:pPr>
      <w:r>
        <w:rPr>
          <w:rFonts w:ascii="Times New Roman" w:cs="Times New Roman" w:eastAsia="Times New Roman" w:hAnsi="Times New Roman"/>
          <w:sz w:val="14"/>
          <w:szCs w:val="14"/>
          <w:color w:val="auto"/>
        </w:rPr>
        <w:t>Net loss per share attributable to common stockholders, basic</w:t>
      </w:r>
    </w:p>
    <w:p>
      <w:pPr>
        <w:ind w:left="1460" w:hanging="139"/>
        <w:spacing w:after="0" w:line="283" w:lineRule="auto"/>
        <w:rPr>
          <w:sz w:val="20"/>
          <w:szCs w:val="20"/>
          <w:color w:val="auto"/>
        </w:rPr>
      </w:pPr>
      <w:r>
        <w:rPr>
          <w:rFonts w:ascii="Times New Roman" w:cs="Times New Roman" w:eastAsia="Times New Roman" w:hAnsi="Times New Roman"/>
          <w:sz w:val="14"/>
          <w:szCs w:val="14"/>
          <w:color w:val="auto"/>
        </w:rPr>
        <w:t>Net loss per share attributable to common stockholders, diluted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​311,680,046​​ ​​ ​244,517,654​​ ​​ ​208,177,262​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​313,400,136​​ ​​ ​244,517,654​​ ​​ ​208,177,262​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(11.81​​)</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(12.52​​)</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2"/>
              </w:rPr>
              <w:t>(13.59​)</w:t>
            </w:r>
          </w:p>
        </w:tc>
      </w:tr>
      <w:tr>
        <w:trPr>
          <w:trHeight w:val="368"/>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(12.09​​)</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(12.52​​)</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2"/>
              </w:rPr>
              <w:t>(13.59​)</w:t>
            </w:r>
          </w:p>
        </w:tc>
      </w:tr>
    </w:tbl>
    <w:p>
      <w:pPr>
        <w:spacing w:after="0" w:line="20" w:lineRule="exact"/>
        <w:rPr>
          <w:sz w:val="20"/>
          <w:szCs w:val="20"/>
          <w:color w:val="auto"/>
        </w:rPr>
      </w:pPr>
    </w:p>
    <w:p>
      <w:pPr>
        <w:sectPr>
          <w:pgSz w:w="11900" w:h="16838" w:orient="portrait"/>
          <w:cols w:equalWidth="0" w:num="2">
            <w:col w:w="4600" w:space="340"/>
            <w:col w:w="4079"/>
          </w:cols>
          <w:pgMar w:left="1440" w:top="107" w:right="1440" w:bottom="1440" w:gutter="0" w:footer="0" w:header="0"/>
          <w:type w:val="continuous"/>
        </w:sectPr>
      </w:pPr>
    </w:p>
    <w:tbl>
      <w:tblPr>
        <w:tblLayout w:type="fixed"/>
        <w:tblInd w:w="1320" w:type="dxa"/>
        <w:tblCellMar>
          <w:top w:w="0" w:type="dxa"/>
          <w:left w:w="0" w:type="dxa"/>
          <w:bottom w:w="0" w:type="dxa"/>
          <w:right w:w="0" w:type="dxa"/>
        </w:tblCellMar>
      </w:tblPr>
      <w:tr>
        <w:trPr>
          <w:trHeight w:val="18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5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0"/>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unrealized gains on investments, net of tax</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3,860​​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1,942​​</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color w:val="auto"/>
              </w:rPr>
              <w:t>12,669​</w:t>
            </w:r>
          </w:p>
        </w:tc>
        <w:tc>
          <w:tcPr>
            <w:tcW w:w="0" w:type="dxa"/>
            <w:vAlign w:val="bottom"/>
          </w:tcPr>
          <w:p>
            <w:pPr>
              <w:spacing w:after="0"/>
              <w:rPr>
                <w:sz w:val="1"/>
                <w:szCs w:val="1"/>
                <w:color w:val="auto"/>
              </w:rPr>
            </w:pPr>
          </w:p>
        </w:tc>
      </w:tr>
      <w:tr>
        <w:trPr>
          <w:trHeight w:val="158"/>
        </w:trPr>
        <w:tc>
          <w:tcPr>
            <w:tcW w:w="358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9,931</w:t>
            </w:r>
          </w:p>
        </w:tc>
        <w:tc>
          <w:tcPr>
            <w:tcW w:w="1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60"/>
              <w:spacing w:after="0" w:line="158" w:lineRule="exact"/>
              <w:rPr>
                <w:sz w:val="20"/>
                <w:szCs w:val="20"/>
                <w:color w:val="auto"/>
              </w:rPr>
            </w:pPr>
            <w:r>
              <w:rPr>
                <w:rFonts w:ascii="Times New Roman" w:cs="Times New Roman" w:eastAsia="Times New Roman" w:hAnsi="Times New Roman"/>
                <w:sz w:val="14"/>
                <w:szCs w:val="14"/>
                <w:color w:val="auto"/>
              </w:rPr>
              <w:t>(8,891)</w:t>
            </w:r>
          </w:p>
        </w:tc>
        <w:tc>
          <w:tcPr>
            <w:tcW w:w="12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3,753</w:t>
            </w:r>
          </w:p>
        </w:tc>
        <w:tc>
          <w:tcPr>
            <w:tcW w:w="40" w:type="dxa"/>
            <w:vAlign w:val="bottom"/>
            <w:vMerge w:val="restart"/>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3"/>
        </w:trPr>
        <w:tc>
          <w:tcPr>
            <w:tcW w:w="152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ind w:right="40"/>
              <w:spacing w:after="0" w:line="53"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Borders>
              <w:left w:val="single" w:sz="8" w:color="CCEEFF"/>
            </w:tcBorders>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580" w:type="dxa"/>
            <w:vAlign w:val="bottom"/>
            <w:gridSpan w:val="2"/>
          </w:tcPr>
          <w:p>
            <w:pPr>
              <w:ind w:left="140"/>
              <w:spacing w:after="0" w:line="148" w:lineRule="exact"/>
              <w:rPr>
                <w:sz w:val="20"/>
                <w:szCs w:val="20"/>
                <w:color w:val="auto"/>
              </w:rPr>
            </w:pPr>
            <w:r>
              <w:rPr>
                <w:rFonts w:ascii="Times New Roman" w:cs="Times New Roman" w:eastAsia="Times New Roman" w:hAnsi="Times New Roman"/>
                <w:sz w:val="14"/>
                <w:szCs w:val="14"/>
                <w:color w:val="auto"/>
              </w:rPr>
              <w:t>Total other comprehensive income (loss)</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w w:val="98"/>
              </w:rPr>
              <w:t>13,791</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(6,949)</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16,422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5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gridSpan w:val="2"/>
          </w:tcPr>
          <w:p>
            <w:pPr>
              <w:jc w:val="right"/>
              <w:ind w:right="40"/>
              <w:spacing w:after="0" w:line="53"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gridSpan w:val="2"/>
          </w:tcPr>
          <w:p>
            <w:pPr>
              <w:jc w:val="right"/>
              <w:ind w:right="15"/>
              <w:spacing w:after="0" w:line="53"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580" w:type="dxa"/>
            <w:vAlign w:val="bottom"/>
            <w:gridSpan w:val="2"/>
            <w:vMerge w:val="continue"/>
            <w:shd w:val="clear" w:color="auto" w:fill="CCEEFF"/>
          </w:tcPr>
          <w:p>
            <w:pPr>
              <w:spacing w:after="0"/>
              <w:rPr>
                <w:sz w:val="12"/>
                <w:szCs w:val="12"/>
                <w:color w:val="auto"/>
              </w:rPr>
            </w:pP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CCEEFF"/>
            </w:tcBorders>
            <w:gridSpan w:val="5"/>
            <w:shd w:val="clear" w:color="auto" w:fill="CCEEFF"/>
          </w:tcPr>
          <w:p>
            <w:pPr>
              <w:jc w:val="right"/>
              <w:ind w:right="92"/>
              <w:spacing w:after="0" w:line="148" w:lineRule="exact"/>
              <w:rPr>
                <w:sz w:val="20"/>
                <w:szCs w:val="20"/>
                <w:color w:val="auto"/>
              </w:rPr>
            </w:pPr>
            <w:r>
              <w:rPr>
                <w:rFonts w:ascii="Times New Roman" w:cs="Times New Roman" w:eastAsia="Times New Roman" w:hAnsi="Times New Roman"/>
                <w:sz w:val="14"/>
                <w:szCs w:val="14"/>
                <w:color w:val="auto"/>
              </w:rPr>
              <w:t>​ (2,684,260)</w:t>
            </w:r>
          </w:p>
        </w:tc>
        <w:tc>
          <w:tcPr>
            <w:tcW w:w="860" w:type="dxa"/>
            <w:vAlign w:val="bottom"/>
            <w:gridSpan w:val="4"/>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 (2,720,891)</w:t>
            </w:r>
          </w:p>
        </w:tc>
        <w:tc>
          <w:tcPr>
            <w:tcW w:w="12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(2,811,998)</w:t>
            </w:r>
          </w:p>
        </w:tc>
        <w:tc>
          <w:tcPr>
            <w:tcW w:w="40" w:type="dxa"/>
            <w:vAlign w:val="bottom"/>
            <w:vMerge w:val="restart"/>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3"/>
        </w:trPr>
        <w:tc>
          <w:tcPr>
            <w:tcW w:w="152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spacing w:after="0" w:line="53"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ind w:right="40"/>
              <w:spacing w:after="0" w:line="53"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Borders>
              <w:left w:val="single" w:sz="8" w:color="CCEEFF"/>
            </w:tcBorders>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35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Accretion of redeemable convertible preferred stock (related</w:t>
            </w: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58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4"/>
                <w:szCs w:val="14"/>
                <w:color w:val="auto"/>
              </w:rPr>
              <w:t>party)</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4"/>
          </w:tcPr>
          <w:p>
            <w:pPr>
              <w:jc w:val="right"/>
              <w:ind w:right="92"/>
              <w:spacing w:after="0" w:line="141" w:lineRule="exact"/>
              <w:rPr>
                <w:sz w:val="20"/>
                <w:szCs w:val="20"/>
                <w:color w:val="auto"/>
              </w:rPr>
            </w:pPr>
            <w:r>
              <w:rPr>
                <w:rFonts w:ascii="Times New Roman" w:cs="Times New Roman" w:eastAsia="Times New Roman" w:hAnsi="Times New Roman"/>
                <w:sz w:val="14"/>
                <w:szCs w:val="14"/>
                <w:color w:val="auto"/>
                <w:w w:val="98"/>
              </w:rPr>
              <w:t>(983,648)</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(347,610)</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gridSpan w:val="2"/>
          </w:tcPr>
          <w:p>
            <w:pPr>
              <w:jc w:val="right"/>
              <w:ind w:right="35"/>
              <w:spacing w:after="0" w:line="14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3"/>
        </w:trPr>
        <w:tc>
          <w:tcPr>
            <w:tcW w:w="15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line="64"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gridSpan w:val="2"/>
          </w:tcPr>
          <w:p>
            <w:pPr>
              <w:jc w:val="right"/>
              <w:ind w:right="40"/>
              <w:spacing w:after="0" w:line="64"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gridSpan w:val="2"/>
          </w:tcPr>
          <w:p>
            <w:pPr>
              <w:jc w:val="right"/>
              <w:ind w:right="15"/>
              <w:spacing w:after="0" w:line="64"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5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5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 loss attributable to common stockholders</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right w:val="single" w:sz="8" w:color="CCEEFF"/>
            </w:tcBorders>
            <w:gridSpan w:val="5"/>
            <w:shd w:val="clear" w:color="auto" w:fill="CCEEFF"/>
          </w:tcPr>
          <w:p>
            <w:pPr>
              <w:jc w:val="right"/>
              <w:ind w:right="92"/>
              <w:spacing w:after="0" w:line="159" w:lineRule="exact"/>
              <w:rPr>
                <w:sz w:val="20"/>
                <w:szCs w:val="20"/>
                <w:color w:val="auto"/>
              </w:rPr>
            </w:pPr>
            <w:r>
              <w:rPr>
                <w:rFonts w:ascii="Times New Roman" w:cs="Times New Roman" w:eastAsia="Times New Roman" w:hAnsi="Times New Roman"/>
                <w:sz w:val="14"/>
                <w:szCs w:val="14"/>
                <w:color w:val="auto"/>
              </w:rPr>
              <w:t>(3,667,908)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gridSpan w:val="3"/>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(3,068,501)</w:t>
            </w:r>
          </w:p>
        </w:tc>
        <w:tc>
          <w:tcPr>
            <w:tcW w:w="12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(2,811,998)</w:t>
            </w:r>
          </w:p>
        </w:tc>
        <w:tc>
          <w:tcPr>
            <w:tcW w:w="40" w:type="dxa"/>
            <w:vAlign w:val="bottom"/>
            <w:vMerge w:val="restart"/>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2"/>
        </w:trPr>
        <w:tc>
          <w:tcPr>
            <w:tcW w:w="1520" w:type="dxa"/>
            <w:vAlign w:val="bottom"/>
            <w:shd w:val="clear" w:color="auto" w:fill="CCEEFF"/>
          </w:tcPr>
          <w:p>
            <w:pPr>
              <w:spacing w:after="0"/>
              <w:rPr>
                <w:sz w:val="5"/>
                <w:szCs w:val="5"/>
                <w:color w:val="auto"/>
              </w:rPr>
            </w:pPr>
          </w:p>
        </w:tc>
        <w:tc>
          <w:tcPr>
            <w:tcW w:w="2060" w:type="dxa"/>
            <w:vAlign w:val="bottom"/>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rPr>
              <w:t>​ ​​</w:t>
            </w:r>
          </w:p>
        </w:tc>
        <w:tc>
          <w:tcPr>
            <w:tcW w:w="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
                <w:szCs w:val="2"/>
                <w:color w:val="auto"/>
              </w:rPr>
              <w: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rPr>
              <w:t>​​</w:t>
            </w:r>
          </w:p>
        </w:tc>
        <w:tc>
          <w:tcPr>
            <w:tcW w:w="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520" w:type="dxa"/>
            <w:vAlign w:val="bottom"/>
            <w:tcBorders>
              <w:bottom w:val="single" w:sz="8" w:color="auto"/>
            </w:tcBorders>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35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24"/>
                <w:szCs w:val="24"/>
                <w:color w:val="auto"/>
              </w:rPr>
            </w:pPr>
          </w:p>
        </w:tc>
        <w:tc>
          <w:tcPr>
            <w:tcW w:w="2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24"/>
                <w:szCs w:val="24"/>
                <w:color w:val="auto"/>
              </w:rPr>
            </w:pPr>
          </w:p>
        </w:tc>
        <w:tc>
          <w:tcPr>
            <w:tcW w:w="1840" w:type="dxa"/>
            <w:vAlign w:val="bottom"/>
            <w:tcBorders>
              <w:bottom w:val="single" w:sz="8" w:color="auto"/>
            </w:tcBorders>
            <w:gridSpan w:val="9"/>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Fiscal Years Ended December 31,</w:t>
            </w:r>
          </w:p>
        </w:tc>
        <w:tc>
          <w:tcPr>
            <w:tcW w:w="120" w:type="dxa"/>
            <w:vAlign w:val="bottom"/>
            <w:tcBorders>
              <w:bottom w:val="single" w:sz="8" w:color="auto"/>
            </w:tcBorders>
          </w:tcPr>
          <w:p>
            <w:pPr>
              <w:spacing w:after="0"/>
              <w:rPr>
                <w:sz w:val="24"/>
                <w:szCs w:val="24"/>
                <w:color w:val="auto"/>
              </w:rPr>
            </w:pPr>
          </w:p>
        </w:tc>
        <w:tc>
          <w:tcPr>
            <w:tcW w:w="340" w:type="dxa"/>
            <w:vAlign w:val="bottom"/>
            <w:gridSpan w:val="2"/>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ind w:left="20"/>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2024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20" w:type="dxa"/>
            <w:vAlign w:val="bottom"/>
          </w:tcPr>
          <w:p>
            <w:pPr>
              <w:spacing w:after="0"/>
              <w:rPr>
                <w:sz w:val="15"/>
                <w:szCs w:val="15"/>
                <w:color w:val="auto"/>
              </w:rPr>
            </w:pPr>
          </w:p>
        </w:tc>
        <w:tc>
          <w:tcPr>
            <w:tcW w:w="340" w:type="dxa"/>
            <w:vAlign w:val="bottom"/>
            <w:gridSpan w:val="2"/>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82"/>
        </w:trPr>
        <w:tc>
          <w:tcPr>
            <w:tcW w:w="35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5"/>
                <w:szCs w:val="15"/>
                <w:color w:val="auto"/>
              </w:rPr>
            </w:pPr>
          </w:p>
        </w:tc>
        <w:tc>
          <w:tcPr>
            <w:tcW w:w="2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gridSpan w:val="2"/>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1">
            <w:col w:w="9019"/>
          </w:cols>
          <w:pgMar w:left="1440" w:top="107" w:right="1440"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4"/>
          <w:szCs w:val="14"/>
          <w:color w:val="auto"/>
        </w:rPr>
        <w:t>Cost of revenue</w:t>
      </w:r>
    </w:p>
    <w:p>
      <w:pPr>
        <w:spacing w:after="0" w:line="3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3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Selling, general and administrative</w:t>
      </w:r>
    </w:p>
    <w:p>
      <w:pPr>
        <w:spacing w:after="0" w:line="3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Restructuring charges</w:t>
      </w:r>
    </w:p>
    <w:p>
      <w:pPr>
        <w:spacing w:after="0" w:line="7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3,325​​</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5"/>
              </w:rPr>
              <w:t>​ $</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4,335​​</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75"/>
              </w:rPr>
              <w:t>​ $</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3,590​</w:t>
            </w:r>
          </w:p>
        </w:tc>
        <w:tc>
          <w:tcPr>
            <w:tcW w:w="0" w:type="dxa"/>
            <w:vAlign w:val="bottom"/>
          </w:tcPr>
          <w:p>
            <w:pPr>
              <w:spacing w:after="0"/>
              <w:rPr>
                <w:sz w:val="1"/>
                <w:szCs w:val="1"/>
                <w:color w:val="auto"/>
              </w:rPr>
            </w:pPr>
          </w:p>
        </w:tc>
      </w:tr>
      <w:tr>
        <w:trPr>
          <w:trHeight w:val="200"/>
        </w:trPr>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​183,770​​</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​172,190​​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​137,703​</w:t>
            </w:r>
          </w:p>
        </w:tc>
        <w:tc>
          <w:tcPr>
            <w:tcW w:w="0" w:type="dxa"/>
            <w:vAlign w:val="bottom"/>
          </w:tcPr>
          <w:p>
            <w:pPr>
              <w:spacing w:after="0"/>
              <w:rPr>
                <w:sz w:val="1"/>
                <w:szCs w:val="1"/>
                <w:color w:val="auto"/>
              </w:rPr>
            </w:pPr>
          </w:p>
        </w:tc>
      </w:tr>
      <w:tr>
        <w:trPr>
          <w:trHeight w:val="200"/>
        </w:trPr>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84,180​​ ​</w:t>
            </w: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​110,827​​ ​</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​117,433​</w:t>
            </w:r>
          </w:p>
        </w:tc>
        <w:tc>
          <w:tcPr>
            <w:tcW w:w="0" w:type="dxa"/>
            <w:vAlign w:val="bottom"/>
          </w:tcPr>
          <w:p>
            <w:pPr>
              <w:spacing w:after="0"/>
              <w:rPr>
                <w:sz w:val="1"/>
                <w:szCs w:val="1"/>
                <w:color w:val="auto"/>
              </w:rPr>
            </w:pPr>
          </w:p>
        </w:tc>
      </w:tr>
      <w:tr>
        <w:trPr>
          <w:trHeight w:val="141"/>
        </w:trPr>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vMerge w:val="restart"/>
          </w:tcPr>
          <w:p>
            <w:pPr>
              <w:spacing w:after="0"/>
              <w:rPr>
                <w:sz w:val="12"/>
                <w:szCs w:val="12"/>
                <w:color w:val="auto"/>
              </w:rPr>
            </w:pPr>
          </w:p>
        </w:tc>
        <w:tc>
          <w:tcPr>
            <w:tcW w:w="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 (1,480)</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color w:val="auto"/>
              </w:rPr>
              <w:t>​ (1,443)</w:t>
            </w:r>
          </w:p>
        </w:tc>
        <w:tc>
          <w:tcPr>
            <w:tcW w:w="0" w:type="dxa"/>
            <w:vAlign w:val="bottom"/>
          </w:tcPr>
          <w:p>
            <w:pPr>
              <w:spacing w:after="0"/>
              <w:rPr>
                <w:sz w:val="1"/>
                <w:szCs w:val="1"/>
                <w:color w:val="auto"/>
              </w:rPr>
            </w:pPr>
          </w:p>
        </w:tc>
      </w:tr>
      <w:tr>
        <w:trPr>
          <w:trHeight w:val="53"/>
        </w:trPr>
        <w:tc>
          <w:tcPr>
            <w:tcW w:w="1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580" w:type="dxa"/>
            <w:vAlign w:val="bottom"/>
            <w:gridSpan w:val="2"/>
          </w:tcPr>
          <w:p>
            <w:pPr>
              <w:jc w:val="right"/>
              <w:ind w:right="40"/>
              <w:spacing w:after="0" w:line="53"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gridSpan w:val="2"/>
          </w:tcPr>
          <w:p>
            <w:pPr>
              <w:jc w:val="right"/>
              <w:ind w:right="20"/>
              <w:spacing w:after="0" w:line="53"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20" w:type="dxa"/>
            <w:vAlign w:val="bottom"/>
            <w:gridSpan w:val="2"/>
          </w:tcPr>
          <w:p>
            <w:pPr>
              <w:spacing w:after="0" w:line="190" w:lineRule="exact"/>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2"/>
                <w:szCs w:val="22"/>
                <w:color w:val="auto"/>
                <w:vertAlign w:val="superscript"/>
              </w:rPr>
              <w:t>$</w:t>
            </w:r>
          </w:p>
        </w:tc>
        <w:tc>
          <w:tcPr>
            <w:tcW w:w="56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2"/>
                <w:szCs w:val="12"/>
                <w:color w:val="auto"/>
              </w:rPr>
              <w:t>271,275</w:t>
            </w:r>
            <w:r>
              <w:rPr>
                <w:rFonts w:ascii="Times New Roman" w:cs="Times New Roman" w:eastAsia="Times New Roman" w:hAnsi="Times New Roman"/>
                <w:sz w:val="22"/>
                <w:szCs w:val="22"/>
                <w:color w:val="auto"/>
                <w:vertAlign w:val="subscript"/>
              </w:rPr>
              <w:t>​​</w:t>
            </w:r>
          </w:p>
        </w:tc>
        <w:tc>
          <w:tcPr>
            <w:tcW w:w="140" w:type="dxa"/>
            <w:vAlign w:val="bottom"/>
          </w:tcPr>
          <w:p>
            <w:pPr>
              <w:ind w:left="20"/>
              <w:spacing w:after="0" w:line="190" w:lineRule="exact"/>
              <w:rPr>
                <w:sz w:val="20"/>
                <w:szCs w:val="20"/>
                <w:color w:val="auto"/>
              </w:rPr>
            </w:pPr>
            <w:r>
              <w:rPr>
                <w:rFonts w:ascii="Times New Roman" w:cs="Times New Roman" w:eastAsia="Times New Roman" w:hAnsi="Times New Roman"/>
                <w:sz w:val="12"/>
                <w:szCs w:val="12"/>
                <w:color w:val="auto"/>
                <w:w w:val="76"/>
              </w:rPr>
              <w:t xml:space="preserve">​ </w:t>
            </w:r>
            <w:r>
              <w:rPr>
                <w:rFonts w:ascii="Times New Roman" w:cs="Times New Roman" w:eastAsia="Times New Roman" w:hAnsi="Times New Roman"/>
                <w:sz w:val="22"/>
                <w:szCs w:val="22"/>
                <w:color w:val="auto"/>
                <w:w w:val="76"/>
                <w:vertAlign w:val="superscript"/>
              </w:rPr>
              <w:t>$</w:t>
            </w:r>
          </w:p>
        </w:tc>
        <w:tc>
          <w:tcPr>
            <w:tcW w:w="580" w:type="dxa"/>
            <w:vAlign w:val="bottom"/>
            <w:gridSpan w:val="2"/>
          </w:tcPr>
          <w:p>
            <w:pPr>
              <w:jc w:val="right"/>
              <w:ind w:right="40"/>
              <w:spacing w:after="0" w:line="190" w:lineRule="exact"/>
              <w:rPr>
                <w:sz w:val="20"/>
                <w:szCs w:val="20"/>
                <w:color w:val="auto"/>
              </w:rPr>
            </w:pPr>
            <w:r>
              <w:rPr>
                <w:rFonts w:ascii="Times New Roman" w:cs="Times New Roman" w:eastAsia="Times New Roman" w:hAnsi="Times New Roman"/>
                <w:sz w:val="12"/>
                <w:szCs w:val="12"/>
                <w:color w:val="auto"/>
              </w:rPr>
              <w:t>285,872</w:t>
            </w:r>
            <w:r>
              <w:rPr>
                <w:rFonts w:ascii="Times New Roman" w:cs="Times New Roman" w:eastAsia="Times New Roman" w:hAnsi="Times New Roman"/>
                <w:sz w:val="22"/>
                <w:szCs w:val="22"/>
                <w:color w:val="auto"/>
                <w:vertAlign w:val="subscript"/>
              </w:rPr>
              <w:t>​​</w:t>
            </w:r>
          </w:p>
        </w:tc>
        <w:tc>
          <w:tcPr>
            <w:tcW w:w="14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2"/>
                <w:szCs w:val="12"/>
                <w:color w:val="auto"/>
                <w:w w:val="76"/>
              </w:rPr>
              <w:t xml:space="preserve">​ </w:t>
            </w:r>
            <w:r>
              <w:rPr>
                <w:rFonts w:ascii="Times New Roman" w:cs="Times New Roman" w:eastAsia="Times New Roman" w:hAnsi="Times New Roman"/>
                <w:sz w:val="22"/>
                <w:szCs w:val="22"/>
                <w:color w:val="auto"/>
                <w:w w:val="76"/>
                <w:vertAlign w:val="superscript"/>
              </w:rPr>
              <w:t>$</w:t>
            </w:r>
          </w:p>
        </w:tc>
        <w:tc>
          <w:tcPr>
            <w:tcW w:w="52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2"/>
                <w:szCs w:val="12"/>
                <w:color w:val="auto"/>
              </w:rPr>
              <w:t>257,283</w:t>
            </w:r>
            <w:r>
              <w:rPr>
                <w:rFonts w:ascii="Times New Roman" w:cs="Times New Roman" w:eastAsia="Times New Roman" w:hAnsi="Times New Roman"/>
                <w:sz w:val="22"/>
                <w:szCs w:val="22"/>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00" w:space="720"/>
            <w:col w:w="3699"/>
          </w:cols>
          <w:pgMar w:left="1440" w:top="107" w:right="1440" w:bottom="1440" w:gutter="0" w:footer="0" w:header="0"/>
          <w:type w:val="continuous"/>
        </w:sectPr>
      </w:pP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Balance Sheet Data</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26"/>
        </w:trPr>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w w:val="96"/>
              </w:rPr>
              <w:t>Fiscal Years Ended</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66"/>
        </w:trPr>
        <w:tc>
          <w:tcPr>
            <w:tcW w:w="800" w:type="dxa"/>
            <w:vAlign w:val="bottom"/>
          </w:tcPr>
          <w:p>
            <w:pPr>
              <w:spacing w:after="0"/>
              <w:rPr>
                <w:sz w:val="14"/>
                <w:szCs w:val="14"/>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1840" w:type="dxa"/>
            <w:vAlign w:val="bottom"/>
          </w:tcPr>
          <w:p>
            <w:pPr>
              <w:ind w:left="18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spacing w:after="0"/>
              <w:rPr>
                <w:sz w:val="14"/>
                <w:szCs w:val="14"/>
                <w:color w:val="auto"/>
              </w:rPr>
            </w:pPr>
          </w:p>
        </w:tc>
      </w:tr>
      <w:tr>
        <w:trPr>
          <w:trHeight w:val="201"/>
        </w:trPr>
        <w:tc>
          <w:tcPr>
            <w:tcW w:w="80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18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jc w:val="center"/>
              <w:ind w:left="113"/>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1840" w:type="dxa"/>
            <w:vAlign w:val="bottom"/>
          </w:tcPr>
          <w:p>
            <w:pPr>
              <w:ind w:left="18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4"/>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5"/>
              </w:rPr>
              <w:t>(in thousands)</w:t>
            </w:r>
          </w:p>
        </w:tc>
        <w:tc>
          <w:tcPr>
            <w:tcW w:w="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spacing w:after="0"/>
              <w:rPr>
                <w:sz w:val="17"/>
                <w:szCs w:val="17"/>
                <w:color w:val="auto"/>
              </w:rPr>
            </w:pPr>
          </w:p>
        </w:tc>
      </w:tr>
      <w:tr>
        <w:trPr>
          <w:trHeight w:val="200"/>
        </w:trPr>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shd w:val="clear" w:color="auto" w:fill="CCEEFF"/>
          </w:tcPr>
          <w:p>
            <w:pPr>
              <w:spacing w:after="0"/>
              <w:rPr>
                <w:sz w:val="17"/>
                <w:szCs w:val="17"/>
                <w:color w:val="auto"/>
              </w:rPr>
            </w:pPr>
          </w:p>
        </w:tc>
        <w:tc>
          <w:tcPr>
            <w:tcW w:w="18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7"/>
                <w:szCs w:val="17"/>
                <w:color w:val="auto"/>
              </w:rPr>
            </w:pPr>
          </w:p>
        </w:tc>
      </w:tr>
      <w:tr>
        <w:trPr>
          <w:trHeight w:val="200"/>
        </w:trPr>
        <w:tc>
          <w:tcPr>
            <w:tcW w:w="80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997,827​​</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​​$1,606,865​</w:t>
            </w:r>
          </w:p>
        </w:tc>
        <w:tc>
          <w:tcPr>
            <w:tcW w:w="780" w:type="dxa"/>
            <w:vAlign w:val="bottom"/>
          </w:tcPr>
          <w:p>
            <w:pPr>
              <w:spacing w:after="0"/>
              <w:rPr>
                <w:sz w:val="17"/>
                <w:szCs w:val="17"/>
                <w:color w:val="auto"/>
              </w:rPr>
            </w:pPr>
          </w:p>
        </w:tc>
      </w:tr>
      <w:tr>
        <w:trPr>
          <w:trHeight w:val="200"/>
        </w:trPr>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​8,386,981​​</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​9,647,931​</w:t>
            </w:r>
          </w:p>
        </w:tc>
        <w:tc>
          <w:tcPr>
            <w:tcW w:w="180" w:type="dxa"/>
            <w:vAlign w:val="bottom"/>
            <w:tcBorders>
              <w:left w:val="single" w:sz="8" w:color="CCEEFF"/>
            </w:tcBorders>
          </w:tcPr>
          <w:p>
            <w:pPr>
              <w:spacing w:after="0"/>
              <w:rPr>
                <w:sz w:val="17"/>
                <w:szCs w:val="17"/>
                <w:color w:val="auto"/>
              </w:rPr>
            </w:pPr>
          </w:p>
        </w:tc>
        <w:tc>
          <w:tcPr>
            <w:tcW w:w="780" w:type="dxa"/>
            <w:vAlign w:val="bottom"/>
          </w:tcPr>
          <w:p>
            <w:pPr>
              <w:spacing w:after="0"/>
              <w:rPr>
                <w:sz w:val="17"/>
                <w:szCs w:val="17"/>
                <w:color w:val="auto"/>
              </w:rPr>
            </w:pPr>
          </w:p>
        </w:tc>
      </w:tr>
      <w:tr>
        <w:trPr>
          <w:trHeight w:val="200"/>
        </w:trPr>
        <w:tc>
          <w:tcPr>
            <w:tcW w:w="80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7"/>
                <w:szCs w:val="17"/>
                <w:color w:val="auto"/>
              </w:rPr>
            </w:pPr>
          </w:p>
        </w:tc>
      </w:tr>
      <w:tr>
        <w:trPr>
          <w:trHeight w:val="200"/>
        </w:trPr>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net of current portion</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​2,046,576​​</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​2,002,151​</w:t>
            </w:r>
          </w:p>
        </w:tc>
        <w:tc>
          <w:tcPr>
            <w:tcW w:w="180" w:type="dxa"/>
            <w:vAlign w:val="bottom"/>
            <w:tcBorders>
              <w:left w:val="single" w:sz="8" w:color="CCEEFF"/>
            </w:tcBorders>
          </w:tcPr>
          <w:p>
            <w:pPr>
              <w:spacing w:after="0"/>
              <w:rPr>
                <w:sz w:val="17"/>
                <w:szCs w:val="17"/>
                <w:color w:val="auto"/>
              </w:rPr>
            </w:pPr>
          </w:p>
        </w:tc>
        <w:tc>
          <w:tcPr>
            <w:tcW w:w="780" w:type="dxa"/>
            <w:vAlign w:val="bottom"/>
          </w:tcPr>
          <w:p>
            <w:pPr>
              <w:spacing w:after="0"/>
              <w:rPr>
                <w:sz w:val="17"/>
                <w:szCs w:val="17"/>
                <w:color w:val="auto"/>
              </w:rPr>
            </w:pPr>
          </w:p>
        </w:tc>
      </w:tr>
      <w:tr>
        <w:trPr>
          <w:trHeight w:val="200"/>
        </w:trPr>
        <w:tc>
          <w:tcPr>
            <w:tcW w:w="80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Common stock warrant liability</w:t>
            </w:r>
          </w:p>
        </w:tc>
        <w:tc>
          <w:tcPr>
            <w:tcW w:w="18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97"/>
              <w:spacing w:after="0"/>
              <w:rPr>
                <w:sz w:val="20"/>
                <w:szCs w:val="20"/>
                <w:color w:val="auto"/>
              </w:rPr>
            </w:pPr>
            <w:r>
              <w:rPr>
                <w:rFonts w:ascii="Times New Roman" w:cs="Times New Roman" w:eastAsia="Times New Roman" w:hAnsi="Times New Roman"/>
                <w:sz w:val="14"/>
                <w:szCs w:val="14"/>
                <w:color w:val="auto"/>
              </w:rPr>
              <w:t>19,514​</w:t>
            </w:r>
          </w:p>
        </w:tc>
        <w:tc>
          <w:tcPr>
            <w:tcW w:w="780" w:type="dxa"/>
            <w:vAlign w:val="bottom"/>
          </w:tcPr>
          <w:p>
            <w:pPr>
              <w:spacing w:after="0"/>
              <w:rPr>
                <w:sz w:val="17"/>
                <w:szCs w:val="17"/>
                <w:color w:val="auto"/>
              </w:rPr>
            </w:pPr>
          </w:p>
        </w:tc>
      </w:tr>
      <w:tr>
        <w:trPr>
          <w:trHeight w:val="200"/>
        </w:trPr>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​5,386,204​​</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​4,475,277​</w:t>
            </w:r>
          </w:p>
        </w:tc>
        <w:tc>
          <w:tcPr>
            <w:tcW w:w="180" w:type="dxa"/>
            <w:vAlign w:val="bottom"/>
            <w:tcBorders>
              <w:left w:val="single" w:sz="8" w:color="CCEEFF"/>
            </w:tcBorders>
          </w:tcPr>
          <w:p>
            <w:pPr>
              <w:spacing w:after="0"/>
              <w:rPr>
                <w:sz w:val="17"/>
                <w:szCs w:val="17"/>
                <w:color w:val="auto"/>
              </w:rPr>
            </w:pPr>
          </w:p>
        </w:tc>
        <w:tc>
          <w:tcPr>
            <w:tcW w:w="780" w:type="dxa"/>
            <w:vAlign w:val="bottom"/>
          </w:tcPr>
          <w:p>
            <w:pPr>
              <w:spacing w:after="0"/>
              <w:rPr>
                <w:sz w:val="17"/>
                <w:szCs w:val="17"/>
                <w:color w:val="auto"/>
              </w:rPr>
            </w:pPr>
          </w:p>
        </w:tc>
      </w:tr>
      <w:tr>
        <w:trPr>
          <w:trHeight w:val="200"/>
        </w:trPr>
        <w:tc>
          <w:tcPr>
            <w:tcW w:w="800" w:type="dxa"/>
            <w:vAlign w:val="bottom"/>
          </w:tcPr>
          <w:p>
            <w:pPr>
              <w:spacing w:after="0"/>
              <w:rPr>
                <w:sz w:val="17"/>
                <w:szCs w:val="17"/>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Redeemable Convertible Preferred Stock</w:t>
            </w:r>
          </w:p>
        </w:tc>
        <w:tc>
          <w:tcPr>
            <w:tcW w:w="18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7"/>
                <w:szCs w:val="17"/>
                <w:color w:val="auto"/>
              </w:rPr>
            </w:pPr>
          </w:p>
        </w:tc>
      </w:tr>
      <w:tr>
        <w:trPr>
          <w:trHeight w:val="200"/>
        </w:trPr>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A redeemable convertible preferred stock</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​1,339,641​​</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730,025​</w:t>
            </w:r>
          </w:p>
        </w:tc>
        <w:tc>
          <w:tcPr>
            <w:tcW w:w="180" w:type="dxa"/>
            <w:vAlign w:val="bottom"/>
            <w:tcBorders>
              <w:left w:val="single" w:sz="8" w:color="CCEEFF"/>
            </w:tcBorders>
          </w:tcPr>
          <w:p>
            <w:pPr>
              <w:spacing w:after="0"/>
              <w:rPr>
                <w:sz w:val="17"/>
                <w:szCs w:val="17"/>
                <w:color w:val="auto"/>
              </w:rPr>
            </w:pPr>
          </w:p>
        </w:tc>
        <w:tc>
          <w:tcPr>
            <w:tcW w:w="780" w:type="dxa"/>
            <w:vAlign w:val="bottom"/>
          </w:tcPr>
          <w:p>
            <w:pPr>
              <w:spacing w:after="0"/>
              <w:rPr>
                <w:sz w:val="17"/>
                <w:szCs w:val="17"/>
                <w:color w:val="auto"/>
              </w:rPr>
            </w:pPr>
          </w:p>
        </w:tc>
      </w:tr>
      <w:tr>
        <w:trPr>
          <w:trHeight w:val="221"/>
        </w:trPr>
        <w:tc>
          <w:tcPr>
            <w:tcW w:w="800" w:type="dxa"/>
            <w:vAlign w:val="bottom"/>
          </w:tcPr>
          <w:p>
            <w:pPr>
              <w:spacing w:after="0"/>
              <w:rPr>
                <w:sz w:val="19"/>
                <w:szCs w:val="19"/>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Series B redeemable convertible preferred stock</w:t>
            </w:r>
          </w:p>
        </w:tc>
        <w:tc>
          <w:tcPr>
            <w:tcW w:w="1840" w:type="dxa"/>
            <w:vAlign w:val="bottom"/>
          </w:tcPr>
          <w:p>
            <w:pPr>
              <w:spacing w:after="0"/>
              <w:rPr>
                <w:sz w:val="19"/>
                <w:szCs w:val="19"/>
                <w:color w:val="auto"/>
              </w:rPr>
            </w:pPr>
          </w:p>
        </w:tc>
        <w:tc>
          <w:tcPr>
            <w:tcW w:w="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943,849​​ ​​ ​</w:t>
            </w:r>
          </w:p>
        </w:tc>
        <w:tc>
          <w:tcPr>
            <w:tcW w:w="680" w:type="dxa"/>
            <w:vAlign w:val="bottom"/>
            <w:gridSpan w:val="2"/>
          </w:tcPr>
          <w:p>
            <w:pPr>
              <w:jc w:val="right"/>
              <w:ind w:right="97"/>
              <w:spacing w:after="0"/>
              <w:rPr>
                <w:sz w:val="20"/>
                <w:szCs w:val="20"/>
                <w:color w:val="auto"/>
              </w:rPr>
            </w:pPr>
            <w:r>
              <w:rPr>
                <w:rFonts w:ascii="Times New Roman" w:cs="Times New Roman" w:eastAsia="Times New Roman" w:hAnsi="Times New Roman"/>
                <w:sz w:val="14"/>
                <w:szCs w:val="14"/>
                <w:color w:val="auto"/>
              </w:rPr>
              <w:t>569,817​</w:t>
            </w:r>
          </w:p>
        </w:tc>
        <w:tc>
          <w:tcPr>
            <w:tcW w:w="780" w:type="dxa"/>
            <w:vAlign w:val="bottom"/>
          </w:tcPr>
          <w:p>
            <w:pPr>
              <w:spacing w:after="0"/>
              <w:rPr>
                <w:sz w:val="19"/>
                <w:szCs w:val="19"/>
                <w:color w:val="auto"/>
              </w:rPr>
            </w:pPr>
          </w:p>
        </w:tc>
      </w:tr>
      <w:tr>
        <w:trPr>
          <w:trHeight w:val="311"/>
        </w:trPr>
        <w:tc>
          <w:tcPr>
            <w:tcW w:w="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06"/>
        </w:trPr>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5487670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13" w:name="page14"/>
    <w:bookmarkEnd w:id="13"/>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22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Fiscal Years Ended</w:t>
            </w:r>
          </w:p>
        </w:tc>
        <w:tc>
          <w:tcPr>
            <w:tcW w:w="20" w:type="dxa"/>
            <w:vAlign w:val="bottom"/>
          </w:tcPr>
          <w:p>
            <w:pPr>
              <w:spacing w:after="0"/>
              <w:rPr>
                <w:sz w:val="11"/>
                <w:szCs w:val="11"/>
                <w:color w:val="auto"/>
              </w:rPr>
            </w:pPr>
          </w:p>
        </w:tc>
      </w:tr>
      <w:tr>
        <w:trPr>
          <w:trHeight w:val="166"/>
        </w:trPr>
        <w:tc>
          <w:tcPr>
            <w:tcW w:w="2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320" w:type="dxa"/>
            <w:vAlign w:val="bottom"/>
          </w:tcPr>
          <w:p>
            <w:pPr>
              <w:ind w:left="22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0"/>
        </w:trPr>
        <w:tc>
          <w:tcPr>
            <w:tcW w:w="2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320" w:type="dxa"/>
            <w:vAlign w:val="bottom"/>
          </w:tcPr>
          <w:p>
            <w:pPr>
              <w:ind w:left="228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1"/>
        </w:trPr>
        <w:tc>
          <w:tcPr>
            <w:tcW w:w="2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320" w:type="dxa"/>
            <w:vAlign w:val="bottom"/>
          </w:tcPr>
          <w:p>
            <w:pPr>
              <w:ind w:left="22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 thousands)</w:t>
            </w:r>
          </w:p>
        </w:tc>
        <w:tc>
          <w:tcPr>
            <w:tcW w:w="520" w:type="dxa"/>
            <w:vAlign w:val="bottom"/>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12" w:lineRule="exact"/>
        <w:rPr>
          <w:sz w:val="20"/>
          <w:szCs w:val="20"/>
          <w:color w:val="auto"/>
        </w:rPr>
      </w:pPr>
    </w:p>
    <w:p>
      <w:pPr>
        <w:sectPr>
          <w:pgSz w:w="11900" w:h="16838" w:orient="portrait"/>
          <w:cols w:equalWidth="0" w:num="1">
            <w:col w:w="9019"/>
          </w:cols>
          <w:pgMar w:left="1440" w:top="107" w:right="1440" w:bottom="1440" w:gutter="0" w:footer="0" w:header="0"/>
        </w:sectPr>
      </w:pPr>
    </w:p>
    <w:p>
      <w:pPr>
        <w:ind w:left="1320"/>
        <w:spacing w:after="0"/>
        <w:rPr>
          <w:sz w:val="20"/>
          <w:szCs w:val="20"/>
          <w:color w:val="auto"/>
        </w:rPr>
      </w:pPr>
      <w:r>
        <w:rPr>
          <w:rFonts w:ascii="Times New Roman" w:cs="Times New Roman" w:eastAsia="Times New Roman" w:hAnsi="Times New Roman"/>
          <w:sz w:val="14"/>
          <w:szCs w:val="14"/>
          <w:b w:val="1"/>
          <w:bCs w:val="1"/>
          <w:color w:val="auto"/>
        </w:rPr>
        <w:t>Stockholders’ Equity</w:t>
      </w:r>
    </w:p>
    <w:p>
      <w:pPr>
        <w:spacing w:after="0" w:line="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Common stock</w:t>
      </w:r>
    </w:p>
    <w:p>
      <w:pPr>
        <w:spacing w:after="0" w:line="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Total stockholders’ equity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0"/>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4"/>
        </w:trPr>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​16,337,023​​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​16,808,291​</w:t>
            </w:r>
          </w:p>
        </w:tc>
      </w:tr>
    </w:tbl>
    <w:p>
      <w:pPr>
        <w:ind w:left="80" w:hanging="75"/>
        <w:spacing w:after="0"/>
        <w:tabs>
          <w:tab w:leader="none" w:pos="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​(15,610,745​​) ​​ ​(12,912,694​)</w:t>
      </w:r>
    </w:p>
    <w:p>
      <w:pPr>
        <w:spacing w:after="0" w:line="38" w:lineRule="exact"/>
        <w:rPr>
          <w:rFonts w:ascii="Times New Roman" w:cs="Times New Roman" w:eastAsia="Times New Roman" w:hAnsi="Times New Roman"/>
          <w:sz w:val="14"/>
          <w:szCs w:val="14"/>
          <w:color w:val="auto"/>
        </w:rPr>
      </w:pPr>
    </w:p>
    <w:p>
      <w:pPr>
        <w:ind w:left="80" w:hanging="75"/>
        <w:spacing w:after="0" w:line="182" w:lineRule="auto"/>
        <w:tabs>
          <w:tab w:leader="none" w:pos="80" w:val="left"/>
        </w:tabs>
        <w:numPr>
          <w:ilvl w:val="0"/>
          <w:numId w:val="6"/>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   717,287</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u w:val="single" w:color="auto"/>
          <w:color w:val="auto"/>
        </w:rPr>
        <w:t>$  3,872,812</w:t>
      </w:r>
      <w:r>
        <w:rPr>
          <w:rFonts w:ascii="Times New Roman" w:cs="Times New Roman" w:eastAsia="Times New Roman" w:hAnsi="Times New Roman"/>
          <w:sz w:val="24"/>
          <w:szCs w:val="24"/>
          <w:color w:val="auto"/>
          <w:vertAlign w:val="subscript"/>
        </w:rPr>
        <w:t>​</w:t>
      </w:r>
    </w:p>
    <w:p>
      <w:pPr>
        <w:spacing w:after="0" w:line="200" w:lineRule="exact"/>
        <w:rPr>
          <w:sz w:val="20"/>
          <w:szCs w:val="20"/>
          <w:color w:val="auto"/>
        </w:rPr>
      </w:pPr>
    </w:p>
    <w:p>
      <w:pPr>
        <w:sectPr>
          <w:pgSz w:w="11900" w:h="16838" w:orient="portrait"/>
          <w:cols w:equalWidth="0" w:num="2">
            <w:col w:w="5160" w:space="720"/>
            <w:col w:w="3139"/>
          </w:cols>
          <w:pgMar w:left="1440" w:top="1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14" w:name="page15"/>
    <w:bookmarkEnd w:id="1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3" w:lineRule="exact"/>
        <w:rPr>
          <w:sz w:val="20"/>
          <w:szCs w:val="20"/>
          <w:color w:val="auto"/>
        </w:rPr>
      </w:pPr>
    </w:p>
    <w:p>
      <w:pPr>
        <w:ind w:left="1300" w:right="1359" w:firstLine="280"/>
        <w:spacing w:after="0" w:line="244"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An investment in our common stock involves a high degree of risk. Before making an investment decision, you should carefully consider the following risk factors, in addition to the risks and uncertainties discussed above under “Special Note Regarding Forward -Looking Statements,” together with the risk factors described in our </w:t>
      </w:r>
      <w:hyperlink r:id="rId28">
        <w:r>
          <w:rPr>
            <w:rFonts w:ascii="Times New Roman" w:cs="Times New Roman" w:eastAsia="Times New Roman" w:hAnsi="Times New Roman"/>
            <w:sz w:val="14"/>
            <w:szCs w:val="14"/>
            <w:i w:val="1"/>
            <w:iCs w:val="1"/>
            <w:u w:val="single" w:color="auto"/>
            <w:color w:val="0000EE"/>
          </w:rPr>
          <w:t>Annual Report on Form 10-K for the year ended December 31, 2025</w:t>
        </w:r>
        <w:r>
          <w:rPr>
            <w:rFonts w:ascii="Times New Roman" w:cs="Times New Roman" w:eastAsia="Times New Roman" w:hAnsi="Times New Roman"/>
            <w:sz w:val="14"/>
            <w:szCs w:val="14"/>
            <w:i w:val="1"/>
            <w:iCs w:val="1"/>
            <w:u w:val="single" w:color="auto"/>
            <w:color w:val="auto"/>
          </w:rPr>
          <w:t xml:space="preserve"> </w:t>
        </w:r>
      </w:hyperlink>
      <w:r>
        <w:rPr>
          <w:rFonts w:ascii="Times New Roman" w:cs="Times New Roman" w:eastAsia="Times New Roman" w:hAnsi="Times New Roman"/>
          <w:sz w:val="14"/>
          <w:szCs w:val="14"/>
          <w:i w:val="1"/>
          <w:iCs w:val="1"/>
          <w:color w:val="auto"/>
        </w:rPr>
        <w:t>, as well as the other information contained or incorporated by reference into this prospectus supplement or the accompanying prospectus. The occurrence of one or more of the events or circumstances described in these risk factors, alone or in combination with other events or circumstances, may have an adverse effect on our business, cash flows, financial condition and results of operations. We may face additional risks and uncertainties that are not presently known to us or that we currently deem immaterial, which may also impair our business or financial condition.</w:t>
      </w:r>
    </w:p>
    <w:p>
      <w:pPr>
        <w:spacing w:after="0" w:line="3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Our Common Stock</w:t>
      </w:r>
    </w:p>
    <w:p>
      <w:pPr>
        <w:spacing w:after="0" w:line="175" w:lineRule="exact"/>
        <w:rPr>
          <w:sz w:val="20"/>
          <w:szCs w:val="20"/>
          <w:color w:val="auto"/>
        </w:rPr>
      </w:pPr>
    </w:p>
    <w:p>
      <w:pPr>
        <w:ind w:left="1300" w:right="1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net proceeds from this offering and may invest or spend the proceeds in ways with which you do not agree and in ways that may not yield a return on your investment.</w:t>
      </w:r>
    </w:p>
    <w:p>
      <w:pPr>
        <w:spacing w:after="0" w:line="60" w:lineRule="exact"/>
        <w:rPr>
          <w:sz w:val="20"/>
          <w:szCs w:val="20"/>
          <w:color w:val="auto"/>
        </w:rPr>
      </w:pPr>
    </w:p>
    <w:p>
      <w:pPr>
        <w:ind w:left="1300" w:right="1439" w:firstLine="280"/>
        <w:spacing w:after="0" w:line="244"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the net proceeds from this offering.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 term U.S. Treasury securities with insignificant rates of return. These investments may not yield a favorable return to our stockholders.</w:t>
      </w:r>
    </w:p>
    <w:p>
      <w:pPr>
        <w:spacing w:after="0" w:line="139" w:lineRule="exact"/>
        <w:rPr>
          <w:sz w:val="20"/>
          <w:szCs w:val="20"/>
          <w:color w:val="auto"/>
        </w:rPr>
      </w:pPr>
    </w:p>
    <w:p>
      <w:pPr>
        <w:ind w:left="1300" w:right="145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p>
    <w:p>
      <w:pPr>
        <w:spacing w:after="0" w:line="78" w:lineRule="exact"/>
        <w:rPr>
          <w:sz w:val="20"/>
          <w:szCs w:val="20"/>
          <w:color w:val="auto"/>
        </w:rPr>
      </w:pPr>
    </w:p>
    <w:p>
      <w:pPr>
        <w:ind w:left="1300" w:right="1379" w:firstLine="280"/>
        <w:spacing w:after="0" w:line="243" w:lineRule="auto"/>
        <w:rPr>
          <w:sz w:val="20"/>
          <w:szCs w:val="20"/>
          <w:color w:val="auto"/>
        </w:rPr>
      </w:pPr>
      <w:r>
        <w:rPr>
          <w:rFonts w:ascii="Times New Roman" w:cs="Times New Roman" w:eastAsia="Times New Roman" w:hAnsi="Times New Roman"/>
          <w:sz w:val="14"/>
          <w:szCs w:val="14"/>
          <w:color w:val="auto"/>
        </w:rPr>
        <w:t>Future issuances of shares of our common stock, or of securities convertible into or exercisable for our common stock, could depress the market price of our common stock and result in significant dilution for holders of our common stock. This includes the potential issuance of a substantial number of shares of our common stock upon the conversion, optional redemption, or repurchase of our Redeemable Convertible Preferred Stock. The Redeemable Convertible Preferred Stock is convertible into our common stock at specified conversion prices, subject to customary anti-dilution adjustments, and the number of shares issuable upon conversion may increase over time due to the compounding of dividends at an initial rate of 9% per annum, which are not subject to any cap or sunset provisions and may accrue in perpetuity. As a result, the number of shares of common stock issuable upon conversion of the Redeemable Convertible Preferred Stock may continue to increase, further diluting the ownership interests of existing common stockholders.</w:t>
      </w:r>
    </w:p>
    <w:p>
      <w:pPr>
        <w:spacing w:after="0" w:line="252"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In addition, in certain circumstances, including in connection with a mandatory conversion, optional redemption, or a fundamental change (as defined in the respective Certificate of Designations of the Redeemable Convertible Preferred Stock), holders of the Redeemable Convertible Preferred Stock may be entitled to receive “Minimum Consideration (as defined in the respective Certificate of Designations of the Redeemable Convertible Preferred Stock).” If the value of the Minimum Consideration exceeds the Accrued Value (as defined in the respective Certificate of Designations of the Redeemable Convertible Preferred Stock) of the Redeemable Convertible Preferred Stock, we would be required to issue a number of shares of common stock that is presently indeterminable and, particularly if our stock price is substantially below the initial conversion price, such issuances could result in significant dilution to the common stockholders which could have a material adverse effect on the market prices of our common stock and on our financial condition, liquidity, and ability to obtain additional financing.</w:t>
      </w:r>
    </w:p>
    <w:p>
      <w:pPr>
        <w:spacing w:after="0" w:line="89" w:lineRule="exact"/>
        <w:rPr>
          <w:sz w:val="20"/>
          <w:szCs w:val="20"/>
          <w:color w:val="auto"/>
        </w:rPr>
      </w:pPr>
    </w:p>
    <w:p>
      <w:pPr>
        <w:ind w:left="1300" w:right="1379" w:firstLine="280"/>
        <w:spacing w:after="0" w:line="251" w:lineRule="auto"/>
        <w:rPr>
          <w:sz w:val="20"/>
          <w:szCs w:val="20"/>
          <w:color w:val="auto"/>
        </w:rPr>
      </w:pPr>
      <w:r>
        <w:rPr>
          <w:rFonts w:ascii="Times New Roman" w:cs="Times New Roman" w:eastAsia="Times New Roman" w:hAnsi="Times New Roman"/>
          <w:sz w:val="14"/>
          <w:szCs w:val="14"/>
          <w:color w:val="auto"/>
        </w:rPr>
        <w:t>The exercise of our outstanding warrants and options, the vesting and settlement of our RSUs and the conversion of our Convertible Senior Notes may also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The market price of shares of our common stock could decline as a result of substantial sales of common stock or securities convertible into shares of common stock, particularly by our significant stockholders, a large number of shares of common stock becoming available for sale or the perception in the market that holders of a large number of shares intend to sell their shares.</w:t>
      </w:r>
    </w:p>
    <w:p>
      <w:pPr>
        <w:spacing w:after="0" w:line="83"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In addition, pursuant to the Investor Rights Agreement, dated February 22, 2021 (as amended from time-to -time, the “Investor Rights Agreement”), Ayar, and certain other parties thereto are entitled to, among other things, certain registration rights, including demand, piggy-back and shelf registration rights with respect to their shares of common stock (including shares of common stock underlying the Redeemable Convertible Preferred Stock held by Ayar) and Ayar’s shares of the Redeemable Convertible Preferred Stock. We also provided certain registration rights to SMB with respect to the shares of common stock previously issued to it in September 2025 and the shares of common stock to be issued to it in connection with the Uber Private Placement. If either pursuant to any registration statement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spacing w:after="0" w:line="302" w:lineRule="exact"/>
        <w:rPr>
          <w:sz w:val="20"/>
          <w:szCs w:val="20"/>
          <w:color w:val="auto"/>
        </w:rPr>
      </w:pPr>
    </w:p>
    <w:p>
      <w:pPr>
        <w:jc w:val="both"/>
        <w:ind w:left="1300" w:right="151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Securities or industry analysts may or may not publish research or reports about us, our business, our market, or change their recommendations regarding our common stock adversely, which could cause the price and trading volume of our common stock to decline.</w:t>
      </w:r>
    </w:p>
    <w:p>
      <w:pPr>
        <w:spacing w:after="0" w:line="78"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The trading market for our common stock can be influenced by the research and reports that industry or securities analysts may publish about us, our business and operations, our market, or our competitors.</w:t>
      </w:r>
    </w:p>
    <w:p>
      <w:pPr>
        <w:spacing w:after="0" w:line="73" w:lineRule="exact"/>
        <w:rPr>
          <w:sz w:val="20"/>
          <w:szCs w:val="20"/>
          <w:color w:val="auto"/>
        </w:rPr>
      </w:pPr>
    </w:p>
    <w:p>
      <w:pPr>
        <w:ind w:left="1300" w:right="1379" w:firstLine="280"/>
        <w:spacing w:after="0" w:line="247" w:lineRule="auto"/>
        <w:rPr>
          <w:sz w:val="20"/>
          <w:szCs w:val="20"/>
          <w:color w:val="auto"/>
        </w:rPr>
      </w:pPr>
      <w:r>
        <w:rPr>
          <w:rFonts w:ascii="Times New Roman" w:cs="Times New Roman" w:eastAsia="Times New Roman" w:hAnsi="Times New Roman"/>
          <w:sz w:val="14"/>
          <w:szCs w:val="14"/>
          <w:color w:val="auto"/>
        </w:rPr>
        <w:t>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47" w:lineRule="exact"/>
        <w:rPr>
          <w:sz w:val="20"/>
          <w:szCs w:val="20"/>
          <w:color w:val="auto"/>
        </w:rPr>
      </w:pPr>
    </w:p>
    <w:p>
      <w:pPr>
        <w:ind w:left="1300" w:right="13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price of our common stock has been, and may continue to be, volatile, and this volatility may negatively impact the trading price of our common stock.</w:t>
      </w:r>
    </w:p>
    <w:p>
      <w:pPr>
        <w:spacing w:after="0" w:line="71" w:lineRule="exact"/>
        <w:rPr>
          <w:sz w:val="20"/>
          <w:szCs w:val="20"/>
          <w:color w:val="auto"/>
        </w:rPr>
      </w:pPr>
    </w:p>
    <w:p>
      <w:pPr>
        <w:ind w:left="1300" w:right="1339" w:firstLine="280"/>
        <w:spacing w:after="0" w:line="244" w:lineRule="auto"/>
        <w:rPr>
          <w:sz w:val="20"/>
          <w:szCs w:val="20"/>
          <w:color w:val="auto"/>
        </w:rPr>
      </w:pPr>
      <w:r>
        <w:rPr>
          <w:rFonts w:ascii="Times New Roman" w:cs="Times New Roman" w:eastAsia="Times New Roman" w:hAnsi="Times New Roman"/>
          <w:sz w:val="14"/>
          <w:szCs w:val="14"/>
          <w:color w:val="auto"/>
        </w:rPr>
        <w:t>The trading price of our common stock has fluctuated substantially. The trading price of our common stock depends on many factors, including those described elsewhere in this “Risk Factors” section, many of which are beyond our control and may not be related to our operating performance. These fluctuations could cause investors to lose all or part of the investment in our common stock since investors might be unable to sell them at or above the price the investor paid for them. Any of the factors listed below could have a material adverse effect on your investment in our common stock and our common stock may trade at prices significantly below the price you paid for it. In such circumstances, the trading price of our common stock may not recover and may experience a further decline.</w:t>
      </w:r>
    </w:p>
    <w:p>
      <w:pPr>
        <w:spacing w:after="0" w:line="8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Factors affecting the trading price of our common stock may include:</w:t>
      </w:r>
    </w:p>
    <w:p>
      <w:pPr>
        <w:spacing w:after="0" w:line="91" w:lineRule="exact"/>
        <w:rPr>
          <w:sz w:val="20"/>
          <w:szCs w:val="20"/>
          <w:color w:val="auto"/>
        </w:rPr>
      </w:pPr>
    </w:p>
    <w:p>
      <w:pPr>
        <w:ind w:left="1720" w:hanging="131"/>
        <w:spacing w:after="0"/>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broader stock market in general, or in our industry in particular;</w:t>
      </w:r>
    </w:p>
    <w:p>
      <w:pPr>
        <w:spacing w:after="0" w:line="91" w:lineRule="exact"/>
        <w:rPr>
          <w:rFonts w:ascii="Times New Roman" w:cs="Times New Roman" w:eastAsia="Times New Roman" w:hAnsi="Times New Roman"/>
          <w:sz w:val="14"/>
          <w:szCs w:val="14"/>
          <w:color w:val="auto"/>
        </w:rPr>
      </w:pPr>
    </w:p>
    <w:p>
      <w:pPr>
        <w:ind w:left="1720" w:right="1739" w:hanging="131"/>
        <w:spacing w:after="0" w:line="283"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or operating results or the quarterly financial or operating results of companies perceived to be similar to ours;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expectations about our operating results;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91" w:lineRule="exact"/>
        <w:rPr>
          <w:rFonts w:ascii="Times New Roman" w:cs="Times New Roman" w:eastAsia="Times New Roman" w:hAnsi="Times New Roman"/>
          <w:sz w:val="14"/>
          <w:szCs w:val="14"/>
          <w:color w:val="auto"/>
        </w:rPr>
      </w:pPr>
    </w:p>
    <w:p>
      <w:pPr>
        <w:ind w:left="1720" w:right="1399" w:hanging="131"/>
        <w:spacing w:after="0" w:line="276"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financial projections and any other guidance or metrics that we may publicly disclose, including any decision to adjust or withdraw such financial projections, guidance or metrics;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91" w:lineRule="exact"/>
        <w:rPr>
          <w:rFonts w:ascii="Times New Roman" w:cs="Times New Roman" w:eastAsia="Times New Roman" w:hAnsi="Times New Roman"/>
          <w:sz w:val="14"/>
          <w:szCs w:val="14"/>
          <w:color w:val="auto"/>
        </w:rPr>
      </w:pPr>
    </w:p>
    <w:p>
      <w:pPr>
        <w:ind w:left="1720" w:right="173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competitors’ businesses or the competitive landscape generally;</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lower-than-anticipated industry-wide EV adoption rates or perception that EV demand is slowing;</w:t>
      </w:r>
    </w:p>
    <w:p>
      <w:pPr>
        <w:spacing w:after="0" w:line="91"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results failing to meet the expectation of securities analysts or investors in a particular period;</w:t>
      </w:r>
    </w:p>
    <w:p>
      <w:pPr>
        <w:spacing w:after="0" w:line="30" w:lineRule="exact"/>
        <w:rPr>
          <w:rFonts w:ascii="Times New Roman" w:cs="Times New Roman" w:eastAsia="Times New Roman" w:hAnsi="Times New Roman"/>
          <w:sz w:val="14"/>
          <w:szCs w:val="14"/>
          <w:color w:val="auto"/>
        </w:rPr>
      </w:pPr>
    </w:p>
    <w:p>
      <w:pPr>
        <w:ind w:left="1720" w:right="153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achievement of objectives under our business plan and the timing and amount of costs we incur in connection therewith;</w:t>
      </w:r>
    </w:p>
    <w:p>
      <w:pPr>
        <w:spacing w:after="0" w:line="40" w:lineRule="exact"/>
        <w:rPr>
          <w:rFonts w:ascii="Times New Roman" w:cs="Times New Roman" w:eastAsia="Times New Roman" w:hAnsi="Times New Roman"/>
          <w:sz w:val="14"/>
          <w:szCs w:val="14"/>
          <w:color w:val="auto"/>
        </w:rPr>
      </w:pPr>
    </w:p>
    <w:p>
      <w:pPr>
        <w:ind w:left="1720" w:right="167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market in general;</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stock price performance of other companies that investors deem comparable to ours;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reaction to any of our strategic partners;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or investigations involving us;</w:t>
      </w:r>
    </w:p>
    <w:p>
      <w:pPr>
        <w:spacing w:after="0" w:line="91"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40"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our common stock available for public sale, including as a result of conversion of our Convertible Senior Notes or our Redeemable Convertible Preferred Stock;</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 in our Board or management;</w:t>
      </w:r>
    </w:p>
    <w:p>
      <w:pPr>
        <w:spacing w:after="0" w:line="91" w:lineRule="exact"/>
        <w:rPr>
          <w:rFonts w:ascii="Times New Roman" w:cs="Times New Roman" w:eastAsia="Times New Roman" w:hAnsi="Times New Roman"/>
          <w:sz w:val="14"/>
          <w:szCs w:val="14"/>
          <w:color w:val="auto"/>
        </w:rPr>
      </w:pPr>
    </w:p>
    <w:p>
      <w:pPr>
        <w:ind w:left="1720" w:right="203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our common stock by our directors, officers or significant stockholders or the perception that such sales could occur;</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58"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uncertainties in trade policies, the imposition or proposed imposition of tariffs, export controls, threat of a trade war, recessions, interest rate changes, inflation, bank closures and liquidity concerns at financial institutions, changes in diplomatic and trade relationships, fluctuations in foreign currency exchange rates, acts of war or terrorism, and natural disasters; and</w:t>
      </w:r>
    </w:p>
    <w:p>
      <w:pPr>
        <w:spacing w:after="0" w:line="59"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listed in this section “Risk Factors.”</w:t>
      </w:r>
    </w:p>
    <w:p>
      <w:pPr>
        <w:spacing w:after="0" w:line="123"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global or regional conflicts and other geopolitical events, natural disasters, and any other global pandemics, as well as general economic, political and market conditions such as recessions, inflation, bank closures and liquidity concerns at financial institutions, 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spacing w:after="0" w:line="89"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Furthermore, the stock markets in general, and the markets for technology and EV stocks in particular, have experienced extreme volatility that has sometimes been unrelated to the operating performance of the companies. The trading price of our common stock may be adversely affected by third parties trying to drive down or drive up the market price. Short sellers and others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79"/>
        <w:spacing w:after="0" w:line="259" w:lineRule="auto"/>
        <w:rPr>
          <w:sz w:val="20"/>
          <w:szCs w:val="20"/>
          <w:color w:val="auto"/>
        </w:rPr>
      </w:pPr>
      <w:r>
        <w:rPr>
          <w:rFonts w:ascii="Times New Roman" w:cs="Times New Roman" w:eastAsia="Times New Roman" w:hAnsi="Times New Roman"/>
          <w:sz w:val="14"/>
          <w:szCs w:val="14"/>
          <w:color w:val="auto"/>
        </w:rPr>
        <w:t>of the Convertible Senior Notes may impact the market price of our common stock, in particular during any redemption conversion period in connection with a redemption of the Convertible Senior Notes or any observation period for a conversion of the Convertible Senior Notes.</w:t>
      </w:r>
    </w:p>
    <w:p>
      <w:pPr>
        <w:spacing w:after="0" w:line="78"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47" w:lineRule="exact"/>
        <w:rPr>
          <w:sz w:val="20"/>
          <w:szCs w:val="20"/>
          <w:color w:val="auto"/>
        </w:rPr>
      </w:pPr>
    </w:p>
    <w:p>
      <w:pPr>
        <w:ind w:left="1300" w:right="13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substantial indebtedness could adversely affect our financial condition and our ability to raise additional capital to fund our operations and limit our ability to react to changes in the economy.</w:t>
      </w:r>
    </w:p>
    <w:p>
      <w:pPr>
        <w:spacing w:after="0" w:line="71" w:lineRule="exact"/>
        <w:rPr>
          <w:sz w:val="20"/>
          <w:szCs w:val="20"/>
          <w:color w:val="auto"/>
        </w:rPr>
      </w:pPr>
    </w:p>
    <w:p>
      <w:pPr>
        <w:ind w:left="1300" w:right="1339" w:firstLine="280"/>
        <w:spacing w:after="0" w:line="252" w:lineRule="auto"/>
        <w:rPr>
          <w:sz w:val="20"/>
          <w:szCs w:val="20"/>
          <w:color w:val="auto"/>
        </w:rPr>
      </w:pPr>
      <w:r>
        <w:rPr>
          <w:rFonts w:ascii="Times New Roman" w:cs="Times New Roman" w:eastAsia="Times New Roman" w:hAnsi="Times New Roman"/>
          <w:sz w:val="14"/>
          <w:szCs w:val="14"/>
          <w:color w:val="auto"/>
        </w:rPr>
        <w:t>We are a highly leveraged company. As of December 31, 2025, we and our subsidiaries had approximately $2.7 billion of indebtedness for borrowed money and we and our subsidiaries had availability of approximately $2.4 billion under the existing loan agreements and credit facilities subject to certain covenants.</w:t>
      </w:r>
    </w:p>
    <w:p>
      <w:pPr>
        <w:spacing w:after="0" w:line="25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substantial indebtedness could have important consequences to you. For example, it could:</w:t>
      </w:r>
    </w:p>
    <w:p>
      <w:pPr>
        <w:spacing w:after="0" w:line="91" w:lineRule="exact"/>
        <w:rPr>
          <w:sz w:val="20"/>
          <w:szCs w:val="20"/>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general adverse economic and industry conditions;</w:t>
      </w:r>
    </w:p>
    <w:p>
      <w:pPr>
        <w:spacing w:after="0" w:line="91" w:lineRule="exact"/>
        <w:rPr>
          <w:rFonts w:ascii="Times New Roman" w:cs="Times New Roman" w:eastAsia="Times New Roman" w:hAnsi="Times New Roman"/>
          <w:sz w:val="14"/>
          <w:szCs w:val="14"/>
          <w:color w:val="auto"/>
        </w:rPr>
      </w:pPr>
    </w:p>
    <w:p>
      <w:pPr>
        <w:jc w:val="both"/>
        <w:ind w:left="1720" w:right="1659" w:hanging="131"/>
        <w:spacing w:after="0" w:line="267"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40"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in planning for, or reacting to, changes in our business and the industry in which we operate;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 compared to our competitors that have less debt; and</w:t>
      </w:r>
    </w:p>
    <w:p>
      <w:pPr>
        <w:spacing w:after="0" w:line="91"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obtain additional financing for working capital, capital expenditures, acquisitions or general corporate purposes.</w:t>
      </w:r>
    </w:p>
    <w:p>
      <w:pPr>
        <w:spacing w:after="0" w:line="123" w:lineRule="exact"/>
        <w:rPr>
          <w:sz w:val="20"/>
          <w:szCs w:val="20"/>
          <w:color w:val="auto"/>
        </w:rPr>
      </w:pPr>
    </w:p>
    <w:p>
      <w:pPr>
        <w:ind w:left="1300" w:right="145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78" w:lineRule="exact"/>
        <w:rPr>
          <w:sz w:val="20"/>
          <w:szCs w:val="20"/>
          <w:color w:val="auto"/>
        </w:rPr>
      </w:pPr>
    </w:p>
    <w:p>
      <w:pPr>
        <w:ind w:left="1300" w:right="1339" w:firstLine="280"/>
        <w:spacing w:after="0" w:line="241" w:lineRule="auto"/>
        <w:rPr>
          <w:sz w:val="20"/>
          <w:szCs w:val="20"/>
          <w:color w:val="auto"/>
        </w:rPr>
      </w:pPr>
      <w:r>
        <w:rPr>
          <w:rFonts w:ascii="Times New Roman" w:cs="Times New Roman" w:eastAsia="Times New Roman" w:hAnsi="Times New Roman"/>
          <w:sz w:val="14"/>
          <w:szCs w:val="14"/>
          <w:color w:val="auto"/>
        </w:rPr>
        <w:t>As of March 31, 2026, PIF, both directly and indirectly through Ayar, held over 50% of the voting power for the election of our directors.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eight directors to our Board.</w:t>
      </w:r>
    </w:p>
    <w:p>
      <w:pPr>
        <w:spacing w:after="0" w:line="260" w:lineRule="exact"/>
        <w:rPr>
          <w:sz w:val="20"/>
          <w:szCs w:val="20"/>
          <w:color w:val="auto"/>
        </w:rPr>
      </w:pPr>
    </w:p>
    <w:p>
      <w:pPr>
        <w:ind w:left="1300" w:right="1419" w:firstLine="280"/>
        <w:spacing w:after="0" w:line="245" w:lineRule="auto"/>
        <w:rPr>
          <w:sz w:val="20"/>
          <w:szCs w:val="20"/>
          <w:color w:val="auto"/>
        </w:rPr>
      </w:pPr>
      <w:r>
        <w:rPr>
          <w:rFonts w:ascii="Times New Roman" w:cs="Times New Roman" w:eastAsia="Times New Roman" w:hAnsi="Times New Roman"/>
          <w:sz w:val="14"/>
          <w:szCs w:val="14"/>
          <w:color w:val="auto"/>
        </w:rPr>
        <w:t>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Further, Ayar is entitled to receive additional shares of our common stock under the prepaid forward transactions that Ayar entered into with a forward counterparty that is an affiliate of one of the initial purchasers of the 2030 Convertible Notes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79"/>
        <w:spacing w:after="0" w:line="258" w:lineRule="auto"/>
        <w:rPr>
          <w:sz w:val="20"/>
          <w:szCs w:val="20"/>
          <w:color w:val="auto"/>
        </w:rPr>
      </w:pPr>
      <w:r>
        <w:rPr>
          <w:rFonts w:ascii="Times New Roman" w:cs="Times New Roman" w:eastAsia="Times New Roman" w:hAnsi="Times New Roman"/>
          <w:sz w:val="14"/>
          <w:szCs w:val="14"/>
          <w:color w:val="auto"/>
        </w:rPr>
        <w:t>and the 2031 Convertible Notes. This concentration of ownership and voting power allows Ayar to exercise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w:t>
      </w:r>
    </w:p>
    <w:p>
      <w:pPr>
        <w:spacing w:after="0" w:line="91" w:lineRule="exact"/>
        <w:rPr>
          <w:sz w:val="20"/>
          <w:szCs w:val="20"/>
          <w:color w:val="auto"/>
        </w:rPr>
      </w:pPr>
    </w:p>
    <w:p>
      <w:pPr>
        <w:ind w:left="1300" w:right="1339" w:firstLine="280"/>
        <w:spacing w:after="0" w:line="257" w:lineRule="auto"/>
        <w:rPr>
          <w:sz w:val="20"/>
          <w:szCs w:val="20"/>
          <w:color w:val="auto"/>
        </w:rPr>
      </w:pPr>
      <w:r>
        <w:rPr>
          <w:rFonts w:ascii="Times New Roman" w:cs="Times New Roman" w:eastAsia="Times New Roman" w:hAnsi="Times New Roman"/>
          <w:sz w:val="14"/>
          <w:szCs w:val="14"/>
          <w:color w:val="auto"/>
        </w:rPr>
        <w:t>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419" w:firstLine="280"/>
        <w:spacing w:after="0" w:line="261" w:lineRule="auto"/>
        <w:rPr>
          <w:sz w:val="20"/>
          <w:szCs w:val="20"/>
          <w:color w:val="auto"/>
        </w:rPr>
      </w:pPr>
      <w:r>
        <w:rPr>
          <w:rFonts w:ascii="Times New Roman" w:cs="Times New Roman" w:eastAsia="Times New Roman" w:hAnsi="Times New Roman"/>
          <w:sz w:val="14"/>
          <w:szCs w:val="14"/>
          <w:color w:val="auto"/>
        </w:rPr>
        <w:t>We estimate that the net proceeds from the sale of our common stock in this offering will be approximately $291.5 million, after deducting the estimated expenses of this offering. We intend to use the net proceeds from the sale of our common stock in this offering for general corporate purposes, including capital expenditures and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25" w:lineRule="exact"/>
        <w:rPr>
          <w:sz w:val="20"/>
          <w:szCs w:val="20"/>
          <w:color w:val="auto"/>
        </w:rPr>
      </w:pPr>
    </w:p>
    <w:p>
      <w:pPr>
        <w:ind w:left="1300" w:right="1359" w:firstLine="280"/>
        <w:spacing w:after="0" w:line="257" w:lineRule="auto"/>
        <w:rPr>
          <w:sz w:val="20"/>
          <w:szCs w:val="20"/>
          <w:color w:val="auto"/>
        </w:rPr>
      </w:pPr>
      <w:r>
        <w:rPr>
          <w:rFonts w:ascii="Times New Roman" w:cs="Times New Roman" w:eastAsia="Times New Roman" w:hAnsi="Times New Roman"/>
          <w:sz w:val="14"/>
          <w:szCs w:val="14"/>
          <w:color w:val="auto"/>
        </w:rPr>
        <w:t>We have not paid any cash dividends on our common stock to date and we do not anticipate declaring any cash dividends in the foreseeable future. The payment of cash dividends in the future is dependent upon our revenues and earnings, if any, capital requirements, the terms of any indebtedness and general financial condition. Both of our ABL Credit Facility and DDTL Credit Facility contain restrictions on our ability to pay dividends. In addition, the Board is not currently contemplating and does not anticipate declaring any stock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25" w:lineRule="exact"/>
        <w:rPr>
          <w:sz w:val="20"/>
          <w:szCs w:val="20"/>
          <w:color w:val="auto"/>
        </w:rPr>
      </w:pPr>
    </w:p>
    <w:p>
      <w:pPr>
        <w:ind w:left="1300" w:right="1959" w:firstLine="280"/>
        <w:spacing w:after="0" w:line="283" w:lineRule="auto"/>
        <w:rPr>
          <w:sz w:val="20"/>
          <w:szCs w:val="20"/>
          <w:color w:val="auto"/>
        </w:rPr>
      </w:pPr>
      <w:r>
        <w:rPr>
          <w:rFonts w:ascii="Times New Roman" w:cs="Times New Roman" w:eastAsia="Times New Roman" w:hAnsi="Times New Roman"/>
          <w:sz w:val="14"/>
          <w:szCs w:val="14"/>
          <w:color w:val="auto"/>
        </w:rPr>
        <w:t>The following table sets forth our cash, cash equivalents and short-term investments, and our capitalization as of December 31, 2025:</w:t>
      </w:r>
    </w:p>
    <w:p>
      <w:pPr>
        <w:spacing w:after="0" w:line="41" w:lineRule="exact"/>
        <w:rPr>
          <w:sz w:val="20"/>
          <w:szCs w:val="20"/>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w:t>
      </w:r>
    </w:p>
    <w:p>
      <w:pPr>
        <w:spacing w:after="0" w:line="91" w:lineRule="exact"/>
        <w:rPr>
          <w:rFonts w:ascii="Times New Roman" w:cs="Times New Roman" w:eastAsia="Times New Roman" w:hAnsi="Times New Roman"/>
          <w:sz w:val="14"/>
          <w:szCs w:val="14"/>
          <w:color w:val="auto"/>
        </w:rPr>
      </w:pPr>
    </w:p>
    <w:p>
      <w:pPr>
        <w:ind w:left="1720" w:right="153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to give effect to the PIF Private Placement, the Uber Private Placement and the DDTL Draw; and</w:t>
      </w:r>
    </w:p>
    <w:p>
      <w:pPr>
        <w:spacing w:after="0" w:line="40"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to give further effect to this offering, after deducting estimated offering expenses payable by us.</w:t>
      </w:r>
    </w:p>
    <w:p>
      <w:pPr>
        <w:spacing w:after="0" w:line="72" w:lineRule="exact"/>
        <w:rPr>
          <w:sz w:val="20"/>
          <w:szCs w:val="20"/>
          <w:color w:val="auto"/>
        </w:rPr>
      </w:pPr>
    </w:p>
    <w:p>
      <w:pPr>
        <w:ind w:left="1300" w:right="1419" w:firstLine="28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You should read this table in conjunction with the section “Management’s Discussion and Analysis of Financial Condition and Results of Operations” and our consolidated financial statements and related notes from our </w:t>
      </w:r>
      <w:hyperlink r:id="rId28">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incorporated by reference into this prospectus supplement and the accompanying prospectus.</w:t>
      </w:r>
    </w:p>
    <w:p>
      <w:pPr>
        <w:sectPr>
          <w:pgSz w:w="11900" w:h="16838" w:orient="portrait"/>
          <w:cols w:equalWidth="0" w:num="1">
            <w:col w:w="9019"/>
          </w:cols>
          <w:pgMar w:left="1440" w:top="107" w:right="1440" w:bottom="1440" w:gutter="0" w:footer="0" w:header="0"/>
        </w:sectPr>
      </w:pPr>
    </w:p>
    <w:p>
      <w:pPr>
        <w:spacing w:after="0" w:line="126" w:lineRule="exact"/>
        <w:rPr>
          <w:sz w:val="20"/>
          <w:szCs w:val="20"/>
          <w:color w:val="auto"/>
        </w:rPr>
      </w:pPr>
    </w:p>
    <w:tbl>
      <w:tblPr>
        <w:tblLayout w:type="fixed"/>
        <w:tblInd w:w="1300" w:type="dxa"/>
        <w:tblCellMar>
          <w:top w:w="0" w:type="dxa"/>
          <w:left w:w="0" w:type="dxa"/>
          <w:bottom w:w="0" w:type="dxa"/>
          <w:right w:w="0" w:type="dxa"/>
        </w:tblCellMar>
      </w:tblPr>
      <w:tr>
        <w:trPr>
          <w:trHeight w:val="148"/>
        </w:trPr>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20" w:type="dxa"/>
            <w:vAlign w:val="bottom"/>
          </w:tcPr>
          <w:p>
            <w:pPr>
              <w:ind w:left="21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315"/>
        </w:trPr>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20" w:type="dxa"/>
            <w:vAlign w:val="bottom"/>
          </w:tcPr>
          <w:p>
            <w:pPr>
              <w:ind w:left="22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313"/>
        </w:trPr>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20" w:type="dxa"/>
            <w:vAlign w:val="bottom"/>
          </w:tcPr>
          <w:p>
            <w:pPr>
              <w:ind w:left="21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0</wp:posOffset>
            </wp:positionV>
            <wp:extent cx="4058920" cy="146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4058920" cy="146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As of December 31, 2025</w:t>
            </w:r>
          </w:p>
        </w:tc>
        <w:tc>
          <w:tcPr>
            <w:tcW w:w="40" w:type="dxa"/>
            <w:vAlign w:val="bottom"/>
            <w:gridSpan w:val="2"/>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29"/>
        </w:trPr>
        <w:tc>
          <w:tcPr>
            <w:tcW w:w="1880" w:type="dxa"/>
            <w:vAlign w:val="bottom"/>
            <w:tcBorders>
              <w:top w:val="single" w:sz="8" w:color="auto"/>
            </w:tcBorders>
          </w:tcPr>
          <w:p>
            <w:pPr>
              <w:ind w:left="1360"/>
              <w:spacing w:after="0"/>
              <w:rPr>
                <w:sz w:val="20"/>
                <w:szCs w:val="20"/>
                <w:color w:val="auto"/>
              </w:rPr>
            </w:pPr>
            <w:r>
              <w:rPr>
                <w:rFonts w:ascii="Times New Roman" w:cs="Times New Roman" w:eastAsia="Times New Roman" w:hAnsi="Times New Roman"/>
                <w:sz w:val="11"/>
                <w:szCs w:val="11"/>
                <w:b w:val="1"/>
                <w:bCs w:val="1"/>
                <w:color w:val="auto"/>
                <w:w w:val="95"/>
              </w:rPr>
              <w:t>As Further</w:t>
            </w: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6"/>
        </w:trPr>
        <w:tc>
          <w:tcPr>
            <w:tcW w:w="1880" w:type="dxa"/>
            <w:vAlign w:val="bottom"/>
          </w:tcPr>
          <w:p>
            <w:pPr>
              <w:ind w:left="80"/>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Actual  </w:t>
            </w: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As Adjusted </w:t>
            </w: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Adjusted</w:t>
            </w:r>
          </w:p>
        </w:tc>
        <w:tc>
          <w:tcPr>
            <w:tcW w:w="40" w:type="dxa"/>
            <w:vAlign w:val="bottom"/>
            <w:gridSpan w:val="2"/>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29"/>
        </w:trPr>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 millions, except for share and</w:t>
            </w: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6"/>
        </w:trPr>
        <w:tc>
          <w:tcPr>
            <w:tcW w:w="1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per share amounts and footnotes)</w:t>
            </w:r>
          </w:p>
        </w:tc>
        <w:tc>
          <w:tcPr>
            <w:tcW w:w="40" w:type="dxa"/>
            <w:vAlign w:val="bottom"/>
            <w:gridSpan w:val="2"/>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-199390</wp:posOffset>
            </wp:positionV>
            <wp:extent cx="9334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-199390</wp:posOffset>
            </wp:positionV>
            <wp:extent cx="9334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93345" cy="69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780" w:space="20"/>
            <w:col w:w="3219"/>
          </w:cols>
          <w:pgMar w:left="1440" w:top="107" w:right="1440" w:bottom="1440" w:gutter="0" w:footer="0" w:header="0"/>
          <w:type w:val="continuous"/>
        </w:sectPr>
      </w:pPr>
    </w:p>
    <w:tbl>
      <w:tblPr>
        <w:tblLayout w:type="fixed"/>
        <w:tblInd w:w="13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short-term investments</w:t>
            </w:r>
          </w:p>
        </w:tc>
        <w:tc>
          <w:tcPr>
            <w:tcW w:w="1320" w:type="dxa"/>
            <w:vAlign w:val="bottom"/>
            <w:gridSpan w:val="6"/>
          </w:tcPr>
          <w:p>
            <w:pPr>
              <w:ind w:left="40"/>
              <w:spacing w:after="0" w:line="190"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1,628.9</w:t>
            </w:r>
            <w:r>
              <w:rPr>
                <w:rFonts w:ascii="Times New Roman" w:cs="Times New Roman" w:eastAsia="Times New Roman" w:hAnsi="Times New Roman"/>
                <w:sz w:val="22"/>
                <w:szCs w:val="22"/>
                <w:color w:val="auto"/>
                <w:vertAlign w:val="subscript"/>
              </w:rPr>
              <w:t>​​ ​ ​</w:t>
            </w:r>
            <w:r>
              <w:rPr>
                <w:rFonts w:ascii="Times New Roman" w:cs="Times New Roman" w:eastAsia="Times New Roman" w:hAnsi="Times New Roman"/>
                <w:sz w:val="12"/>
                <w:szCs w:val="12"/>
                <w:color w:val="auto"/>
              </w:rPr>
              <w:t>$2,878.9</w:t>
            </w:r>
          </w:p>
        </w:tc>
        <w:tc>
          <w:tcPr>
            <w:tcW w:w="760" w:type="dxa"/>
            <w:vAlign w:val="bottom"/>
            <w:gridSpan w:val="4"/>
          </w:tcPr>
          <w:p>
            <w:pPr>
              <w:jc w:val="right"/>
              <w:spacing w:after="0" w:line="190"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3,170.5</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42"/>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Debt (including current portion):</w:t>
            </w:r>
          </w:p>
        </w:tc>
        <w:tc>
          <w:tcPr>
            <w:tcW w:w="14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360" w:type="dxa"/>
            <w:vAlign w:val="bottom"/>
            <w:gridSpan w:val="2"/>
            <w:vMerge w:val="continue"/>
          </w:tcPr>
          <w:p>
            <w:pPr>
              <w:spacing w:after="0"/>
              <w:rPr>
                <w:sz w:val="14"/>
                <w:szCs w:val="1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 ​ ​</w:t>
            </w:r>
          </w:p>
        </w:tc>
        <w:tc>
          <w:tcPr>
            <w:tcW w:w="36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2026 Convertible Notes</w:t>
            </w:r>
            <w:r>
              <w:rPr>
                <w:rFonts w:ascii="Times New Roman" w:cs="Times New Roman" w:eastAsia="Times New Roman" w:hAnsi="Times New Roman"/>
                <w:sz w:val="18"/>
                <w:szCs w:val="18"/>
                <w:color w:val="auto"/>
                <w:vertAlign w:val="superscript"/>
              </w:rPr>
              <w:t>(1)</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204.3​​ ​ ​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2030 Convertible Notes</w:t>
            </w:r>
            <w:r>
              <w:rPr>
                <w:rFonts w:ascii="Times New Roman" w:cs="Times New Roman" w:eastAsia="Times New Roman" w:hAnsi="Times New Roman"/>
                <w:sz w:val="18"/>
                <w:szCs w:val="18"/>
                <w:color w:val="auto"/>
                <w:vertAlign w:val="superscript"/>
              </w:rPr>
              <w:t>(2)</w:t>
            </w:r>
          </w:p>
        </w:tc>
        <w:tc>
          <w:tcPr>
            <w:tcW w:w="132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 ​​ ​1,100.0​​ ​ ​ ​1,100.0</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​1,100.0</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2031 Convertible Notes</w:t>
            </w:r>
            <w:r>
              <w:rPr>
                <w:rFonts w:ascii="Times New Roman" w:cs="Times New Roman" w:eastAsia="Times New Roman" w:hAnsi="Times New Roman"/>
                <w:sz w:val="18"/>
                <w:szCs w:val="18"/>
                <w:color w:val="auto"/>
                <w:vertAlign w:val="superscript"/>
              </w:rPr>
              <w:t>(3)</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975.0​​ ​ ​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ABL Credit Facility</w:t>
            </w:r>
            <w:r>
              <w:rPr>
                <w:rFonts w:ascii="Times New Roman" w:cs="Times New Roman" w:eastAsia="Times New Roman" w:hAnsi="Times New Roman"/>
                <w:sz w:val="18"/>
                <w:szCs w:val="18"/>
                <w:color w:val="auto"/>
                <w:vertAlign w:val="superscript"/>
              </w:rPr>
              <w:t>(4)</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 ​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GIB Credit Facility</w:t>
            </w:r>
            <w:r>
              <w:rPr>
                <w:rFonts w:ascii="Times New Roman" w:cs="Times New Roman" w:eastAsia="Times New Roman" w:hAnsi="Times New Roman"/>
                <w:sz w:val="18"/>
                <w:szCs w:val="18"/>
                <w:color w:val="auto"/>
                <w:vertAlign w:val="superscript"/>
              </w:rPr>
              <w:t>(5)</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468.0​​ ​ ​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DDTL Credit Facility</w:t>
            </w:r>
            <w:r>
              <w:rPr>
                <w:rFonts w:ascii="Times New Roman" w:cs="Times New Roman" w:eastAsia="Times New Roman" w:hAnsi="Times New Roman"/>
                <w:sz w:val="18"/>
                <w:szCs w:val="18"/>
                <w:color w:val="auto"/>
                <w:vertAlign w:val="superscript"/>
              </w:rPr>
              <w:t>(6)</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 ​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SIDF Loan</w:t>
            </w:r>
            <w:r>
              <w:rPr>
                <w:rFonts w:ascii="Times New Roman" w:cs="Times New Roman" w:eastAsia="Times New Roman" w:hAnsi="Times New Roman"/>
                <w:sz w:val="18"/>
                <w:szCs w:val="18"/>
                <w:color w:val="auto"/>
                <w:vertAlign w:val="superscript"/>
              </w:rPr>
              <w:t>(7)</w:t>
            </w:r>
          </w:p>
        </w:tc>
        <w:tc>
          <w:tcPr>
            <w:tcW w:w="280" w:type="dxa"/>
            <w:vAlign w:val="bottom"/>
            <w:gridSpan w:val="2"/>
          </w:tcPr>
          <w:p>
            <w:pPr>
              <w:ind w:left="40"/>
              <w:spacing w:after="0" w:line="21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80" w:type="dxa"/>
            <w:vAlign w:val="bottom"/>
            <w:gridSpan w:val="3"/>
          </w:tcPr>
          <w:p>
            <w:pPr>
              <w:jc w:val="right"/>
              <w:ind w:right="40"/>
              <w:spacing w:after="0" w:line="210"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4"/>
                <w:szCs w:val="24"/>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40"/>
              <w:spacing w:after="0" w:line="21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42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debt</w:t>
            </w:r>
          </w:p>
        </w:tc>
        <w:tc>
          <w:tcPr>
            <w:tcW w:w="1320" w:type="dxa"/>
            <w:vAlign w:val="bottom"/>
            <w:gridSpan w:val="6"/>
          </w:tcPr>
          <w:p>
            <w:pPr>
              <w:ind w:left="40"/>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color w:val="auto"/>
              </w:rPr>
              <w:t xml:space="preserve"> ​2,747.3</w:t>
            </w:r>
            <w:r>
              <w:rPr>
                <w:rFonts w:ascii="Times New Roman" w:cs="Times New Roman" w:eastAsia="Times New Roman" w:hAnsi="Times New Roman"/>
                <w:sz w:val="23"/>
                <w:szCs w:val="23"/>
                <w:color w:val="auto"/>
                <w:vertAlign w:val="subscript"/>
              </w:rPr>
              <w:t>​​ ​ ​</w:t>
            </w:r>
            <w:r>
              <w:rPr>
                <w:rFonts w:ascii="Times New Roman" w:cs="Times New Roman" w:eastAsia="Times New Roman" w:hAnsi="Times New Roman"/>
                <w:sz w:val="12"/>
                <w:szCs w:val="12"/>
                <w:color w:val="auto"/>
              </w:rPr>
              <w:t xml:space="preserve"> ​3,247.3</w:t>
            </w:r>
          </w:p>
        </w:tc>
        <w:tc>
          <w:tcPr>
            <w:tcW w:w="760" w:type="dxa"/>
            <w:vAlign w:val="bottom"/>
            <w:gridSpan w:val="4"/>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color w:val="auto"/>
              </w:rPr>
              <w:t xml:space="preserve"> ​3,247.3</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vMerge w:val="continue"/>
          </w:tcPr>
          <w:p>
            <w:pPr>
              <w:spacing w:after="0"/>
              <w:rPr>
                <w:sz w:val="16"/>
                <w:szCs w:val="16"/>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 ​ ​</w:t>
            </w:r>
          </w:p>
        </w:tc>
        <w:tc>
          <w:tcPr>
            <w:tcW w:w="360" w:type="dxa"/>
            <w:vAlign w:val="bottom"/>
          </w:tcPr>
          <w:p>
            <w:pPr>
              <w:spacing w:after="0"/>
              <w:rPr>
                <w:sz w:val="16"/>
                <w:szCs w:val="16"/>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3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-1247775</wp:posOffset>
            </wp:positionV>
            <wp:extent cx="4058920" cy="140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4058920" cy="14033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-967105</wp:posOffset>
            </wp:positionV>
            <wp:extent cx="4058920" cy="140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4058920" cy="14033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-687070</wp:posOffset>
            </wp:positionV>
            <wp:extent cx="4058920" cy="140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4058920" cy="14033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-406400</wp:posOffset>
            </wp:positionV>
            <wp:extent cx="4058920" cy="407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4058920" cy="4070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p>
      <w:pPr>
        <w:spacing w:after="0" w:line="6" w:lineRule="exact"/>
        <w:rPr>
          <w:sz w:val="20"/>
          <w:szCs w:val="20"/>
          <w:color w:val="auto"/>
        </w:rPr>
      </w:pPr>
    </w:p>
    <w:p>
      <w:pPr>
        <w:ind w:left="1580" w:hanging="139"/>
        <w:spacing w:after="0" w:line="253" w:lineRule="auto"/>
        <w:rPr>
          <w:sz w:val="20"/>
          <w:szCs w:val="20"/>
          <w:color w:val="auto"/>
        </w:rPr>
      </w:pPr>
      <w:r>
        <w:rPr>
          <w:rFonts w:ascii="Times New Roman" w:cs="Times New Roman" w:eastAsia="Times New Roman" w:hAnsi="Times New Roman"/>
          <w:sz w:val="14"/>
          <w:szCs w:val="14"/>
          <w:color w:val="auto"/>
        </w:rPr>
        <w:t>Preferred stock, 10,000,000 shares authorized, actual, as adjusted and as further adjusted, Series A redeemable convertible preferred stock, $0.0001 par value per share; 100,000 shares issued and outstanding, actual, as adjusted and as further adjusted (related party)</w:t>
      </w:r>
      <w:r>
        <w:rPr>
          <w:rFonts w:ascii="Times New Roman" w:cs="Times New Roman" w:eastAsia="Times New Roman" w:hAnsi="Times New Roman"/>
          <w:sz w:val="18"/>
          <w:szCs w:val="18"/>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-11430</wp:posOffset>
            </wp:positionV>
            <wp:extent cx="4058920" cy="454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4058920" cy="454025"/>
                    </a:xfrm>
                    <a:prstGeom prst="rect">
                      <a:avLst/>
                    </a:prstGeom>
                    <a:noFill/>
                  </pic:spPr>
                </pic:pic>
              </a:graphicData>
            </a:graphic>
          </wp:anchor>
        </w:drawing>
      </w:r>
    </w:p>
    <w:p>
      <w:pPr>
        <w:ind w:left="1580" w:hanging="139"/>
        <w:spacing w:after="0" w:line="248" w:lineRule="auto"/>
        <w:rPr>
          <w:sz w:val="20"/>
          <w:szCs w:val="20"/>
          <w:color w:val="auto"/>
        </w:rPr>
      </w:pPr>
      <w:r>
        <w:rPr>
          <w:rFonts w:ascii="Times New Roman" w:cs="Times New Roman" w:eastAsia="Times New Roman" w:hAnsi="Times New Roman"/>
          <w:sz w:val="14"/>
          <w:szCs w:val="14"/>
          <w:color w:val="auto"/>
        </w:rPr>
        <w:t>Preferred stock, 10,000,000 shares authorized, actual, as adjusted and as further adjusted, Series B redeemable convertible preferred stock, $0.0001 par value per share; 75,000 shares issued and outstanding, actual, as adjusted and as further adjusted (related party)</w:t>
      </w:r>
      <w:r>
        <w:rPr>
          <w:rFonts w:ascii="Times New Roman" w:cs="Times New Roman" w:eastAsia="Times New Roman" w:hAnsi="Times New Roman"/>
          <w:sz w:val="18"/>
          <w:szCs w:val="18"/>
          <w:color w:val="auto"/>
          <w:vertAlign w:val="superscript"/>
        </w:rPr>
        <w:t>(9)</w:t>
      </w:r>
    </w:p>
    <w:p>
      <w:pPr>
        <w:spacing w:after="0" w:line="2" w:lineRule="exact"/>
        <w:rPr>
          <w:sz w:val="20"/>
          <w:szCs w:val="20"/>
          <w:color w:val="auto"/>
        </w:rPr>
      </w:pPr>
    </w:p>
    <w:p>
      <w:pPr>
        <w:ind w:left="1580" w:hanging="139"/>
        <w:spacing w:after="0" w:line="247" w:lineRule="auto"/>
        <w:rPr>
          <w:sz w:val="20"/>
          <w:szCs w:val="20"/>
          <w:color w:val="auto"/>
        </w:rPr>
      </w:pPr>
      <w:r>
        <w:rPr>
          <w:rFonts w:ascii="Times New Roman" w:cs="Times New Roman" w:eastAsia="Times New Roman" w:hAnsi="Times New Roman"/>
          <w:sz w:val="14"/>
          <w:szCs w:val="14"/>
          <w:color w:val="auto"/>
        </w:rPr>
        <w:t>Preferred stock, 10,000,000 shares authorized, actual, as adjusted and as further adjusted, Series C redeemable convertible preferred stock, $0.0001 par value per share; 0 share issued and outstanding, actual; 55,000 shares issued and outstanding, as adjusted; 55,000 shares issued and outstanding, as further adjusted (related party)</w:t>
      </w:r>
      <w:r>
        <w:rPr>
          <w:rFonts w:ascii="Times New Roman" w:cs="Times New Roman" w:eastAsia="Times New Roman" w:hAnsi="Times New Roman"/>
          <w:sz w:val="18"/>
          <w:szCs w:val="18"/>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-1905</wp:posOffset>
            </wp:positionV>
            <wp:extent cx="4058920" cy="140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4058920" cy="140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​1,339.6​​ ​ ​ ​1,339.6 ​​ ​​ ​1,339.6</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 943.8​​ ​ ​ ​ 943.8 ​​ ​​ ​ 943.8</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 ​​ ​</w:t>
      </w:r>
      <w:r>
        <w:rPr>
          <w:sz w:val="20"/>
          <w:szCs w:val="20"/>
          <w:color w:val="auto"/>
        </w:rPr>
        <w:tab/>
      </w:r>
      <w:r>
        <w:rPr>
          <w:rFonts w:ascii="Times New Roman" w:cs="Times New Roman" w:eastAsia="Times New Roman" w:hAnsi="Times New Roman"/>
          <w:sz w:val="14"/>
          <w:szCs w:val="14"/>
          <w:color w:val="auto"/>
        </w:rPr>
        <w:t>—​​ ​ ​ ​ 550.0 ​​ ​​ ​ 550.0</w:t>
      </w:r>
      <w:r>
        <w:rPr>
          <w:rFonts w:ascii="Times New Roman" w:cs="Times New Roman" w:eastAsia="Times New Roman" w:hAnsi="Times New Roman"/>
          <w:sz w:val="14"/>
          <w:szCs w:val="14"/>
          <w:b w:val="1"/>
          <w:bCs w:val="1"/>
          <w:color w:val="auto"/>
        </w:rPr>
        <w:t>​</w:t>
      </w:r>
    </w:p>
    <w:p>
      <w:pPr>
        <w:spacing w:after="0" w:line="62" w:lineRule="exact"/>
        <w:rPr>
          <w:sz w:val="20"/>
          <w:szCs w:val="20"/>
          <w:color w:val="auto"/>
        </w:rPr>
      </w:pPr>
    </w:p>
    <w:p>
      <w:pPr>
        <w:sectPr>
          <w:pgSz w:w="11900" w:h="16838" w:orient="portrait"/>
          <w:cols w:equalWidth="0" w:num="2">
            <w:col w:w="5620" w:space="80"/>
            <w:col w:w="3319"/>
          </w:cols>
          <w:pgMar w:left="1440" w:top="107" w:right="1440" w:bottom="1440" w:gutter="0" w:footer="0" w:header="0"/>
          <w:type w:val="continuous"/>
        </w:sectPr>
      </w:pPr>
    </w:p>
    <w:tbl>
      <w:tblPr>
        <w:tblLayout w:type="fixed"/>
        <w:tblInd w:w="1320" w:type="dxa"/>
        <w:tblCellMar>
          <w:top w:w="0" w:type="dxa"/>
          <w:left w:w="0" w:type="dxa"/>
          <w:bottom w:w="0" w:type="dxa"/>
          <w:right w:w="0" w:type="dxa"/>
        </w:tblCellMar>
      </w:tblPr>
      <w:tr>
        <w:trPr>
          <w:trHeight w:val="20"/>
        </w:trPr>
        <w:tc>
          <w:tcPr>
            <w:tcW w:w="434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1"/>
        </w:trPr>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redeemable convertible preferred stock</w:t>
            </w:r>
          </w:p>
        </w:tc>
        <w:tc>
          <w:tcPr>
            <w:tcW w:w="2080" w:type="dxa"/>
            <w:vAlign w:val="bottom"/>
            <w:gridSpan w:val="7"/>
          </w:tcPr>
          <w:p>
            <w:pPr>
              <w:ind w:left="40"/>
              <w:spacing w:after="0" w:line="181" w:lineRule="exact"/>
              <w:rPr>
                <w:sz w:val="20"/>
                <w:szCs w:val="20"/>
                <w:color w:val="auto"/>
              </w:rPr>
            </w:pPr>
            <w:r>
              <w:rPr>
                <w:rFonts w:ascii="Times New Roman" w:cs="Times New Roman" w:eastAsia="Times New Roman" w:hAnsi="Times New Roman"/>
                <w:sz w:val="20"/>
                <w:szCs w:val="20"/>
                <w:color w:val="auto"/>
                <w:vertAlign w:val="subscript"/>
              </w:rPr>
              <w:t>​ ​​</w:t>
            </w:r>
            <w:r>
              <w:rPr>
                <w:rFonts w:ascii="Times New Roman" w:cs="Times New Roman" w:eastAsia="Times New Roman" w:hAnsi="Times New Roman"/>
                <w:sz w:val="11"/>
                <w:szCs w:val="11"/>
                <w:color w:val="auto"/>
              </w:rPr>
              <w:t xml:space="preserve"> ​2,283.5</w:t>
            </w:r>
            <w:r>
              <w:rPr>
                <w:rFonts w:ascii="Times New Roman" w:cs="Times New Roman" w:eastAsia="Times New Roman" w:hAnsi="Times New Roman"/>
                <w:sz w:val="20"/>
                <w:szCs w:val="20"/>
                <w:color w:val="auto"/>
                <w:vertAlign w:val="subscript"/>
              </w:rPr>
              <w:t>​​ ​ ​</w:t>
            </w:r>
            <w:r>
              <w:rPr>
                <w:rFonts w:ascii="Times New Roman" w:cs="Times New Roman" w:eastAsia="Times New Roman" w:hAnsi="Times New Roman"/>
                <w:sz w:val="11"/>
                <w:szCs w:val="11"/>
                <w:color w:val="auto"/>
              </w:rPr>
              <w:t xml:space="preserve"> ​2,833.5 </w:t>
            </w:r>
            <w:r>
              <w:rPr>
                <w:rFonts w:ascii="Times New Roman" w:cs="Times New Roman" w:eastAsia="Times New Roman" w:hAnsi="Times New Roman"/>
                <w:sz w:val="20"/>
                <w:szCs w:val="20"/>
                <w:color w:val="auto"/>
                <w:vertAlign w:val="subscript"/>
              </w:rPr>
              <w:t>​​ ​​</w:t>
            </w:r>
            <w:r>
              <w:rPr>
                <w:rFonts w:ascii="Times New Roman" w:cs="Times New Roman" w:eastAsia="Times New Roman" w:hAnsi="Times New Roman"/>
                <w:sz w:val="11"/>
                <w:szCs w:val="11"/>
                <w:color w:val="auto"/>
              </w:rPr>
              <w:t xml:space="preserve"> ​2,833.5</w:t>
            </w:r>
            <w:r>
              <w:rPr>
                <w:rFonts w:ascii="Times New Roman" w:cs="Times New Roman" w:eastAsia="Times New Roman" w:hAnsi="Times New Roman"/>
                <w:sz w:val="20"/>
                <w:szCs w:val="20"/>
                <w:b w:val="1"/>
                <w:bCs w:val="1"/>
                <w:color w:val="auto"/>
                <w:vertAlign w:val="subscript"/>
              </w:rPr>
              <w:t>​</w:t>
            </w:r>
          </w:p>
        </w:tc>
      </w:tr>
      <w:tr>
        <w:trPr>
          <w:trHeight w:val="20"/>
        </w:trPr>
        <w:tc>
          <w:tcPr>
            <w:tcW w:w="4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-6350</wp:posOffset>
            </wp:positionV>
            <wp:extent cx="1333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33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22" w:name="page23"/>
    <w:bookmarkEnd w:id="22"/>
    <w:p>
      <w:pPr>
        <w:ind w:left="3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300" w:type="dxa"/>
        <w:tblCellMar>
          <w:top w:w="0" w:type="dxa"/>
          <w:left w:w="0" w:type="dxa"/>
          <w:bottom w:w="0" w:type="dxa"/>
          <w:right w:w="0" w:type="dxa"/>
        </w:tblCellMar>
      </w:tblPr>
      <w:tr>
        <w:trPr>
          <w:trHeight w:val="179"/>
        </w:trPr>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80" w:type="dxa"/>
            <w:vAlign w:val="bottom"/>
          </w:tcPr>
          <w:p>
            <w:pPr>
              <w:ind w:left="2160"/>
              <w:spacing w:after="0"/>
              <w:rPr>
                <w:sz w:val="20"/>
                <w:szCs w:val="20"/>
                <w:color w:val="auto"/>
              </w:rPr>
            </w:pPr>
            <w:r>
              <w:rPr>
                <w:rFonts w:ascii="Times New Roman" w:cs="Times New Roman" w:eastAsia="Times New Roman" w:hAnsi="Times New Roman"/>
                <w:sz w:val="11"/>
                <w:szCs w:val="11"/>
                <w:b w:val="1"/>
                <w:bCs w:val="1"/>
                <w:color w:val="auto"/>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As of December 31, 2025</w:t>
            </w:r>
          </w:p>
        </w:tc>
      </w:tr>
      <w:tr>
        <w:trPr>
          <w:trHeight w:val="146"/>
        </w:trPr>
        <w:tc>
          <w:tcPr>
            <w:tcW w:w="2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40" w:type="dxa"/>
            <w:vAlign w:val="bottom"/>
          </w:tcPr>
          <w:p>
            <w:pPr>
              <w:ind w:left="1340"/>
              <w:spacing w:after="0"/>
              <w:rPr>
                <w:sz w:val="20"/>
                <w:szCs w:val="20"/>
                <w:color w:val="auto"/>
              </w:rPr>
            </w:pPr>
            <w:r>
              <w:rPr>
                <w:rFonts w:ascii="Times New Roman" w:cs="Times New Roman" w:eastAsia="Times New Roman" w:hAnsi="Times New Roman"/>
                <w:sz w:val="11"/>
                <w:szCs w:val="11"/>
                <w:b w:val="1"/>
                <w:bCs w:val="1"/>
                <w:color w:val="auto"/>
                <w:w w:val="91"/>
              </w:rPr>
              <w:t>As Further</w:t>
            </w:r>
          </w:p>
        </w:tc>
      </w:tr>
      <w:tr>
        <w:trPr>
          <w:trHeight w:val="189"/>
        </w:trPr>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80" w:type="dxa"/>
            <w:vAlign w:val="bottom"/>
          </w:tcPr>
          <w:p>
            <w:pPr>
              <w:ind w:left="2160"/>
              <w:spacing w:after="0"/>
              <w:rPr>
                <w:sz w:val="20"/>
                <w:szCs w:val="20"/>
                <w:color w:val="auto"/>
              </w:rPr>
            </w:pPr>
            <w:r>
              <w:rPr>
                <w:rFonts w:ascii="Times New Roman" w:cs="Times New Roman" w:eastAsia="Times New Roman" w:hAnsi="Times New Roman"/>
                <w:sz w:val="11"/>
                <w:szCs w:val="11"/>
                <w:b w:val="1"/>
                <w:bCs w:val="1"/>
                <w:color w:val="auto"/>
              </w:rPr>
              <w:t>​​</w:t>
            </w:r>
          </w:p>
        </w:tc>
        <w:tc>
          <w:tcPr>
            <w:tcW w:w="1840" w:type="dxa"/>
            <w:vAlign w:val="bottom"/>
          </w:tcPr>
          <w:p>
            <w:pPr>
              <w:ind w:left="80"/>
              <w:spacing w:after="0" w:line="190" w:lineRule="exact"/>
              <w:rPr>
                <w:sz w:val="20"/>
                <w:szCs w:val="20"/>
                <w:color w:val="auto"/>
              </w:rPr>
            </w:pPr>
            <w:r>
              <w:rPr>
                <w:rFonts w:ascii="Times New Roman" w:cs="Times New Roman" w:eastAsia="Times New Roman" w:hAnsi="Times New Roman"/>
                <w:sz w:val="11"/>
                <w:szCs w:val="11"/>
                <w:b w:val="1"/>
                <w:bCs w:val="1"/>
                <w:color w:val="auto"/>
              </w:rPr>
              <w:t xml:space="preserve">Actual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As Adjusted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Adjusted</w:t>
            </w:r>
          </w:p>
        </w:tc>
      </w:tr>
      <w:tr>
        <w:trPr>
          <w:trHeight w:val="126"/>
        </w:trPr>
        <w:tc>
          <w:tcPr>
            <w:tcW w:w="22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 millions, except for share and</w:t>
            </w:r>
          </w:p>
        </w:tc>
      </w:tr>
      <w:tr>
        <w:trPr>
          <w:trHeight w:val="145"/>
        </w:trPr>
        <w:tc>
          <w:tcPr>
            <w:tcW w:w="2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80" w:type="dxa"/>
            <w:vAlign w:val="bottom"/>
          </w:tcPr>
          <w:p>
            <w:pPr>
              <w:ind w:left="2160"/>
              <w:spacing w:after="0"/>
              <w:rPr>
                <w:sz w:val="20"/>
                <w:szCs w:val="20"/>
                <w:color w:val="auto"/>
              </w:rPr>
            </w:pPr>
            <w:r>
              <w:rPr>
                <w:rFonts w:ascii="Times New Roman" w:cs="Times New Roman" w:eastAsia="Times New Roman" w:hAnsi="Times New Roman"/>
                <w:sz w:val="11"/>
                <w:szCs w:val="11"/>
                <w:b w:val="1"/>
                <w:bCs w:val="1"/>
                <w:color w:val="auto"/>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per share amounts and footnotes)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-186055</wp:posOffset>
            </wp:positionV>
            <wp:extent cx="127508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275080" cy="698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-386715</wp:posOffset>
            </wp:positionV>
            <wp:extent cx="127508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2750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38" w:lineRule="exact"/>
        <w:rPr>
          <w:sz w:val="20"/>
          <w:szCs w:val="20"/>
          <w:color w:val="auto"/>
        </w:rPr>
      </w:pPr>
    </w:p>
    <w:p>
      <w:pPr>
        <w:sectPr>
          <w:pgSz w:w="11900" w:h="16838" w:orient="portrait"/>
          <w:cols w:equalWidth="0" w:num="2">
            <w:col w:w="7620" w:space="80"/>
            <w:col w:w="1319"/>
          </w:cols>
          <w:pgMar w:left="1440" w:top="107" w:right="1440" w:bottom="1440" w:gutter="0" w:footer="0" w:header="0"/>
          <w:type w:val="continuous"/>
        </w:sectPr>
      </w:pPr>
    </w:p>
    <w:tbl>
      <w:tblPr>
        <w:tblLayout w:type="fixed"/>
        <w:tblInd w:w="13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 $0.0001 par value per share; 1,500,000,000 shares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authorized, actual, as adjusted and as further adjusted; 327,451,844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issued and 327,366,062 shares outstanding, actual; 351,490,306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issued and 351,404,524 shares outstanding, as adjusted;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387,547,998 shares issued and 387,462,216 shares outstanding, as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further adjusted;</w:t>
            </w:r>
            <w:r>
              <w:rPr>
                <w:rFonts w:ascii="Times New Roman" w:cs="Times New Roman" w:eastAsia="Times New Roman" w:hAnsi="Times New Roman"/>
                <w:sz w:val="18"/>
                <w:szCs w:val="18"/>
                <w:color w:val="auto"/>
                <w:vertAlign w:val="superscript"/>
              </w:rPr>
              <w:t>(11)</w:t>
            </w:r>
          </w:p>
        </w:tc>
        <w:tc>
          <w:tcPr>
            <w:tcW w:w="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0.033​​​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0.035​​​​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0.039​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auto"/>
              </w:rPr>
              <w:t>​​​ ​ 16,337.0​​​ ​ 16,537.0​​​​ ​ 16,828.6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436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8"/>
          </w:tcPr>
          <w:p>
            <w:pPr>
              <w:jc w:val="right"/>
              <w:spacing w:after="0" w:line="158" w:lineRule="exact"/>
              <w:rPr>
                <w:sz w:val="20"/>
                <w:szCs w:val="20"/>
                <w:color w:val="auto"/>
              </w:rPr>
            </w:pPr>
            <w:r>
              <w:rPr>
                <w:rFonts w:ascii="Times New Roman" w:cs="Times New Roman" w:eastAsia="Times New Roman" w:hAnsi="Times New Roman"/>
                <w:sz w:val="14"/>
                <w:szCs w:val="14"/>
                <w:color w:val="auto"/>
              </w:rPr>
              <w:t>​(15,610.7) ​(15,610.7)  ​(15,610.7)</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tcPr>
          <w:p>
            <w:pPr>
              <w:jc w:val="right"/>
              <w:ind w:right="120"/>
              <w:spacing w:after="0" w:line="53" w:lineRule="exact"/>
              <w:rPr>
                <w:sz w:val="20"/>
                <w:szCs w:val="20"/>
                <w:color w:val="auto"/>
              </w:rPr>
            </w:pPr>
            <w:r>
              <w:rPr>
                <w:rFonts w:ascii="Times New Roman" w:cs="Times New Roman" w:eastAsia="Times New Roman" w:hAnsi="Times New Roman"/>
                <w:sz w:val="6"/>
                <w:szCs w:val="6"/>
                <w:color w:val="auto"/>
              </w:rPr>
              <w:t>​​​</w:t>
            </w:r>
          </w:p>
        </w:tc>
        <w:tc>
          <w:tcPr>
            <w:tcW w:w="700" w:type="dxa"/>
            <w:vAlign w:val="bottom"/>
            <w:gridSpan w:val="2"/>
          </w:tcPr>
          <w:p>
            <w:pPr>
              <w:jc w:val="right"/>
              <w:ind w:right="140"/>
              <w:spacing w:after="0" w:line="53"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tcPr>
          <w:p>
            <w:pPr>
              <w:spacing w:after="0"/>
              <w:rPr>
                <w:sz w:val="4"/>
                <w:szCs w:val="4"/>
                <w:color w:val="auto"/>
              </w:rPr>
            </w:pPr>
          </w:p>
        </w:tc>
        <w:tc>
          <w:tcPr>
            <w:tcW w:w="40" w:type="dxa"/>
            <w:vAlign w:val="bottom"/>
          </w:tcPr>
          <w:p>
            <w:pPr>
              <w:jc w:val="right"/>
              <w:spacing w:after="0" w:line="53"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680" w:type="dxa"/>
            <w:vAlign w:val="bottom"/>
            <w:gridSpan w:val="3"/>
            <w:shd w:val="clear" w:color="auto" w:fill="CCEEFF"/>
          </w:tcPr>
          <w:p>
            <w:pPr>
              <w:jc w:val="right"/>
              <w:ind w:right="40"/>
              <w:spacing w:after="0" w:line="201" w:lineRule="exact"/>
              <w:rPr>
                <w:sz w:val="20"/>
                <w:szCs w:val="20"/>
                <w:color w:val="auto"/>
              </w:rPr>
            </w:pPr>
            <w:r>
              <w:rPr>
                <w:rFonts w:ascii="Times New Roman" w:cs="Times New Roman" w:eastAsia="Times New Roman" w:hAnsi="Times New Roman"/>
                <w:sz w:val="12"/>
                <w:szCs w:val="12"/>
                <w:color w:val="auto"/>
              </w:rPr>
              <w:t>717.3</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w:t>
            </w:r>
          </w:p>
        </w:tc>
        <w:tc>
          <w:tcPr>
            <w:tcW w:w="700" w:type="dxa"/>
            <w:vAlign w:val="bottom"/>
            <w:gridSpan w:val="2"/>
            <w:shd w:val="clear" w:color="auto" w:fill="CCEEFF"/>
          </w:tcPr>
          <w:p>
            <w:pPr>
              <w:jc w:val="right"/>
              <w:ind w:right="60"/>
              <w:spacing w:after="0" w:line="201" w:lineRule="exact"/>
              <w:rPr>
                <w:sz w:val="20"/>
                <w:szCs w:val="20"/>
                <w:color w:val="auto"/>
              </w:rPr>
            </w:pPr>
            <w:r>
              <w:rPr>
                <w:rFonts w:ascii="Times New Roman" w:cs="Times New Roman" w:eastAsia="Times New Roman" w:hAnsi="Times New Roman"/>
                <w:sz w:val="12"/>
                <w:szCs w:val="12"/>
                <w:color w:val="auto"/>
              </w:rPr>
              <w:t>917.3</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capitalization</w:t>
            </w:r>
          </w:p>
        </w:tc>
        <w:tc>
          <w:tcPr>
            <w:tcW w:w="120" w:type="dxa"/>
            <w:vAlign w:val="bottom"/>
            <w:gridSpan w:val="2"/>
          </w:tcPr>
          <w:p>
            <w:pPr>
              <w:spacing w:after="0" w:line="190"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22"/>
                <w:szCs w:val="22"/>
                <w:color w:val="auto"/>
                <w:vertAlign w:val="superscript"/>
              </w:rPr>
              <w:t>$</w:t>
            </w:r>
          </w:p>
        </w:tc>
        <w:tc>
          <w:tcPr>
            <w:tcW w:w="80" w:type="dxa"/>
            <w:vAlign w:val="bottom"/>
          </w:tcPr>
          <w:p>
            <w:pPr>
              <w:spacing w:after="0"/>
              <w:rPr>
                <w:sz w:val="17"/>
                <w:szCs w:val="17"/>
                <w:color w:val="auto"/>
              </w:rPr>
            </w:pPr>
          </w:p>
        </w:tc>
        <w:tc>
          <w:tcPr>
            <w:tcW w:w="680" w:type="dxa"/>
            <w:vAlign w:val="bottom"/>
            <w:gridSpan w:val="3"/>
          </w:tcPr>
          <w:p>
            <w:pPr>
              <w:jc w:val="right"/>
              <w:ind w:right="80"/>
              <w:spacing w:after="0" w:line="190" w:lineRule="exact"/>
              <w:rPr>
                <w:sz w:val="20"/>
                <w:szCs w:val="20"/>
                <w:color w:val="auto"/>
              </w:rPr>
            </w:pPr>
            <w:r>
              <w:rPr>
                <w:rFonts w:ascii="Times New Roman" w:cs="Times New Roman" w:eastAsia="Times New Roman" w:hAnsi="Times New Roman"/>
                <w:sz w:val="12"/>
                <w:szCs w:val="12"/>
                <w:color w:val="auto"/>
              </w:rPr>
              <w:t>5,748.1</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w:t>
            </w:r>
          </w:p>
        </w:tc>
        <w:tc>
          <w:tcPr>
            <w:tcW w:w="700" w:type="dxa"/>
            <w:vAlign w:val="bottom"/>
            <w:gridSpan w:val="2"/>
          </w:tcPr>
          <w:p>
            <w:pPr>
              <w:jc w:val="right"/>
              <w:ind w:right="80"/>
              <w:spacing w:after="0" w:line="190" w:lineRule="exact"/>
              <w:rPr>
                <w:sz w:val="20"/>
                <w:szCs w:val="20"/>
                <w:color w:val="auto"/>
              </w:rPr>
            </w:pPr>
            <w:r>
              <w:rPr>
                <w:rFonts w:ascii="Times New Roman" w:cs="Times New Roman" w:eastAsia="Times New Roman" w:hAnsi="Times New Roman"/>
                <w:sz w:val="12"/>
                <w:szCs w:val="12"/>
                <w:color w:val="auto"/>
              </w:rPr>
              <w:t>6,998.1</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w:t>
            </w:r>
          </w:p>
        </w:tc>
        <w:tc>
          <w:tcPr>
            <w:tcW w:w="50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2"/>
                <w:szCs w:val="12"/>
                <w:color w:val="auto"/>
              </w:rPr>
              <w:t>7,289.6</w:t>
            </w:r>
            <w:r>
              <w:rPr>
                <w:rFonts w:ascii="Times New Roman" w:cs="Times New Roman" w:eastAsia="Times New Roman" w:hAnsi="Times New Roman"/>
                <w:sz w:val="22"/>
                <w:szCs w:val="22"/>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-166370</wp:posOffset>
            </wp:positionV>
            <wp:extent cx="3365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-306705</wp:posOffset>
            </wp:positionV>
            <wp:extent cx="366458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3664585" cy="698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120015</wp:posOffset>
            </wp:positionV>
            <wp:extent cx="96139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70" w:lineRule="exact"/>
        <w:rPr>
          <w:sz w:val="20"/>
          <w:szCs w:val="20"/>
          <w:color w:val="auto"/>
        </w:rPr>
      </w:pPr>
    </w:p>
    <w:p>
      <w:pPr>
        <w:ind w:left="1580" w:hanging="272"/>
        <w:spacing w:after="0"/>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outstanding principal amount.</w:t>
      </w:r>
    </w:p>
    <w:p>
      <w:pPr>
        <w:spacing w:after="0" w:line="70" w:lineRule="exact"/>
        <w:rPr>
          <w:rFonts w:ascii="Times New Roman" w:cs="Times New Roman" w:eastAsia="Times New Roman" w:hAnsi="Times New Roman"/>
          <w:sz w:val="14"/>
          <w:szCs w:val="14"/>
          <w:color w:val="auto"/>
        </w:rPr>
      </w:pPr>
    </w:p>
    <w:p>
      <w:pPr>
        <w:ind w:left="1580" w:hanging="272"/>
        <w:spacing w:after="0"/>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outstanding principal amount.</w:t>
      </w:r>
    </w:p>
    <w:p>
      <w:pPr>
        <w:spacing w:after="0" w:line="59" w:lineRule="exact"/>
        <w:rPr>
          <w:rFonts w:ascii="Times New Roman" w:cs="Times New Roman" w:eastAsia="Times New Roman" w:hAnsi="Times New Roman"/>
          <w:sz w:val="14"/>
          <w:szCs w:val="14"/>
          <w:color w:val="auto"/>
        </w:rPr>
      </w:pPr>
    </w:p>
    <w:p>
      <w:pPr>
        <w:ind w:left="1580" w:hanging="272"/>
        <w:spacing w:after="0"/>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outstanding principal amount.</w:t>
      </w:r>
    </w:p>
    <w:p>
      <w:pPr>
        <w:spacing w:after="0" w:line="59" w:lineRule="exact"/>
        <w:rPr>
          <w:rFonts w:ascii="Times New Roman" w:cs="Times New Roman" w:eastAsia="Times New Roman" w:hAnsi="Times New Roman"/>
          <w:sz w:val="14"/>
          <w:szCs w:val="14"/>
          <w:color w:val="auto"/>
        </w:rPr>
      </w:pPr>
    </w:p>
    <w:p>
      <w:pPr>
        <w:ind w:left="1580" w:right="1339" w:hanging="272"/>
        <w:spacing w:after="0" w:line="256" w:lineRule="auto"/>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2022, we entered into a five-year senior secured asset-based revolving credit facility (the “ABL Credit Facility”) with a syndicate of banks. As of December 31, 2025, we had no outstanding borrowings and $104.1 million outstanding letters of credit under the ABL Credit Facility. The ABL Credit Facility provides for an initial aggregate principal commitment amount of up to $1.0 billion (including a $350.0 million letter of credit subfacility and a $100.0 million swingline loan subfacility), the availability of which amount is subject to the value of eligible assets in the borrowing base, and has a stated maturity date of June 9, 2027.</w:t>
      </w:r>
    </w:p>
    <w:p>
      <w:pPr>
        <w:spacing w:after="0" w:line="38" w:lineRule="exact"/>
        <w:rPr>
          <w:rFonts w:ascii="Times New Roman" w:cs="Times New Roman" w:eastAsia="Times New Roman" w:hAnsi="Times New Roman"/>
          <w:sz w:val="14"/>
          <w:szCs w:val="14"/>
          <w:color w:val="auto"/>
        </w:rPr>
      </w:pPr>
    </w:p>
    <w:p>
      <w:pPr>
        <w:ind w:left="1580" w:right="1319" w:hanging="272"/>
        <w:spacing w:after="0" w:line="253" w:lineRule="auto"/>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29, 2022, and as amended on March 12, 2023 and February 24, 2025, our wholly-owned subsidiary Lucid, LLC, a limited liability company established in the Kingdom of Saudi Arabia (“Lucid LLC”), entered into a revolving credit facility agreement (as amended, the “GIB Credit Facility Agreement”). The GIB Credit Facility Agreement provides for a credit facility (the “GIB Credit Facility”) in an aggregate principal amount of SAR 1.9 billion (approximately $506.6 million). Loans under the GIB Credit Facility Agreement will have a maturity of no more than 12 months. As of December 31, 2025, we had outstanding borrowings of SAR 1,755.0 million (approximately</w:t>
      </w:r>
    </w:p>
    <w:p>
      <w:pPr>
        <w:spacing w:after="0" w:line="4" w:lineRule="exact"/>
        <w:rPr>
          <w:rFonts w:ascii="Times New Roman" w:cs="Times New Roman" w:eastAsia="Times New Roman" w:hAnsi="Times New Roman"/>
          <w:sz w:val="14"/>
          <w:szCs w:val="14"/>
          <w:color w:val="auto"/>
        </w:rPr>
      </w:pPr>
    </w:p>
    <w:p>
      <w:pPr>
        <w:ind w:left="1580" w:right="161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$468.0 million) under the GIB Credit Facility Agreement, which was recorded within other current liabilities on consolidated balance sheets.</w:t>
      </w:r>
    </w:p>
    <w:p>
      <w:pPr>
        <w:spacing w:after="0" w:line="24" w:lineRule="exact"/>
        <w:rPr>
          <w:rFonts w:ascii="Times New Roman" w:cs="Times New Roman" w:eastAsia="Times New Roman" w:hAnsi="Times New Roman"/>
          <w:sz w:val="14"/>
          <w:szCs w:val="14"/>
          <w:color w:val="auto"/>
        </w:rPr>
      </w:pPr>
    </w:p>
    <w:p>
      <w:pPr>
        <w:ind w:left="1580" w:right="1359" w:hanging="272"/>
        <w:spacing w:after="0" w:line="254" w:lineRule="auto"/>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2024, we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In November 2025, we increased the aggregate principal amount of the DDTL Credit Facility from $750.0 million to approximately $1.98 billion. As of December 31, 2025, we had no outstanding borrowings under the DDTL Credit Facility. On April 1, 2026, we borrowed $500 million under the DDTL Credit Facility. On April 14, 2026, we entered into the DDTL Amendment, pursuant to which the aggregate undrawn delayed draw term commitments under the DDTL Credit Facility were increased by $500 million, such that, after giving effect to such increase, the sum of outstanding delayed draw term loans and aggregate undrawn delayed draw term commitments was increased to approximately $2.5 billion.</w:t>
      </w:r>
    </w:p>
    <w:p>
      <w:pPr>
        <w:spacing w:after="0" w:line="198" w:lineRule="exact"/>
        <w:rPr>
          <w:rFonts w:ascii="Times New Roman" w:cs="Times New Roman" w:eastAsia="Times New Roman" w:hAnsi="Times New Roman"/>
          <w:sz w:val="14"/>
          <w:szCs w:val="14"/>
          <w:color w:val="auto"/>
        </w:rPr>
      </w:pPr>
    </w:p>
    <w:p>
      <w:pPr>
        <w:ind w:left="1580" w:right="1339" w:hanging="272"/>
        <w:spacing w:after="0" w:line="261" w:lineRule="auto"/>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27, 2022, Lucid LLC entered into a loan agreement (the “SIDF Loan Agreement”). Under the SIDF Loan Agreement, the Saudi Industrial Development Fund committed to provide loans to Lucid LLC in an aggregate principal amount of up to SAR 5.19 billion (approximately $1.4 billion). As of December 31, 2025, we had no outstanding borrowings under the SIDF Loan Agreement.</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23" w:name="page24"/>
    <w:bookmarkEnd w:id="2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80" w:right="1319" w:hanging="272"/>
        <w:spacing w:after="0" w:line="261" w:lineRule="auto"/>
        <w:tabs>
          <w:tab w:leader="none" w:pos="1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carrying value of the Series A Convertible Preferred Stock as of December 31, 2025. This table does not reflect the derivative liability amounts associated with the Series A Convertible Preferred Stock. As of December 31, 2025, the liquidation preference of the Series A Convertible Preferred Stock was $1,350.4 million.</w:t>
      </w:r>
    </w:p>
    <w:p>
      <w:pPr>
        <w:spacing w:after="0" w:line="35" w:lineRule="exact"/>
        <w:rPr>
          <w:rFonts w:ascii="Times New Roman" w:cs="Times New Roman" w:eastAsia="Times New Roman" w:hAnsi="Times New Roman"/>
          <w:sz w:val="14"/>
          <w:szCs w:val="14"/>
          <w:color w:val="auto"/>
        </w:rPr>
      </w:pPr>
    </w:p>
    <w:p>
      <w:pPr>
        <w:ind w:left="1580" w:right="1319" w:hanging="272"/>
        <w:spacing w:after="0" w:line="261" w:lineRule="auto"/>
        <w:tabs>
          <w:tab w:leader="none" w:pos="1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carrying value of the Series B Convertible Preferred Stock as of December 31, 2025. This table does not reflect the derivative liability amounts associated with the Series B Convertible Preferred Stock. As of December 31, 2025, the liquidation preference of the Series B Convertible Preferred Stock was $949.2 million.</w:t>
      </w:r>
    </w:p>
    <w:p>
      <w:pPr>
        <w:spacing w:after="0" w:line="25" w:lineRule="exact"/>
        <w:rPr>
          <w:rFonts w:ascii="Times New Roman" w:cs="Times New Roman" w:eastAsia="Times New Roman" w:hAnsi="Times New Roman"/>
          <w:sz w:val="14"/>
          <w:szCs w:val="14"/>
          <w:color w:val="auto"/>
        </w:rPr>
      </w:pPr>
    </w:p>
    <w:p>
      <w:pPr>
        <w:ind w:left="1580" w:right="1459" w:hanging="272"/>
        <w:spacing w:after="0" w:line="267" w:lineRule="auto"/>
        <w:tabs>
          <w:tab w:leader="none" w:pos="1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carrying value of the Series C Convertible Preferred Stock as of December 31, 2025 as if the issuance had occurred on December 31, 2025. This table does not reflect the derivative liability amounts associated with the Series C Convertible Preferred Stock.</w:t>
      </w:r>
    </w:p>
    <w:p>
      <w:pPr>
        <w:spacing w:after="0" w:line="19" w:lineRule="exact"/>
        <w:rPr>
          <w:rFonts w:ascii="Times New Roman" w:cs="Times New Roman" w:eastAsia="Times New Roman" w:hAnsi="Times New Roman"/>
          <w:sz w:val="14"/>
          <w:szCs w:val="14"/>
          <w:color w:val="auto"/>
        </w:rPr>
      </w:pPr>
    </w:p>
    <w:p>
      <w:pPr>
        <w:ind w:left="1580" w:right="1379" w:hanging="272"/>
        <w:spacing w:after="0" w:line="258" w:lineRule="auto"/>
        <w:tabs>
          <w:tab w:leader="none" w:pos="1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issued and outstanding is based on the number of shares of common stock outstanding as of December 31, 2025, does not give effect to any awards of stock options or RSUs after December 31, 2025 or the exercise of warrants or stock options or the settlement of RSUs after December 31, 2025, or any accrual of dividends under our Redeemable Convertible Preferred Stock, and excludes:</w:t>
      </w:r>
    </w:p>
    <w:p>
      <w:pPr>
        <w:spacing w:after="0" w:line="59" w:lineRule="exact"/>
        <w:rPr>
          <w:rFonts w:ascii="Times New Roman" w:cs="Times New Roman" w:eastAsia="Times New Roman" w:hAnsi="Times New Roman"/>
          <w:sz w:val="14"/>
          <w:szCs w:val="14"/>
          <w:color w:val="auto"/>
        </w:rPr>
      </w:pPr>
    </w:p>
    <w:p>
      <w:pPr>
        <w:ind w:left="1720" w:right="1699" w:hanging="131"/>
        <w:spacing w:after="0" w:line="283" w:lineRule="auto"/>
        <w:tabs>
          <w:tab w:leader="none" w:pos="17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4,435,000 shares of our common stock issuable upon the exercise of warrants outstanding as of December 31, 2025, each with an exercise price of $115.0 per share;</w:t>
      </w:r>
    </w:p>
    <w:p>
      <w:pPr>
        <w:spacing w:after="0" w:line="40"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2,030,874 shares of our common stock issuable upon the exercise of stock options outstanding as of December 31, 2025, with a weighted average exercise price of $19.09 per share;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19,983,583 shares subject to RSUs outstanding as of December 31, 2025;</w:t>
      </w:r>
    </w:p>
    <w:p>
      <w:pPr>
        <w:spacing w:after="0" w:line="91" w:lineRule="exact"/>
        <w:rPr>
          <w:rFonts w:ascii="Times New Roman" w:cs="Times New Roman" w:eastAsia="Times New Roman" w:hAnsi="Times New Roman"/>
          <w:sz w:val="14"/>
          <w:szCs w:val="14"/>
          <w:color w:val="auto"/>
        </w:rPr>
      </w:pPr>
    </w:p>
    <w:p>
      <w:pPr>
        <w:ind w:left="1720" w:right="1439" w:hanging="131"/>
        <w:spacing w:after="0" w:line="267" w:lineRule="auto"/>
        <w:tabs>
          <w:tab w:leader="none" w:pos="17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3,431,856 shares of our common stock reserved for future issuance under the Lucid Group, Inc. Amended and Restated 2021 Stock Incentive Plan (including the Lucid Group, Inc. 2021 Employee Stock Purchase Plan, attached thereto) as of December 31, 2025;</w:t>
      </w:r>
    </w:p>
    <w:p>
      <w:pPr>
        <w:spacing w:after="0" w:line="51" w:lineRule="exact"/>
        <w:rPr>
          <w:rFonts w:ascii="Times New Roman" w:cs="Times New Roman" w:eastAsia="Times New Roman" w:hAnsi="Times New Roman"/>
          <w:sz w:val="14"/>
          <w:szCs w:val="14"/>
          <w:color w:val="auto"/>
        </w:rPr>
      </w:pPr>
    </w:p>
    <w:p>
      <w:pPr>
        <w:ind w:left="1720" w:right="1619" w:hanging="131"/>
        <w:spacing w:after="0" w:line="283" w:lineRule="auto"/>
        <w:tabs>
          <w:tab w:leader="none" w:pos="17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372,950 shares of our common stock issuable upon the conversion of the 2026 Convertible Notes;</w:t>
      </w:r>
    </w:p>
    <w:p>
      <w:pPr>
        <w:spacing w:after="0" w:line="40" w:lineRule="exact"/>
        <w:rPr>
          <w:rFonts w:ascii="Times New Roman" w:cs="Times New Roman" w:eastAsia="Times New Roman" w:hAnsi="Times New Roman"/>
          <w:sz w:val="14"/>
          <w:szCs w:val="14"/>
          <w:color w:val="auto"/>
        </w:rPr>
      </w:pPr>
    </w:p>
    <w:p>
      <w:pPr>
        <w:ind w:left="1720" w:right="1439" w:hanging="131"/>
        <w:spacing w:after="0" w:line="283" w:lineRule="auto"/>
        <w:tabs>
          <w:tab w:leader="none" w:pos="17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36,666,630 shares of our common stock issuable upon the conversion of the 2030 Convertible Notes;</w:t>
      </w:r>
    </w:p>
    <w:p>
      <w:pPr>
        <w:spacing w:after="0" w:line="40" w:lineRule="exact"/>
        <w:rPr>
          <w:rFonts w:ascii="Times New Roman" w:cs="Times New Roman" w:eastAsia="Times New Roman" w:hAnsi="Times New Roman"/>
          <w:sz w:val="14"/>
          <w:szCs w:val="14"/>
          <w:color w:val="auto"/>
        </w:rPr>
      </w:pPr>
    </w:p>
    <w:p>
      <w:pPr>
        <w:ind w:left="1720" w:right="1439" w:hanging="131"/>
        <w:spacing w:after="0" w:line="283" w:lineRule="auto"/>
        <w:tabs>
          <w:tab w:leader="none" w:pos="17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46,846,313 shares of our common stock issuable upon the conversion of the 2031 Convertible Notes;</w:t>
      </w:r>
    </w:p>
    <w:p>
      <w:pPr>
        <w:spacing w:after="0" w:line="40" w:lineRule="exact"/>
        <w:rPr>
          <w:rFonts w:ascii="Times New Roman" w:cs="Times New Roman" w:eastAsia="Times New Roman" w:hAnsi="Times New Roman"/>
          <w:sz w:val="14"/>
          <w:szCs w:val="14"/>
          <w:color w:val="auto"/>
        </w:rPr>
      </w:pPr>
    </w:p>
    <w:p>
      <w:pPr>
        <w:ind w:left="1720" w:right="1939" w:hanging="131"/>
        <w:spacing w:after="0" w:line="283" w:lineRule="auto"/>
        <w:tabs>
          <w:tab w:leader="none" w:pos="17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32,526,595 shares of our common stock issuable upon the conversion of our Series A Convertible Preferred Stock;</w:t>
      </w:r>
    </w:p>
    <w:p>
      <w:pPr>
        <w:spacing w:after="0" w:line="40" w:lineRule="exact"/>
        <w:rPr>
          <w:rFonts w:ascii="Times New Roman" w:cs="Times New Roman" w:eastAsia="Times New Roman" w:hAnsi="Times New Roman"/>
          <w:sz w:val="14"/>
          <w:szCs w:val="14"/>
          <w:color w:val="auto"/>
        </w:rPr>
      </w:pPr>
    </w:p>
    <w:p>
      <w:pPr>
        <w:ind w:left="1720" w:right="1939" w:hanging="131"/>
        <w:spacing w:after="0" w:line="283" w:lineRule="auto"/>
        <w:tabs>
          <w:tab w:leader="none" w:pos="17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19,358,849 shares of our common stock issuable upon the conversion of our Series B Convertible Preferred Stock;</w:t>
      </w:r>
    </w:p>
    <w:p>
      <w:pPr>
        <w:spacing w:after="0" w:line="40"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our common stock underlying the Series C Convertible Preferred Stock to be issued to Ayar in the PIF Private Placement; and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our common stock to be issued to Uber in the Uber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25" w:lineRule="exact"/>
        <w:rPr>
          <w:sz w:val="20"/>
          <w:szCs w:val="20"/>
          <w:color w:val="auto"/>
        </w:rPr>
      </w:pPr>
    </w:p>
    <w:p>
      <w:pPr>
        <w:ind w:left="1300" w:right="1499" w:firstLine="280"/>
        <w:spacing w:after="0" w:line="259" w:lineRule="auto"/>
        <w:rPr>
          <w:sz w:val="20"/>
          <w:szCs w:val="20"/>
          <w:color w:val="auto"/>
        </w:rPr>
      </w:pPr>
      <w:r>
        <w:rPr>
          <w:rFonts w:ascii="Times New Roman" w:cs="Times New Roman" w:eastAsia="Times New Roman" w:hAnsi="Times New Roman"/>
          <w:sz w:val="14"/>
          <w:szCs w:val="14"/>
          <w:color w:val="auto"/>
        </w:rPr>
        <w:t>BofA Securities, Inc. is acting as underwriter of this offering. Subject to the terms and conditions set forth in an underwriting agreement between us and the underwriter, we have agreed to sell to the underwriter, and the underwriter has agreed to purchase from us 36,057,692 shares of our common stock.</w:t>
      </w:r>
    </w:p>
    <w:p>
      <w:pPr>
        <w:spacing w:after="0" w:line="78" w:lineRule="exact"/>
        <w:rPr>
          <w:sz w:val="20"/>
          <w:szCs w:val="20"/>
          <w:color w:val="auto"/>
        </w:rPr>
      </w:pPr>
    </w:p>
    <w:p>
      <w:pPr>
        <w:ind w:left="1300" w:right="1379" w:firstLine="280"/>
        <w:spacing w:after="0" w:line="267" w:lineRule="auto"/>
        <w:rPr>
          <w:sz w:val="20"/>
          <w:szCs w:val="20"/>
          <w:color w:val="auto"/>
        </w:rPr>
      </w:pPr>
      <w:r>
        <w:rPr>
          <w:rFonts w:ascii="Times New Roman" w:cs="Times New Roman" w:eastAsia="Times New Roman" w:hAnsi="Times New Roman"/>
          <w:sz w:val="14"/>
          <w:szCs w:val="14"/>
          <w:color w:val="auto"/>
        </w:rPr>
        <w:t>Subject to the terms and conditions set forth in the underwriting agreement, the underwriter has agreed to purchase all of the shares sold under the underwriting agreement if any of these shares are purchased.</w:t>
      </w:r>
    </w:p>
    <w:p>
      <w:pPr>
        <w:spacing w:after="0" w:line="73" w:lineRule="exact"/>
        <w:rPr>
          <w:sz w:val="20"/>
          <w:szCs w:val="20"/>
          <w:color w:val="auto"/>
        </w:rPr>
      </w:pPr>
    </w:p>
    <w:p>
      <w:pPr>
        <w:ind w:left="1300" w:right="1479" w:firstLine="280"/>
        <w:spacing w:after="0" w:line="259" w:lineRule="auto"/>
        <w:rPr>
          <w:sz w:val="20"/>
          <w:szCs w:val="20"/>
          <w:color w:val="auto"/>
        </w:rPr>
      </w:pPr>
      <w:r>
        <w:rPr>
          <w:rFonts w:ascii="Times New Roman" w:cs="Times New Roman" w:eastAsia="Times New Roman" w:hAnsi="Times New Roman"/>
          <w:sz w:val="14"/>
          <w:szCs w:val="14"/>
          <w:color w:val="auto"/>
        </w:rPr>
        <w:t>We have agreed to indemnify the underwriter against certain liabilities, including liabilities under the Securities Act, or to contribute to payments the underwriter may be required to make in respect of those liabilities.</w:t>
      </w:r>
    </w:p>
    <w:p>
      <w:pPr>
        <w:spacing w:after="0" w:line="78" w:lineRule="exact"/>
        <w:rPr>
          <w:sz w:val="20"/>
          <w:szCs w:val="20"/>
          <w:color w:val="auto"/>
        </w:rPr>
      </w:pPr>
    </w:p>
    <w:p>
      <w:pPr>
        <w:ind w:left="1300" w:right="1479" w:firstLine="280"/>
        <w:spacing w:after="0" w:line="247" w:lineRule="auto"/>
        <w:rPr>
          <w:sz w:val="20"/>
          <w:szCs w:val="20"/>
          <w:color w:val="auto"/>
        </w:rPr>
      </w:pPr>
      <w:r>
        <w:rPr>
          <w:rFonts w:ascii="Times New Roman" w:cs="Times New Roman" w:eastAsia="Times New Roman" w:hAnsi="Times New Roman"/>
          <w:sz w:val="14"/>
          <w:szCs w:val="14"/>
          <w:color w:val="auto"/>
        </w:rPr>
        <w:t>The underwriter is offering the shares, subject to prior sale, when, as and if issued to and accepted by them, subject to approval of legal matters by their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Commissions and Discounts</w:t>
      </w:r>
    </w:p>
    <w:p>
      <w:pPr>
        <w:spacing w:after="0" w:line="125" w:lineRule="exact"/>
        <w:rPr>
          <w:sz w:val="20"/>
          <w:szCs w:val="20"/>
          <w:color w:val="auto"/>
        </w:rPr>
      </w:pPr>
    </w:p>
    <w:p>
      <w:pPr>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The underwriter is purchasing the shares of common stock from us at $8.112 per share (representing approximately $291.5 million aggregate net proceeds to us, after estimated expenses). The underwriter may offer the shares of common stock from time to time for sale in one or more transactions on the Nasdaq Global Market, in the over-the-counter market, through negotiated transactions or otherwise at market prices prevailing at the time of sale, at prices related to prevailing market prices or at negotiated prices. In connection with the sale of the shares of common stock offered hereby, the underwriter may be deemed to have received compensation in the form of underwriting discounts. The underwriter may effect such transactions by selling shares of common stock to or through dealers, and such dealers may receive compensation in the form of discounts, concessions or commissions from the underwriter and/or purchasers of shares of common stock for whom they may act as agents or to whom they may sell as principal.</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 Sales of Similar Securities</w:t>
      </w:r>
    </w:p>
    <w:p>
      <w:pPr>
        <w:spacing w:after="0" w:line="125" w:lineRule="exact"/>
        <w:rPr>
          <w:sz w:val="20"/>
          <w:szCs w:val="20"/>
          <w:color w:val="auto"/>
        </w:rPr>
      </w:pPr>
    </w:p>
    <w:p>
      <w:pPr>
        <w:ind w:left="1300" w:right="1639" w:firstLine="280"/>
        <w:spacing w:after="0" w:line="251" w:lineRule="auto"/>
        <w:rPr>
          <w:sz w:val="20"/>
          <w:szCs w:val="20"/>
          <w:color w:val="auto"/>
        </w:rPr>
      </w:pPr>
      <w:r>
        <w:rPr>
          <w:rFonts w:ascii="Times New Roman" w:cs="Times New Roman" w:eastAsia="Times New Roman" w:hAnsi="Times New Roman"/>
          <w:sz w:val="14"/>
          <w:szCs w:val="14"/>
          <w:color w:val="auto"/>
        </w:rPr>
        <w:t>We, our executive officers and directors and certain other stockholders have agreed, with certain limited exceptions, that without the prior written consent of the underwriter, we and they will not, for a period of 60 days after the date of this prospectus supplement:</w:t>
      </w:r>
    </w:p>
    <w:p>
      <w:pPr>
        <w:spacing w:after="0" w:line="63" w:lineRule="exact"/>
        <w:rPr>
          <w:sz w:val="20"/>
          <w:szCs w:val="20"/>
          <w:color w:val="auto"/>
        </w:rPr>
      </w:pPr>
    </w:p>
    <w:p>
      <w:pPr>
        <w:ind w:left="1720" w:right="1479" w:hanging="131"/>
        <w:spacing w:after="0" w:line="261"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w:t>
      </w:r>
    </w:p>
    <w:p>
      <w:pPr>
        <w:spacing w:after="0" w:line="46" w:lineRule="exact"/>
        <w:rPr>
          <w:rFonts w:ascii="Times New Roman" w:cs="Times New Roman" w:eastAsia="Times New Roman" w:hAnsi="Times New Roman"/>
          <w:sz w:val="14"/>
          <w:szCs w:val="14"/>
          <w:color w:val="auto"/>
        </w:rPr>
      </w:pPr>
    </w:p>
    <w:p>
      <w:pPr>
        <w:ind w:left="1720" w:right="1479" w:hanging="131"/>
        <w:spacing w:after="0" w:line="267"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any right with respect to the registration of any of such common stock, or file, cause to be filed or cause to be confidentially submitted any registration statement in connection therewith, under the Securities Act of 1933, as amended; or</w:t>
      </w:r>
    </w:p>
    <w:p>
      <w:pPr>
        <w:spacing w:after="0" w:line="51" w:lineRule="exact"/>
        <w:rPr>
          <w:rFonts w:ascii="Times New Roman" w:cs="Times New Roman" w:eastAsia="Times New Roman" w:hAnsi="Times New Roman"/>
          <w:sz w:val="14"/>
          <w:szCs w:val="14"/>
          <w:color w:val="auto"/>
        </w:rPr>
      </w:pPr>
    </w:p>
    <w:p>
      <w:pPr>
        <w:ind w:left="1720" w:right="1459" w:hanging="131"/>
        <w:spacing w:after="0" w:line="264"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or any other agreement or any transaction that transfers, in whole or in part, directly or indirectly, the economic consequence of ownership of such common stock, whether any such swap or transaction is to be settled by delivery of common stock or other securities, in cash or otherwise.</w:t>
      </w:r>
    </w:p>
    <w:p>
      <w:pPr>
        <w:spacing w:after="0" w:line="257" w:lineRule="exact"/>
        <w:rPr>
          <w:sz w:val="20"/>
          <w:szCs w:val="20"/>
          <w:color w:val="auto"/>
        </w:rPr>
      </w:pPr>
    </w:p>
    <w:p>
      <w:pPr>
        <w:ind w:left="1300" w:right="1339"/>
        <w:spacing w:after="0" w:line="244" w:lineRule="auto"/>
        <w:rPr>
          <w:sz w:val="20"/>
          <w:szCs w:val="20"/>
          <w:color w:val="auto"/>
        </w:rPr>
      </w:pPr>
      <w:r>
        <w:rPr>
          <w:rFonts w:ascii="Times New Roman" w:cs="Times New Roman" w:eastAsia="Times New Roman" w:hAnsi="Times New Roman"/>
          <w:sz w:val="14"/>
          <w:szCs w:val="14"/>
          <w:color w:val="auto"/>
        </w:rPr>
        <w:t>in each case, whether any such transaction described above is to be settled by delivery of common stock or such other securities, in cash or otherwise. In addition, we and each such person has agreed that, without the prior written consent of the underwriter, we or such other person will not, during the restricted period, make any demand for, or exercise any right with respect to, the registration of any shares of common stock or any security convertible into or exercisable or exchangeable for common stock (other than any demand or exercise that does not result in the public filing of a registration statement by us). This lock-up provision applies to common stock and to securities convertible into or exchangeable or exercisable for common stock,</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39"/>
        <w:spacing w:after="0" w:line="283" w:lineRule="auto"/>
        <w:rPr>
          <w:sz w:val="20"/>
          <w:szCs w:val="20"/>
          <w:color w:val="auto"/>
        </w:rPr>
      </w:pPr>
      <w:r>
        <w:rPr>
          <w:rFonts w:ascii="Times New Roman" w:cs="Times New Roman" w:eastAsia="Times New Roman" w:hAnsi="Times New Roman"/>
          <w:sz w:val="14"/>
          <w:szCs w:val="14"/>
          <w:color w:val="auto"/>
        </w:rPr>
        <w:t>whether now owned or acquired later by us or such other person or for which we or such other person later acquires the power of disposition.</w:t>
      </w:r>
    </w:p>
    <w:p>
      <w:pPr>
        <w:spacing w:after="0" w:line="62"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With respect to issuances or sales by us, these restrictions do not apply to the shares to be sold in this offering; any shares of common stock issued by us upon the exercise of an option or warrant or the conversion of a security outstanding on the date of this prospectus supplement or the Series C Convertible Preferred Stock to be issued to Ayar in the PIF Private Placement; any shares of common stock issued upon the exercise, vesting or settlement of equity awards or the issuance of equity awards granted pursuant to our existing employee benefit plans existing on the date of this prospectus supplement; any shares of common stock issued pursuant to any non-employee director stock plan or dividend reinvestment plan existing on the date of this prospectus supplement; the entry into agreements to issue or the issuance of up to 5% of our outstanding common stock in connection with one or more acquisitions or strategic transactions, in each case subject to certain conditions; any action required to be taken under the Company’s Investor Rights Agreement; the resale registration set forth in the Uber Subscription Agreement; or any shares of common stock or convertible preferred stock issued pursuant to the terms of the Uber Private Placement or the PIF Private Placement.</w:t>
      </w:r>
    </w:p>
    <w:p>
      <w:pPr>
        <w:spacing w:after="0" w:line="252" w:lineRule="exact"/>
        <w:rPr>
          <w:sz w:val="20"/>
          <w:szCs w:val="20"/>
          <w:color w:val="auto"/>
        </w:rPr>
      </w:pPr>
    </w:p>
    <w:p>
      <w:pPr>
        <w:ind w:left="1300" w:right="1339" w:firstLine="280"/>
        <w:spacing w:after="0" w:line="252" w:lineRule="auto"/>
        <w:rPr>
          <w:sz w:val="20"/>
          <w:szCs w:val="20"/>
          <w:color w:val="auto"/>
        </w:rPr>
      </w:pPr>
      <w:r>
        <w:rPr>
          <w:rFonts w:ascii="Times New Roman" w:cs="Times New Roman" w:eastAsia="Times New Roman" w:hAnsi="Times New Roman"/>
          <w:sz w:val="14"/>
          <w:szCs w:val="14"/>
          <w:color w:val="auto"/>
        </w:rPr>
        <w:t>With respect to sales by our directors and our executive officers, subject to certain customary conditions, these restrictions do not apply to transfers made by will, other testamentary document or intestacy; as a bona fide gift or gifts, including to charitable organizations or for bona fide estate planning purposes; to any trust for the benefit of the director or officer; or the immediate family of the director or officer; to a partnership, limited liability company or other entity of which the director or officer and the immediate family of the director or officer are the legal and beneficial owner of all of the outstanding equity securities; if the lock-up agreement signatory is a business entity, to another business entity that is an affiliate of the director or officer, or to any investment fund or other entity controlling, controlled by, managing or managed by or under common control with the director or officer or affiliates of the director or officer, or as part of a distribution to members or shareholders of the lock-up agreement signatory; to a nominee or custodian of any person or entity to whom a transfer would be permissible under any of the preceding exceptions set forth in this sentence; in the case of an individual, by operation of law; from an employee or a director of, or a service provider to, the Company or any of its subsidiaries upon the death, disability or termination of employment, in each case, of such person; pursuant to a bona fide third-party tender offer, merger, consolidation or other similar transaction that is approved by the board of directors of the Company and made to all holders of shares of the Company’s capital stock involving a change of control; in connection with the exercise of any stock options or warrants, or the vesting or settlement of any restricted stock units or other compensatory equity securities in respect of shares of the Company outstanding as of the date the lock-up agreement is executed for any payment due for the exercise of options or other rights to purchase securities of the Company and to cover tax withholding obligations or taxes due in connection with such vesting, settlement or exercise (including by means of a “net settlement,” “sell to cover” or otherwise); and pursuant to trading plans established in accordance with Rule 10b5-1 under the Exchange Act prior to the date hereof. This lock-up provision applies to our common stock and to securities convertible into or exchangeable or exercisable for our common stock. It also applies to common stock owned now or acquired later by the person executing the agreement or for which the person executing the agreement later acquires the power of disposition.</w:t>
      </w:r>
    </w:p>
    <w:p>
      <w:pPr>
        <w:spacing w:after="0" w:line="200" w:lineRule="exact"/>
        <w:rPr>
          <w:sz w:val="20"/>
          <w:szCs w:val="20"/>
          <w:color w:val="auto"/>
        </w:rPr>
      </w:pPr>
    </w:p>
    <w:p>
      <w:pPr>
        <w:spacing w:after="0" w:line="2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Nasdaq Global Market Listing</w:t>
      </w:r>
    </w:p>
    <w:p>
      <w:pPr>
        <w:spacing w:after="0" w:line="1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shares are listed on the Nasdaq Global Market under the symbol “LCID.”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Short Positions</w:t>
      </w:r>
    </w:p>
    <w:p>
      <w:pPr>
        <w:spacing w:after="0" w:line="125" w:lineRule="exact"/>
        <w:rPr>
          <w:sz w:val="20"/>
          <w:szCs w:val="20"/>
          <w:color w:val="auto"/>
        </w:rPr>
      </w:pPr>
    </w:p>
    <w:p>
      <w:pPr>
        <w:ind w:left="1300" w:right="1359" w:firstLine="280"/>
        <w:spacing w:after="0" w:line="256" w:lineRule="auto"/>
        <w:rPr>
          <w:sz w:val="20"/>
          <w:szCs w:val="20"/>
          <w:color w:val="auto"/>
        </w:rPr>
      </w:pPr>
      <w:r>
        <w:rPr>
          <w:rFonts w:ascii="Times New Roman" w:cs="Times New Roman" w:eastAsia="Times New Roman" w:hAnsi="Times New Roman"/>
          <w:sz w:val="14"/>
          <w:szCs w:val="14"/>
          <w:color w:val="auto"/>
        </w:rPr>
        <w:t>In connection with this offering, the underwriter may purchase and sell our common stock in the open market. These transactions may include short sales and purchases on the open market to cover positions created by short sales. Short sales involve the sale by the underwriter of a greater number of shares than they are required to purchase in this offering. “Covered” short sales are sales made in an amount not greater than the underwriter’s option to purchase additional shares described above. The underwriter may close out any covered short position by either exercising their option to purchase additional shares or purchasing shares in the open market. In determining the source of shares to close out the covered short position, the</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99"/>
        <w:spacing w:after="0" w:line="257" w:lineRule="auto"/>
        <w:rPr>
          <w:sz w:val="20"/>
          <w:szCs w:val="20"/>
          <w:color w:val="auto"/>
        </w:rPr>
      </w:pPr>
      <w:r>
        <w:rPr>
          <w:rFonts w:ascii="Times New Roman" w:cs="Times New Roman" w:eastAsia="Times New Roman" w:hAnsi="Times New Roman"/>
          <w:sz w:val="14"/>
          <w:szCs w:val="14"/>
          <w:color w:val="auto"/>
        </w:rPr>
        <w:t>underwriter will consider, among other things, the price of shares available for purchase in the open market as compared to the price at which they may purchase shares through the option granted to them. “Naked” short sales are sales in excess of such option. The underwriter must close out any naked short position by purchasing shares in the open market. A naked short position is more likely to be created if the underwriter is concerned that there may be downward pressure on the price of our common stock in the open market after pricing that could adversely affect investors who purchase in this offering.</w:t>
      </w:r>
    </w:p>
    <w:p>
      <w:pPr>
        <w:spacing w:after="0" w:line="90" w:lineRule="exact"/>
        <w:rPr>
          <w:sz w:val="20"/>
          <w:szCs w:val="20"/>
          <w:color w:val="auto"/>
        </w:rPr>
      </w:pPr>
    </w:p>
    <w:p>
      <w:pPr>
        <w:ind w:left="1300" w:right="1519" w:firstLine="280"/>
        <w:spacing w:after="0" w:line="258" w:lineRule="auto"/>
        <w:rPr>
          <w:sz w:val="20"/>
          <w:szCs w:val="20"/>
          <w:color w:val="auto"/>
        </w:rPr>
      </w:pPr>
      <w:r>
        <w:rPr>
          <w:rFonts w:ascii="Times New Roman" w:cs="Times New Roman" w:eastAsia="Times New Roman" w:hAnsi="Times New Roman"/>
          <w:sz w:val="14"/>
          <w:szCs w:val="14"/>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 may conduct these transactions on the Nasdaq Global Market, in the over-the-counter market or otherwise.</w:t>
      </w:r>
    </w:p>
    <w:p>
      <w:pPr>
        <w:spacing w:after="0" w:line="91" w:lineRule="exact"/>
        <w:rPr>
          <w:sz w:val="20"/>
          <w:szCs w:val="20"/>
          <w:color w:val="auto"/>
        </w:rPr>
      </w:pPr>
    </w:p>
    <w:p>
      <w:pPr>
        <w:ind w:left="1300" w:right="1379" w:firstLine="280"/>
        <w:spacing w:after="0" w:line="261" w:lineRule="auto"/>
        <w:rPr>
          <w:sz w:val="20"/>
          <w:szCs w:val="20"/>
          <w:color w:val="auto"/>
        </w:rPr>
      </w:pPr>
      <w:r>
        <w:rPr>
          <w:rFonts w:ascii="Times New Roman" w:cs="Times New Roman" w:eastAsia="Times New Roman" w:hAnsi="Times New Roman"/>
          <w:sz w:val="14"/>
          <w:szCs w:val="14"/>
          <w:color w:val="auto"/>
        </w:rPr>
        <w:t>Neither we nor the underwriter makes any representation or prediction as to the direction or magnitude of any effect that the transactions described above may have on the price of our common stock. In addition, neither we nor the underwriter make any representation that the underwriter will engage in these transactions or that these transactions, once commenced, will not be discontinued without notice.</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Passive Market Making</w:t>
      </w:r>
    </w:p>
    <w:p>
      <w:pPr>
        <w:spacing w:after="0" w:line="114" w:lineRule="exact"/>
        <w:rPr>
          <w:sz w:val="20"/>
          <w:szCs w:val="20"/>
          <w:color w:val="auto"/>
        </w:rPr>
      </w:pPr>
    </w:p>
    <w:p>
      <w:pPr>
        <w:ind w:left="1300" w:right="1399" w:firstLine="280"/>
        <w:spacing w:after="0" w:line="254" w:lineRule="auto"/>
        <w:rPr>
          <w:sz w:val="20"/>
          <w:szCs w:val="20"/>
          <w:color w:val="auto"/>
        </w:rPr>
      </w:pPr>
      <w:r>
        <w:rPr>
          <w:rFonts w:ascii="Times New Roman" w:cs="Times New Roman" w:eastAsia="Times New Roman" w:hAnsi="Times New Roman"/>
          <w:sz w:val="14"/>
          <w:szCs w:val="14"/>
          <w:color w:val="auto"/>
        </w:rPr>
        <w:t>In connection with this offering, the underwriter may engage in passive market making transactions in the common stock on the Nasdaq Global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 is not required to engage in passive market making and may end passive market making activities at any time.</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Electronic Distribution</w:t>
      </w:r>
    </w:p>
    <w:p>
      <w:pPr>
        <w:spacing w:after="0" w:line="125" w:lineRule="exact"/>
        <w:rPr>
          <w:sz w:val="20"/>
          <w:szCs w:val="20"/>
          <w:color w:val="auto"/>
        </w:rPr>
      </w:pPr>
    </w:p>
    <w:p>
      <w:pPr>
        <w:ind w:left="1300" w:right="1359" w:firstLine="280"/>
        <w:spacing w:after="0" w:line="283" w:lineRule="auto"/>
        <w:rPr>
          <w:sz w:val="20"/>
          <w:szCs w:val="20"/>
          <w:color w:val="auto"/>
        </w:rPr>
      </w:pPr>
      <w:r>
        <w:rPr>
          <w:rFonts w:ascii="Times New Roman" w:cs="Times New Roman" w:eastAsia="Times New Roman" w:hAnsi="Times New Roman"/>
          <w:sz w:val="14"/>
          <w:szCs w:val="14"/>
          <w:color w:val="auto"/>
        </w:rPr>
        <w:t>In connection with this offering, the underwriter may distribute prospectuses by electronic means, such as e-mail.</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125" w:lineRule="exact"/>
        <w:rPr>
          <w:sz w:val="20"/>
          <w:szCs w:val="20"/>
          <w:color w:val="auto"/>
        </w:rPr>
      </w:pPr>
    </w:p>
    <w:p>
      <w:pPr>
        <w:ind w:left="1300" w:right="1359" w:firstLine="280"/>
        <w:spacing w:after="0" w:line="267" w:lineRule="auto"/>
        <w:rPr>
          <w:sz w:val="20"/>
          <w:szCs w:val="20"/>
          <w:color w:val="auto"/>
        </w:rPr>
      </w:pPr>
      <w:r>
        <w:rPr>
          <w:rFonts w:ascii="Times New Roman" w:cs="Times New Roman" w:eastAsia="Times New Roman" w:hAnsi="Times New Roman"/>
          <w:sz w:val="14"/>
          <w:szCs w:val="14"/>
          <w:color w:val="auto"/>
        </w:rPr>
        <w:t>The underwriter and its affiliates have engaged in, and may in the future engage in, investment banking and other commercial dealings in the ordinary course of business with us or our affiliates. The underwriter has received, or may in the future receive, customary fees and commissions for these transactions.</w:t>
      </w:r>
    </w:p>
    <w:p>
      <w:pPr>
        <w:spacing w:after="0" w:line="72"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In addition, in the ordinary course of its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European Economic Area</w:t>
      </w:r>
    </w:p>
    <w:p>
      <w:pPr>
        <w:spacing w:after="0" w:line="125"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of common stock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99"/>
        <w:spacing w:after="0" w:line="283" w:lineRule="auto"/>
        <w:rPr>
          <w:sz w:val="20"/>
          <w:szCs w:val="20"/>
          <w:color w:val="auto"/>
        </w:rPr>
      </w:pPr>
      <w:r>
        <w:rPr>
          <w:rFonts w:ascii="Times New Roman" w:cs="Times New Roman" w:eastAsia="Times New Roman" w:hAnsi="Times New Roman"/>
          <w:sz w:val="14"/>
          <w:szCs w:val="14"/>
          <w:color w:val="auto"/>
        </w:rPr>
        <w:t>except that offers of shares of common stock may be made to the public in that Relevant State at any time under the following exemptions under the Prospectus Regulation:</w:t>
      </w:r>
    </w:p>
    <w:p>
      <w:pPr>
        <w:spacing w:after="0" w:line="51" w:lineRule="exact"/>
        <w:rPr>
          <w:sz w:val="20"/>
          <w:szCs w:val="20"/>
          <w:color w:val="auto"/>
        </w:rPr>
      </w:pPr>
    </w:p>
    <w:p>
      <w:pPr>
        <w:ind w:left="1860" w:hanging="271"/>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the Prospectus Regulation;</w:t>
      </w:r>
    </w:p>
    <w:p>
      <w:pPr>
        <w:spacing w:after="0" w:line="122" w:lineRule="exact"/>
        <w:rPr>
          <w:rFonts w:ascii="Times New Roman" w:cs="Times New Roman" w:eastAsia="Times New Roman" w:hAnsi="Times New Roman"/>
          <w:sz w:val="14"/>
          <w:szCs w:val="14"/>
          <w:color w:val="auto"/>
        </w:rPr>
      </w:pPr>
    </w:p>
    <w:p>
      <w:pPr>
        <w:jc w:val="both"/>
        <w:ind w:left="1860" w:right="1659" w:hanging="271"/>
        <w:spacing w:after="0" w:line="267" w:lineRule="auto"/>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the Prospectus Regulation), subject to obtaining the prior consent of the underwriter for any such offer; or</w:t>
      </w:r>
    </w:p>
    <w:p>
      <w:pPr>
        <w:spacing w:after="0" w:line="72" w:lineRule="exact"/>
        <w:rPr>
          <w:rFonts w:ascii="Times New Roman" w:cs="Times New Roman" w:eastAsia="Times New Roman" w:hAnsi="Times New Roman"/>
          <w:sz w:val="14"/>
          <w:szCs w:val="14"/>
          <w:color w:val="auto"/>
        </w:rPr>
      </w:pPr>
    </w:p>
    <w:p>
      <w:pPr>
        <w:ind w:left="1860" w:hanging="271"/>
        <w:spacing w:after="0"/>
        <w:tabs>
          <w:tab w:leader="none" w:pos="1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23" w:lineRule="exact"/>
        <w:rPr>
          <w:sz w:val="20"/>
          <w:szCs w:val="20"/>
          <w:color w:val="auto"/>
        </w:rPr>
      </w:pPr>
    </w:p>
    <w:p>
      <w:pPr>
        <w:ind w:left="1300" w:right="1399"/>
        <w:spacing w:after="0" w:line="251" w:lineRule="auto"/>
        <w:rPr>
          <w:sz w:val="20"/>
          <w:szCs w:val="20"/>
          <w:color w:val="auto"/>
        </w:rPr>
      </w:pPr>
      <w:r>
        <w:rPr>
          <w:rFonts w:ascii="Times New Roman" w:cs="Times New Roman" w:eastAsia="Times New Roman" w:hAnsi="Times New Roman"/>
          <w:sz w:val="14"/>
          <w:szCs w:val="14"/>
          <w:color w:val="auto"/>
        </w:rPr>
        <w:t>provided that no such offer of shares of common stock shall require the Company or the underwriter to publish a prospectus pursuant to Article 3 of the Prospectus Regulation, supplement a prospectus pursuant to Article 23 of the Prospectus Regulation or publish an Annex IX document pursuant to Article 1(4) of the Prospectus Regulation.</w:t>
      </w:r>
    </w:p>
    <w:p>
      <w:pPr>
        <w:spacing w:after="0" w:line="83" w:lineRule="exact"/>
        <w:rPr>
          <w:sz w:val="20"/>
          <w:szCs w:val="20"/>
          <w:color w:val="auto"/>
        </w:rPr>
      </w:pPr>
    </w:p>
    <w:p>
      <w:pPr>
        <w:jc w:val="both"/>
        <w:ind w:left="1300" w:right="1499" w:firstLine="280"/>
        <w:spacing w:after="0" w:line="251" w:lineRule="auto"/>
        <w:rPr>
          <w:sz w:val="20"/>
          <w:szCs w:val="20"/>
          <w:color w:val="auto"/>
        </w:rPr>
      </w:pPr>
      <w:r>
        <w:rPr>
          <w:rFonts w:ascii="Times New Roman" w:cs="Times New Roman" w:eastAsia="Times New Roman" w:hAnsi="Times New Roman"/>
          <w:sz w:val="14"/>
          <w:szCs w:val="14"/>
          <w:color w:val="auto"/>
        </w:rPr>
        <w:t>Each person in a Relevant State (other than a Relevant State where there is a Permitted Public Offer) who initially acquires any shares of common stock or to whom any offer is made will be deemed to have represented, acknowledged and agreed to and with the Company and the underwriter that it is a qualified investor within the meaning of the Prospectus Regulation.</w:t>
      </w:r>
    </w:p>
    <w:p>
      <w:pPr>
        <w:spacing w:after="0" w:line="83" w:lineRule="exact"/>
        <w:rPr>
          <w:sz w:val="20"/>
          <w:szCs w:val="20"/>
          <w:color w:val="auto"/>
        </w:rPr>
      </w:pPr>
    </w:p>
    <w:p>
      <w:pPr>
        <w:ind w:left="1300" w:right="1359" w:firstLine="280"/>
        <w:spacing w:after="0" w:line="244" w:lineRule="auto"/>
        <w:rPr>
          <w:sz w:val="20"/>
          <w:szCs w:val="20"/>
          <w:color w:val="auto"/>
        </w:rPr>
      </w:pPr>
      <w:r>
        <w:rPr>
          <w:rFonts w:ascii="Times New Roman" w:cs="Times New Roman" w:eastAsia="Times New Roman" w:hAnsi="Times New Roman"/>
          <w:sz w:val="14"/>
          <w:szCs w:val="14"/>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Relevant State to qualified investors as so defined or in circumstances in which the prior consent of the underwriter has been obtained to each such proposed offer or resale.</w:t>
      </w:r>
    </w:p>
    <w:p>
      <w:pPr>
        <w:spacing w:after="0" w:line="252"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The Company, the underwriter and their affiliates will rely upon the truth and accuracy of the foregoing representations, acknowledgements and agreements.</w:t>
      </w:r>
    </w:p>
    <w:p>
      <w:pPr>
        <w:spacing w:after="0" w:line="73" w:lineRule="exact"/>
        <w:rPr>
          <w:sz w:val="20"/>
          <w:szCs w:val="20"/>
          <w:color w:val="auto"/>
        </w:rPr>
      </w:pPr>
    </w:p>
    <w:p>
      <w:pPr>
        <w:ind w:left="1300" w:right="1379" w:firstLine="280"/>
        <w:spacing w:after="0" w:line="251"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8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above selling restriction is in addition to any other selling restrictions set out below.</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Kingdom</w:t>
      </w:r>
    </w:p>
    <w:p>
      <w:pPr>
        <w:spacing w:after="0" w:line="114" w:lineRule="exact"/>
        <w:rPr>
          <w:sz w:val="20"/>
          <w:szCs w:val="20"/>
          <w:color w:val="auto"/>
        </w:rPr>
      </w:pPr>
    </w:p>
    <w:p>
      <w:pPr>
        <w:jc w:val="both"/>
        <w:ind w:left="1300" w:right="1419" w:firstLine="280"/>
        <w:spacing w:after="0" w:line="259" w:lineRule="auto"/>
        <w:rPr>
          <w:sz w:val="20"/>
          <w:szCs w:val="20"/>
          <w:color w:val="auto"/>
        </w:rPr>
      </w:pPr>
      <w:r>
        <w:rPr>
          <w:rFonts w:ascii="Times New Roman" w:cs="Times New Roman" w:eastAsia="Times New Roman" w:hAnsi="Times New Roman"/>
          <w:sz w:val="14"/>
          <w:szCs w:val="14"/>
          <w:color w:val="auto"/>
        </w:rPr>
        <w:t>No shares of common stock have been offered or will be offered pursuant to this offering to the public in the United Kingdom (“UK”), except that offers of shares of common stock may be made to the public in the UK at any time:</w:t>
      </w:r>
    </w:p>
    <w:p>
      <w:pPr>
        <w:spacing w:after="0" w:line="78" w:lineRule="exact"/>
        <w:rPr>
          <w:sz w:val="20"/>
          <w:szCs w:val="20"/>
          <w:color w:val="auto"/>
        </w:rPr>
      </w:pPr>
    </w:p>
    <w:p>
      <w:pPr>
        <w:ind w:left="1860" w:hanging="271"/>
        <w:spacing w:after="0"/>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in paragraph 15 of Schedule 1 of the POATR;</w:t>
      </w:r>
    </w:p>
    <w:p>
      <w:pPr>
        <w:spacing w:after="0" w:line="112" w:lineRule="exact"/>
        <w:rPr>
          <w:rFonts w:ascii="Times New Roman" w:cs="Times New Roman" w:eastAsia="Times New Roman" w:hAnsi="Times New Roman"/>
          <w:sz w:val="14"/>
          <w:szCs w:val="14"/>
          <w:color w:val="auto"/>
        </w:rPr>
      </w:pPr>
    </w:p>
    <w:p>
      <w:pPr>
        <w:ind w:left="1860" w:right="1379" w:hanging="271"/>
        <w:spacing w:after="0" w:line="283" w:lineRule="auto"/>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in paragraph 15 of Schedule 1 of the POATR), subject to obtaining the prior consent of the underwriter for any such offer; or</w:t>
      </w:r>
    </w:p>
    <w:p>
      <w:pPr>
        <w:spacing w:after="0" w:line="72" w:lineRule="exact"/>
        <w:rPr>
          <w:rFonts w:ascii="Times New Roman" w:cs="Times New Roman" w:eastAsia="Times New Roman" w:hAnsi="Times New Roman"/>
          <w:sz w:val="14"/>
          <w:szCs w:val="14"/>
          <w:color w:val="auto"/>
        </w:rPr>
      </w:pPr>
    </w:p>
    <w:p>
      <w:pPr>
        <w:ind w:left="1860" w:hanging="271"/>
        <w:spacing w:after="0"/>
        <w:tabs>
          <w:tab w:leader="none" w:pos="1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w:t>
      </w:r>
    </w:p>
    <w:p>
      <w:pPr>
        <w:spacing w:after="0" w:line="123" w:lineRule="exact"/>
        <w:rPr>
          <w:sz w:val="20"/>
          <w:szCs w:val="20"/>
          <w:color w:val="auto"/>
        </w:rPr>
      </w:pPr>
    </w:p>
    <w:p>
      <w:pPr>
        <w:ind w:left="1300" w:right="1439" w:firstLine="280"/>
        <w:spacing w:after="0" w:line="251" w:lineRule="auto"/>
        <w:rPr>
          <w:sz w:val="20"/>
          <w:szCs w:val="20"/>
          <w:color w:val="auto"/>
        </w:rPr>
      </w:pPr>
      <w:r>
        <w:rPr>
          <w:rFonts w:ascii="Times New Roman" w:cs="Times New Roman" w:eastAsia="Times New Roman" w:hAnsi="Times New Roman"/>
          <w:sz w:val="14"/>
          <w:szCs w:val="14"/>
          <w:color w:val="auto"/>
        </w:rPr>
        <w:t>Each person in the UK who initially acquires any shares of common stock or to whom any offer is made will be deemed to have represented, acknowledged and agreed to and with the Company and the underwriter that it is a qualified investor within the meaning of paragraph 15 of Schedule 1 of the POATR.</w:t>
      </w:r>
    </w:p>
    <w:p>
      <w:pPr>
        <w:spacing w:after="0" w:line="84" w:lineRule="exact"/>
        <w:rPr>
          <w:sz w:val="20"/>
          <w:szCs w:val="20"/>
          <w:color w:val="auto"/>
        </w:rPr>
      </w:pPr>
    </w:p>
    <w:p>
      <w:pPr>
        <w:ind w:left="1300" w:right="1359" w:firstLine="280"/>
        <w:spacing w:after="0" w:line="259" w:lineRule="auto"/>
        <w:rPr>
          <w:sz w:val="20"/>
          <w:szCs w:val="20"/>
          <w:color w:val="auto"/>
        </w:rPr>
      </w:pPr>
      <w:r>
        <w:rPr>
          <w:rFonts w:ascii="Times New Roman" w:cs="Times New Roman" w:eastAsia="Times New Roman" w:hAnsi="Times New Roman"/>
          <w:sz w:val="14"/>
          <w:szCs w:val="14"/>
          <w:color w:val="auto"/>
        </w:rPr>
        <w:t>In the case of any shares of common stock being offered to a financial intermediary as that term is used in paragraph 4 of regulation 7 of the POATR, each such financial intermediary will be deemed to have represented, acknowledged and agreed that the shares of common stock acquired by it in the offer have</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559"/>
        <w:spacing w:after="0" w:line="261" w:lineRule="auto"/>
        <w:rPr>
          <w:sz w:val="20"/>
          <w:szCs w:val="20"/>
          <w:color w:val="auto"/>
        </w:rPr>
      </w:pPr>
      <w:r>
        <w:rPr>
          <w:rFonts w:ascii="Times New Roman" w:cs="Times New Roman" w:eastAsia="Times New Roman" w:hAnsi="Times New Roman"/>
          <w:sz w:val="14"/>
          <w:szCs w:val="14"/>
          <w:color w:val="auto"/>
        </w:rPr>
        <w:t>not been acquired on a non-discretionary basis on behalf of, nor have they been acquired with a view to their offer or resale to, persons in circumstances which may give rise to an offer to the public, other than their offer or resale in the UK to qualified investors as so defined or in circumstances in which the prior consent of the underwriter has been obtained to each such proposed offer or resale.</w:t>
      </w:r>
    </w:p>
    <w:p>
      <w:pPr>
        <w:spacing w:after="0" w:line="88" w:lineRule="exact"/>
        <w:rPr>
          <w:sz w:val="20"/>
          <w:szCs w:val="20"/>
          <w:color w:val="auto"/>
        </w:rPr>
      </w:pPr>
    </w:p>
    <w:p>
      <w:pPr>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The Company, the underwriter and their affiliates will rely upon the truth and accuracy of the foregoing representations, acknowledgements and agreements.</w:t>
      </w:r>
    </w:p>
    <w:p>
      <w:pPr>
        <w:spacing w:after="0" w:line="72" w:lineRule="exact"/>
        <w:rPr>
          <w:sz w:val="20"/>
          <w:szCs w:val="20"/>
          <w:color w:val="auto"/>
        </w:rPr>
      </w:pPr>
    </w:p>
    <w:p>
      <w:pPr>
        <w:ind w:left="1300" w:right="1379" w:firstLine="280"/>
        <w:spacing w:after="0" w:line="261"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any shares of common stock in the UK means the communication to any person which presents sufficient information on:</w:t>
      </w:r>
    </w:p>
    <w:p>
      <w:pPr>
        <w:spacing w:after="0" w:line="1" w:lineRule="exact"/>
        <w:rPr>
          <w:sz w:val="20"/>
          <w:szCs w:val="20"/>
          <w:color w:val="auto"/>
        </w:rPr>
      </w:pPr>
    </w:p>
    <w:p>
      <w:pPr>
        <w:ind w:left="1300" w:right="1339" w:firstLine="8"/>
        <w:spacing w:after="0" w:line="256" w:lineRule="auto"/>
        <w:tabs>
          <w:tab w:leader="none" w:pos="150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common stock to be offered; and (b) the terms on which they are to be offered, to enable an investor to decide to buy or subscribe for any shares of common stock and the expression “POATR” means the Public Offers and Admissions to Trading Regulations 2024.</w:t>
      </w:r>
    </w:p>
    <w:p>
      <w:pPr>
        <w:spacing w:after="0" w:line="80" w:lineRule="exact"/>
        <w:rPr>
          <w:sz w:val="20"/>
          <w:szCs w:val="20"/>
          <w:color w:val="auto"/>
        </w:rPr>
      </w:pPr>
    </w:p>
    <w:p>
      <w:pPr>
        <w:ind w:left="1300" w:right="1339" w:firstLine="280"/>
        <w:spacing w:after="0" w:line="253" w:lineRule="auto"/>
        <w:rPr>
          <w:sz w:val="20"/>
          <w:szCs w:val="20"/>
          <w:color w:val="auto"/>
        </w:rPr>
      </w:pPr>
      <w:r>
        <w:rPr>
          <w:rFonts w:ascii="Times New Roman" w:cs="Times New Roman" w:eastAsia="Times New Roman" w:hAnsi="Times New Roman"/>
          <w:sz w:val="14"/>
          <w:szCs w:val="14"/>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Switzerland</w:t>
      </w:r>
    </w:p>
    <w:p>
      <w:pPr>
        <w:spacing w:after="0" w:line="125" w:lineRule="exact"/>
        <w:rPr>
          <w:sz w:val="20"/>
          <w:szCs w:val="20"/>
          <w:color w:val="auto"/>
        </w:rPr>
      </w:pPr>
    </w:p>
    <w:p>
      <w:pPr>
        <w:ind w:left="1300" w:right="1359" w:firstLine="280"/>
        <w:spacing w:after="0" w:line="256" w:lineRule="auto"/>
        <w:rPr>
          <w:sz w:val="20"/>
          <w:szCs w:val="20"/>
          <w:color w:val="auto"/>
        </w:rPr>
      </w:pPr>
      <w:r>
        <w:rPr>
          <w:rFonts w:ascii="Times New Roman" w:cs="Times New Roman" w:eastAsia="Times New Roman" w:hAnsi="Times New Roman"/>
          <w:sz w:val="14"/>
          <w:szCs w:val="14"/>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91" w:lineRule="exact"/>
        <w:rPr>
          <w:sz w:val="20"/>
          <w:szCs w:val="20"/>
          <w:color w:val="auto"/>
        </w:rPr>
      </w:pPr>
    </w:p>
    <w:p>
      <w:pPr>
        <w:ind w:left="1300" w:right="1439" w:firstLine="280"/>
        <w:spacing w:after="0" w:line="256"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3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Dubai International Financial Centre</w:t>
      </w:r>
    </w:p>
    <w:p>
      <w:pPr>
        <w:spacing w:after="0" w:line="114" w:lineRule="exact"/>
        <w:rPr>
          <w:sz w:val="20"/>
          <w:szCs w:val="20"/>
          <w:color w:val="auto"/>
        </w:rPr>
      </w:pPr>
    </w:p>
    <w:p>
      <w:pPr>
        <w:ind w:left="1300" w:right="1359" w:firstLine="280"/>
        <w:spacing w:after="0" w:line="254"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Australia</w:t>
      </w:r>
    </w:p>
    <w:p>
      <w:pPr>
        <w:spacing w:after="0" w:line="125" w:lineRule="exact"/>
        <w:rPr>
          <w:sz w:val="20"/>
          <w:szCs w:val="20"/>
          <w:color w:val="auto"/>
        </w:rPr>
      </w:pPr>
    </w:p>
    <w:p>
      <w:pPr>
        <w:ind w:left="1300" w:right="1419" w:firstLine="280"/>
        <w:spacing w:after="0" w:line="248"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251" w:lineRule="exact"/>
        <w:rPr>
          <w:sz w:val="20"/>
          <w:szCs w:val="20"/>
          <w:color w:val="auto"/>
        </w:rPr>
      </w:pPr>
    </w:p>
    <w:p>
      <w:pPr>
        <w:ind w:left="1300" w:right="1599" w:firstLine="280"/>
        <w:spacing w:after="0" w:line="247" w:lineRule="auto"/>
        <w:rPr>
          <w:sz w:val="20"/>
          <w:szCs w:val="20"/>
          <w:color w:val="auto"/>
        </w:rPr>
      </w:pPr>
      <w:r>
        <w:rPr>
          <w:rFonts w:ascii="Times New Roman" w:cs="Times New Roman" w:eastAsia="Times New Roman" w:hAnsi="Times New Roman"/>
          <w:sz w:val="14"/>
          <w:szCs w:val="14"/>
          <w:color w:val="auto"/>
        </w:rPr>
        <w:t>Any offer in Australia of the shares of common stock may only be made to persons (the “Exempt Investors”) who are “sophisticated investors” ​(within the meaning of section 708(8) of the Corporations</w:t>
      </w:r>
    </w:p>
    <w:p>
      <w:pPr>
        <w:ind w:left="1300" w:right="1359"/>
        <w:spacing w:after="0" w:line="247" w:lineRule="auto"/>
        <w:rPr>
          <w:sz w:val="20"/>
          <w:szCs w:val="20"/>
          <w:color w:val="auto"/>
        </w:rPr>
      </w:pPr>
      <w:r>
        <w:rPr>
          <w:rFonts w:ascii="Times New Roman" w:cs="Times New Roman" w:eastAsia="Times New Roman" w:hAnsi="Times New Roman"/>
          <w:sz w:val="14"/>
          <w:szCs w:val="14"/>
          <w:color w:val="auto"/>
        </w:rPr>
        <w:t>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w:t>
      </w:r>
    </w:p>
    <w:p>
      <w:pPr>
        <w:spacing w:after="0" w:line="86"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9" w:lineRule="exact"/>
        <w:rPr>
          <w:sz w:val="20"/>
          <w:szCs w:val="20"/>
          <w:color w:val="auto"/>
        </w:rPr>
      </w:pPr>
    </w:p>
    <w:p>
      <w:pPr>
        <w:ind w:left="1300" w:right="1559" w:firstLine="280"/>
        <w:spacing w:after="0" w:line="247" w:lineRule="auto"/>
        <w:rPr>
          <w:sz w:val="20"/>
          <w:szCs w:val="20"/>
          <w:color w:val="auto"/>
        </w:rPr>
      </w:pPr>
      <w:r>
        <w:rPr>
          <w:rFonts w:ascii="Times New Roman" w:cs="Times New Roman" w:eastAsia="Times New Roman" w:hAnsi="Times New Roman"/>
          <w:sz w:val="14"/>
          <w:szCs w:val="14"/>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Hong Kong</w:t>
      </w:r>
    </w:p>
    <w:p>
      <w:pPr>
        <w:spacing w:after="0" w:line="125" w:lineRule="exact"/>
        <w:rPr>
          <w:sz w:val="20"/>
          <w:szCs w:val="20"/>
          <w:color w:val="auto"/>
        </w:rPr>
      </w:pPr>
    </w:p>
    <w:p>
      <w:pPr>
        <w:ind w:left="1300" w:right="1339" w:firstLine="280"/>
        <w:spacing w:after="0" w:line="253" w:lineRule="auto"/>
        <w:rPr>
          <w:sz w:val="20"/>
          <w:szCs w:val="20"/>
          <w:color w:val="auto"/>
        </w:rPr>
      </w:pPr>
      <w:r>
        <w:rPr>
          <w:rFonts w:ascii="Times New Roman" w:cs="Times New Roman" w:eastAsia="Times New Roman" w:hAnsi="Times New Roman"/>
          <w:sz w:val="14"/>
          <w:szCs w:val="14"/>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Japan</w:t>
      </w:r>
    </w:p>
    <w:p>
      <w:pPr>
        <w:spacing w:after="0" w:line="114"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Singapore</w:t>
      </w:r>
    </w:p>
    <w:p>
      <w:pPr>
        <w:spacing w:after="0" w:line="125" w:lineRule="exact"/>
        <w:rPr>
          <w:sz w:val="20"/>
          <w:szCs w:val="20"/>
          <w:color w:val="auto"/>
        </w:rPr>
      </w:pPr>
    </w:p>
    <w:p>
      <w:pPr>
        <w:ind w:left="1300" w:right="1539" w:firstLine="280"/>
        <w:spacing w:after="0" w:line="283"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the shares of common stock were not offered or sold or caused to be made the subject of an</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spacing w:after="0" w:line="254" w:lineRule="auto"/>
        <w:rPr>
          <w:sz w:val="20"/>
          <w:szCs w:val="20"/>
          <w:color w:val="auto"/>
        </w:rPr>
      </w:pPr>
      <w:r>
        <w:rPr>
          <w:rFonts w:ascii="Times New Roman" w:cs="Times New Roman" w:eastAsia="Times New Roman" w:hAnsi="Times New Roman"/>
          <w:sz w:val="14"/>
          <w:szCs w:val="14"/>
          <w:color w:val="auto"/>
        </w:rPr>
        <w:t>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94" w:lineRule="exact"/>
        <w:rPr>
          <w:sz w:val="20"/>
          <w:szCs w:val="20"/>
          <w:color w:val="auto"/>
        </w:rPr>
      </w:pPr>
    </w:p>
    <w:p>
      <w:pPr>
        <w:ind w:left="1300" w:right="1639" w:firstLine="280"/>
        <w:spacing w:after="0" w:line="283" w:lineRule="auto"/>
        <w:rPr>
          <w:sz w:val="20"/>
          <w:szCs w:val="20"/>
          <w:color w:val="auto"/>
        </w:rPr>
      </w:pPr>
      <w:r>
        <w:rPr>
          <w:rFonts w:ascii="Times New Roman" w:cs="Times New Roman" w:eastAsia="Times New Roman" w:hAnsi="Times New Roman"/>
          <w:sz w:val="14"/>
          <w:szCs w:val="14"/>
          <w:color w:val="auto"/>
        </w:rPr>
        <w:t>Where the shares of common stock are subscribed or purchased under Section 275 of the SFA by a relevant person which is:</w:t>
      </w:r>
    </w:p>
    <w:p>
      <w:pPr>
        <w:spacing w:after="0" w:line="72" w:lineRule="exact"/>
        <w:rPr>
          <w:sz w:val="20"/>
          <w:szCs w:val="20"/>
          <w:color w:val="auto"/>
        </w:rPr>
      </w:pPr>
    </w:p>
    <w:p>
      <w:pPr>
        <w:jc w:val="both"/>
        <w:ind w:left="1860" w:right="1439" w:hanging="271"/>
        <w:spacing w:after="0" w:line="267"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2" w:lineRule="exact"/>
        <w:rPr>
          <w:rFonts w:ascii="Times New Roman" w:cs="Times New Roman" w:eastAsia="Times New Roman" w:hAnsi="Times New Roman"/>
          <w:sz w:val="14"/>
          <w:szCs w:val="14"/>
          <w:color w:val="auto"/>
        </w:rPr>
      </w:pPr>
    </w:p>
    <w:p>
      <w:pPr>
        <w:ind w:left="1860" w:right="1439" w:hanging="271"/>
        <w:spacing w:after="0" w:line="283" w:lineRule="auto"/>
        <w:tabs>
          <w:tab w:leader="none" w:pos="18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w:t>
      </w:r>
    </w:p>
    <w:p>
      <w:pPr>
        <w:spacing w:after="0" w:line="72" w:lineRule="exact"/>
        <w:rPr>
          <w:sz w:val="20"/>
          <w:szCs w:val="20"/>
          <w:color w:val="auto"/>
        </w:rPr>
      </w:pPr>
    </w:p>
    <w:p>
      <w:pPr>
        <w:ind w:left="1300" w:right="1419"/>
        <w:spacing w:after="0" w:line="261" w:lineRule="auto"/>
        <w:rPr>
          <w:sz w:val="20"/>
          <w:szCs w:val="20"/>
          <w:color w:val="auto"/>
        </w:rPr>
      </w:pPr>
      <w:r>
        <w:rPr>
          <w:rFonts w:ascii="Times New Roman" w:cs="Times New Roman" w:eastAsia="Times New Roman" w:hAnsi="Times New Roman"/>
          <w:sz w:val="14"/>
          <w:szCs w:val="14"/>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8" w:lineRule="exact"/>
        <w:rPr>
          <w:sz w:val="20"/>
          <w:szCs w:val="20"/>
          <w:color w:val="auto"/>
        </w:rPr>
      </w:pPr>
    </w:p>
    <w:p>
      <w:pPr>
        <w:ind w:left="1860" w:right="1459" w:hanging="271"/>
        <w:spacing w:after="0" w:line="283"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arising from an offer referred to in Section 275(1A) or Section 276(4)(i)(B) of the SFA;</w:t>
      </w:r>
    </w:p>
    <w:p>
      <w:pPr>
        <w:spacing w:after="0" w:line="61" w:lineRule="exact"/>
        <w:rPr>
          <w:rFonts w:ascii="Times New Roman" w:cs="Times New Roman" w:eastAsia="Times New Roman" w:hAnsi="Times New Roman"/>
          <w:sz w:val="14"/>
          <w:szCs w:val="14"/>
          <w:color w:val="auto"/>
        </w:rPr>
      </w:pPr>
    </w:p>
    <w:p>
      <w:pPr>
        <w:ind w:left="1860" w:hanging="271"/>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22" w:lineRule="exact"/>
        <w:rPr>
          <w:rFonts w:ascii="Times New Roman" w:cs="Times New Roman" w:eastAsia="Times New Roman" w:hAnsi="Times New Roman"/>
          <w:sz w:val="14"/>
          <w:szCs w:val="14"/>
          <w:color w:val="auto"/>
        </w:rPr>
      </w:pPr>
    </w:p>
    <w:p>
      <w:pPr>
        <w:ind w:left="1860" w:hanging="271"/>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 or</w:t>
      </w:r>
    </w:p>
    <w:p>
      <w:pPr>
        <w:spacing w:after="0" w:line="122" w:lineRule="exact"/>
        <w:rPr>
          <w:rFonts w:ascii="Times New Roman" w:cs="Times New Roman" w:eastAsia="Times New Roman" w:hAnsi="Times New Roman"/>
          <w:sz w:val="14"/>
          <w:szCs w:val="14"/>
          <w:color w:val="auto"/>
        </w:rPr>
      </w:pPr>
    </w:p>
    <w:p>
      <w:pPr>
        <w:ind w:left="1860" w:hanging="271"/>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Canada</w:t>
      </w:r>
    </w:p>
    <w:p>
      <w:pPr>
        <w:spacing w:after="0" w:line="114" w:lineRule="exact"/>
        <w:rPr>
          <w:sz w:val="20"/>
          <w:szCs w:val="20"/>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 xml:space="preserve">The shares of common stock may be sold only to purchasers purchasing, or deemed to be purchasing, as principal that are accredited investors, as defined in National Instrument 45-106 </w:t>
      </w:r>
      <w:r>
        <w:rPr>
          <w:rFonts w:ascii="Times New Roman" w:cs="Times New Roman" w:eastAsia="Times New Roman" w:hAnsi="Times New Roman"/>
          <w:sz w:val="14"/>
          <w:szCs w:val="14"/>
          <w:i w:val="1"/>
          <w:iCs w:val="1"/>
          <w:color w:val="auto"/>
        </w:rPr>
        <w:t>Prospectus Exemptions</w:t>
      </w:r>
      <w:r>
        <w:rPr>
          <w:rFonts w:ascii="Times New Roman" w:cs="Times New Roman" w:eastAsia="Times New Roman" w:hAnsi="Times New Roman"/>
          <w:sz w:val="14"/>
          <w:szCs w:val="14"/>
          <w:color w:val="auto"/>
        </w:rPr>
        <w:t xml:space="preserve"> or subsection 73.3(1) of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xml:space="preserve"> (Ontario), and are permitted clients, as defined in National Instrument 31-103 </w:t>
      </w:r>
      <w:r>
        <w:rPr>
          <w:rFonts w:ascii="Times New Roman" w:cs="Times New Roman" w:eastAsia="Times New Roman" w:hAnsi="Times New Roman"/>
          <w:sz w:val="14"/>
          <w:szCs w:val="14"/>
          <w:i w:val="1"/>
          <w:iCs w:val="1"/>
          <w:color w:val="auto"/>
        </w:rPr>
        <w:t>Registration Requirements, Exemptions and Ongoing Registrant Obligations</w:t>
      </w:r>
      <w:r>
        <w:rPr>
          <w:rFonts w:ascii="Times New Roman" w:cs="Times New Roman" w:eastAsia="Times New Roman" w:hAnsi="Times New Roman"/>
          <w:sz w:val="14"/>
          <w:szCs w:val="14"/>
          <w:color w:val="auto"/>
        </w:rPr>
        <w:t>. Any resale of the shares of common stock must be made in accordance with an exemption from, or in a transaction not subject to, the prospectus requirements of applicable securities laws.</w:t>
      </w:r>
    </w:p>
    <w:p>
      <w:pPr>
        <w:spacing w:after="0" w:line="90" w:lineRule="exact"/>
        <w:rPr>
          <w:sz w:val="20"/>
          <w:szCs w:val="20"/>
          <w:color w:val="auto"/>
        </w:rPr>
      </w:pPr>
    </w:p>
    <w:p>
      <w:pPr>
        <w:ind w:left="1300" w:right="1659" w:firstLine="280"/>
        <w:spacing w:after="0" w:line="257"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0" w:lineRule="exact"/>
        <w:rPr>
          <w:sz w:val="20"/>
          <w:szCs w:val="20"/>
          <w:color w:val="auto"/>
        </w:rPr>
      </w:pPr>
    </w:p>
    <w:p>
      <w:pPr>
        <w:ind w:left="1300" w:right="1359" w:firstLine="280"/>
        <w:spacing w:after="0" w:line="261" w:lineRule="auto"/>
        <w:rPr>
          <w:sz w:val="20"/>
          <w:szCs w:val="20"/>
          <w:color w:val="auto"/>
        </w:rPr>
      </w:pPr>
      <w:r>
        <w:rPr>
          <w:rFonts w:ascii="Times New Roman" w:cs="Times New Roman" w:eastAsia="Times New Roman" w:hAnsi="Times New Roman"/>
          <w:sz w:val="14"/>
          <w:szCs w:val="14"/>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4"/>
          <w:szCs w:val="14"/>
          <w:i w:val="1"/>
          <w:iCs w:val="1"/>
          <w:color w:val="auto"/>
        </w:rPr>
        <w:t>Underwriting Conflicts</w:t>
      </w:r>
      <w:r>
        <w:rPr>
          <w:rFonts w:ascii="Times New Roman" w:cs="Times New Roman" w:eastAsia="Times New Roman" w:hAnsi="Times New Roman"/>
          <w:sz w:val="14"/>
          <w:szCs w:val="14"/>
          <w:color w:val="auto"/>
        </w:rPr>
        <w:t xml:space="preserve"> (NI 33-105), the underwriter is not required to comply with the disclosure requirements of NI 33-105 regarding underwriter conflicts of interest in connection with this offering.</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FOR NON-U.S. HOLDERS</w:t>
      </w:r>
    </w:p>
    <w:p>
      <w:pPr>
        <w:spacing w:after="0" w:line="125" w:lineRule="exact"/>
        <w:rPr>
          <w:sz w:val="20"/>
          <w:szCs w:val="20"/>
          <w:color w:val="auto"/>
        </w:rPr>
      </w:pPr>
    </w:p>
    <w:p>
      <w:pPr>
        <w:ind w:left="1300" w:right="1319" w:firstLine="280"/>
        <w:spacing w:after="0" w:line="253" w:lineRule="auto"/>
        <w:rPr>
          <w:sz w:val="20"/>
          <w:szCs w:val="20"/>
          <w:color w:val="auto"/>
        </w:rPr>
      </w:pPr>
      <w:r>
        <w:rPr>
          <w:rFonts w:ascii="Times New Roman" w:cs="Times New Roman" w:eastAsia="Times New Roman" w:hAnsi="Times New Roman"/>
          <w:sz w:val="14"/>
          <w:szCs w:val="14"/>
          <w:color w:val="auto"/>
        </w:rPr>
        <w:t>The following is a summary of U.S. federal income tax considerations generally applicable to Non-U.S. Holders (as defined below) with respect to the ownership and disposition of shares of our common stock issued pursuant to this offering that are held by such Non-U.S. Holders as a capital asset (generally, property held for investment) within the meaning of the Internal Revenue Code of 1986, as amended (the “Code”). This summary is based on the Code, Treasury Regulations promulgated thereunder, judicial decisions, administrative rulings and published positions of the Internal Revenue Service (“IRS”) and other applicable authorities, in each case as in effect as of the date of this document and all of which are subject to change, possibly with retroactive effect. This summary is not binding on the IRS and there can be no assurance that the IRS or a court will agree with the conclusions stated herein. This summary is not a complete description of all of the U.S. federal income tax considerations that may be relevant to a particular Non-U.S. Holder. In addition, this summary does not address considerations relevant to Non-U.S. Holders subject to special rules, including, without limitation:</w:t>
      </w:r>
    </w:p>
    <w:p>
      <w:pPr>
        <w:spacing w:after="0" w:line="236" w:lineRule="exact"/>
        <w:rPr>
          <w:sz w:val="20"/>
          <w:szCs w:val="20"/>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 or currencies;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former citizens or residents of the United States;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elect to mark their securities to market;</w:t>
      </w:r>
    </w:p>
    <w:p>
      <w:pPr>
        <w:spacing w:after="0" w:line="91" w:lineRule="exact"/>
        <w:rPr>
          <w:rFonts w:ascii="Times New Roman" w:cs="Times New Roman" w:eastAsia="Times New Roman" w:hAnsi="Times New Roman"/>
          <w:sz w:val="14"/>
          <w:szCs w:val="14"/>
          <w:color w:val="auto"/>
        </w:rPr>
      </w:pPr>
    </w:p>
    <w:p>
      <w:pPr>
        <w:ind w:left="1720" w:right="1779" w:hanging="131"/>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common stock as part of a straddle, hedge, conversion or other integrated transaction;</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common stock under the constructive sale provisions of the Code;</w:t>
      </w:r>
    </w:p>
    <w:p>
      <w:pPr>
        <w:spacing w:after="0" w:line="91"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acquired shares of our common stock as compensation or otherwise in connection with the performance of services;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passive foreign investment companies; and</w:t>
      </w:r>
    </w:p>
    <w:p>
      <w:pPr>
        <w:spacing w:after="0" w:line="101" w:lineRule="exact"/>
        <w:rPr>
          <w:rFonts w:ascii="Times New Roman" w:cs="Times New Roman" w:eastAsia="Times New Roman" w:hAnsi="Times New Roman"/>
          <w:sz w:val="14"/>
          <w:szCs w:val="14"/>
          <w:color w:val="auto"/>
        </w:rPr>
      </w:pPr>
    </w:p>
    <w:p>
      <w:pPr>
        <w:ind w:left="1720" w:right="1579" w:hanging="131"/>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partnerships for U.S. federal income tax purposes) or other pass-through entities.</w:t>
      </w:r>
    </w:p>
    <w:p>
      <w:pPr>
        <w:spacing w:after="0" w:line="62" w:lineRule="exact"/>
        <w:rPr>
          <w:sz w:val="20"/>
          <w:szCs w:val="20"/>
          <w:color w:val="auto"/>
        </w:rPr>
      </w:pPr>
    </w:p>
    <w:p>
      <w:pPr>
        <w:ind w:left="1300" w:right="1439" w:firstLine="280"/>
        <w:spacing w:after="0" w:line="257" w:lineRule="auto"/>
        <w:rPr>
          <w:sz w:val="20"/>
          <w:szCs w:val="20"/>
          <w:color w:val="auto"/>
        </w:rPr>
      </w:pPr>
      <w:r>
        <w:rPr>
          <w:rFonts w:ascii="Times New Roman" w:cs="Times New Roman" w:eastAsia="Times New Roman" w:hAnsi="Times New Roman"/>
          <w:sz w:val="14"/>
          <w:szCs w:val="14"/>
          <w:color w:val="auto"/>
        </w:rPr>
        <w:t>If a partnership (or other entity or arrangement treated as a partnership for U.S. federal income tax purposes) holds shares of our common stock, the U.S. federal income tax treatment of a partner in the partnership will generally depend on the status of the partner and the activities of the partnership. Partnerships, and partners of a partnership, holding shares of our common stock should consult their tax advisors regarding the U.S. federal income tax consequences to them of owning and disposing of shares of our common stock.</w:t>
      </w:r>
    </w:p>
    <w:p>
      <w:pPr>
        <w:spacing w:after="0" w:line="263" w:lineRule="exact"/>
        <w:rPr>
          <w:sz w:val="20"/>
          <w:szCs w:val="20"/>
          <w:color w:val="auto"/>
        </w:rPr>
      </w:pPr>
    </w:p>
    <w:p>
      <w:pPr>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In addition, this summary does not address any U.S. state or local or non-U.S. tax considerations or any U.S. federal estate, gift, alternative minimum tax or Medicare contribution tax considerations. Non-U.S. Holders should consult their tax advisors regarding the particular tax considerations to them of owning and disposing of shares of our common stock.</w:t>
      </w:r>
    </w:p>
    <w:p>
      <w:pPr>
        <w:spacing w:after="0" w:line="88" w:lineRule="exact"/>
        <w:rPr>
          <w:sz w:val="20"/>
          <w:szCs w:val="20"/>
          <w:color w:val="auto"/>
        </w:rPr>
      </w:pPr>
    </w:p>
    <w:p>
      <w:pPr>
        <w:ind w:left="1300" w:right="1399" w:firstLine="280"/>
        <w:spacing w:after="0" w:line="267" w:lineRule="auto"/>
        <w:rPr>
          <w:sz w:val="20"/>
          <w:szCs w:val="20"/>
          <w:color w:val="auto"/>
        </w:rPr>
      </w:pPr>
      <w:r>
        <w:rPr>
          <w:rFonts w:ascii="Times New Roman" w:cs="Times New Roman" w:eastAsia="Times New Roman" w:hAnsi="Times New Roman"/>
          <w:sz w:val="14"/>
          <w:szCs w:val="14"/>
          <w:color w:val="auto"/>
        </w:rPr>
        <w:t>For purposes of this discussion, a “Non-U.S. Holder” is a beneficial owner of shares of our common stock that, for U.S. federal income tax purposes, is an individual, corporation, estate or trust that is not, and is not treated as, any of the following:</w:t>
      </w:r>
    </w:p>
    <w:p>
      <w:pPr>
        <w:spacing w:after="0" w:line="51" w:lineRule="exact"/>
        <w:rPr>
          <w:sz w:val="20"/>
          <w:szCs w:val="20"/>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1" w:lineRule="exact"/>
        <w:rPr>
          <w:rFonts w:ascii="Times New Roman" w:cs="Times New Roman" w:eastAsia="Times New Roman" w:hAnsi="Times New Roman"/>
          <w:sz w:val="14"/>
          <w:szCs w:val="14"/>
          <w:color w:val="auto"/>
        </w:rPr>
      </w:pPr>
    </w:p>
    <w:p>
      <w:pPr>
        <w:ind w:left="1720" w:right="1379" w:hanging="131"/>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treated as a corporation for U.S. federal income tax purposes) created or organized in or under the laws of the United States, any state thereof, or the District of Columbia;</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hanging="131"/>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101" w:lineRule="exact"/>
        <w:rPr>
          <w:rFonts w:ascii="Times New Roman" w:cs="Times New Roman" w:eastAsia="Times New Roman" w:hAnsi="Times New Roman"/>
          <w:sz w:val="14"/>
          <w:szCs w:val="14"/>
          <w:color w:val="auto"/>
        </w:rPr>
      </w:pPr>
    </w:p>
    <w:p>
      <w:pPr>
        <w:ind w:left="1720" w:right="1379" w:hanging="131"/>
        <w:spacing w:after="0" w:line="261"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 the administration of which is subject to the primary supervision of a court within the United States and for which one or more United States persons (as defined in Section 7701(a)(30) of the Code) have the authority to control all substantial decisions, or (ii) that has otherwise validly elected to be treated as a U.S. person under the applicable Treasury Regulations.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14" w:lineRule="exact"/>
        <w:rPr>
          <w:sz w:val="20"/>
          <w:szCs w:val="20"/>
          <w:color w:val="auto"/>
        </w:rPr>
      </w:pPr>
    </w:p>
    <w:p>
      <w:pPr>
        <w:ind w:left="1300" w:right="1359" w:firstLine="280"/>
        <w:spacing w:after="0" w:line="254" w:lineRule="auto"/>
        <w:rPr>
          <w:sz w:val="20"/>
          <w:szCs w:val="20"/>
          <w:color w:val="auto"/>
        </w:rPr>
      </w:pPr>
      <w:r>
        <w:rPr>
          <w:rFonts w:ascii="Times New Roman" w:cs="Times New Roman" w:eastAsia="Times New Roman" w:hAnsi="Times New Roman"/>
          <w:sz w:val="14"/>
          <w:szCs w:val="14"/>
          <w:color w:val="auto"/>
        </w:rPr>
        <w:t>As discussed in the section of this prospectus supplement titled “Dividends,” we do not currently anticipate paying cash dividends on our common stock in the foreseeable future. However, if we do make distributions of cash or property (other than certain stock distributions) with respect to shares of our common stock (or if we engage in certain redemptions that are treated as distributions with respect to shares of our common stock), any such distributions will generally be treated as dividends to the extent paid from our current or accumulated earnings and profits, as determined under U.S. federal income tax principles. Amounts of such distributions in excess of our current and accumulated earnings and profits will be treated, first, as a return of capital and be applied against and reduce a Non-U.S. Holder’s adjusted tax basis in its shares of our common stock (but not below zero) and, thereafter, as capital gain, which is subject to the tax treatment described below under “— Sale or Other Taxable Disposition.”</w:t>
      </w:r>
    </w:p>
    <w:p>
      <w:pPr>
        <w:spacing w:after="0" w:line="94" w:lineRule="exact"/>
        <w:rPr>
          <w:sz w:val="20"/>
          <w:szCs w:val="20"/>
          <w:color w:val="auto"/>
        </w:rPr>
      </w:pPr>
    </w:p>
    <w:p>
      <w:pPr>
        <w:ind w:left="1300" w:right="1379" w:firstLine="280"/>
        <w:spacing w:after="0" w:line="255" w:lineRule="auto"/>
        <w:rPr>
          <w:sz w:val="20"/>
          <w:szCs w:val="20"/>
          <w:color w:val="auto"/>
        </w:rPr>
      </w:pPr>
      <w:r>
        <w:rPr>
          <w:rFonts w:ascii="Times New Roman" w:cs="Times New Roman" w:eastAsia="Times New Roman" w:hAnsi="Times New Roman"/>
          <w:sz w:val="14"/>
          <w:szCs w:val="14"/>
          <w:color w:val="auto"/>
        </w:rPr>
        <w:t>Subject to the discussion below on effectively connected income, dividends paid to a Non-U.S. Holder with respect to shares of our common stock will generally be subject to U.S. federal withholding tax at a rate of thirty percent (30%) of the gross amount of the dividends (or such lower rate specified by an applicable income tax treaty, provided the Non-U.S. Holder furnishes a properly executed IRS Form W-8BEN or W-8BEN-E (or its successor form or other applicable documentation) certifying its qualification for such lower treaty rate). A Non-U.S. Holder that does not timely furnish the required documentation, but that qualifies for a reduced treaty rate, may obtain a refund of any excess amounts withheld by timely filing an appropriate claim for refund with the IRS.</w:t>
      </w:r>
    </w:p>
    <w:p>
      <w:pPr>
        <w:spacing w:after="0" w:line="93" w:lineRule="exact"/>
        <w:rPr>
          <w:sz w:val="20"/>
          <w:szCs w:val="20"/>
          <w:color w:val="auto"/>
        </w:rPr>
      </w:pPr>
    </w:p>
    <w:p>
      <w:pPr>
        <w:ind w:left="1300" w:right="1519" w:firstLine="280"/>
        <w:spacing w:after="0" w:line="261" w:lineRule="auto"/>
        <w:rPr>
          <w:sz w:val="20"/>
          <w:szCs w:val="20"/>
          <w:color w:val="auto"/>
        </w:rPr>
      </w:pPr>
      <w:r>
        <w:rPr>
          <w:rFonts w:ascii="Times New Roman" w:cs="Times New Roman" w:eastAsia="Times New Roman" w:hAnsi="Times New Roman"/>
          <w:sz w:val="14"/>
          <w:szCs w:val="14"/>
          <w:color w:val="auto"/>
        </w:rPr>
        <w:t>Non-U.S. Holders should expect that the gross amount of any actual distributions with respect to our common stock will generally be subject to U.S. withholding tax, unless the applicable withholding agent elects to withhold a lesser amount based on a reasonable estimate of the amount of the distribution that would be treated as a dividend.</w:t>
      </w:r>
    </w:p>
    <w:p>
      <w:pPr>
        <w:spacing w:after="0" w:line="78" w:lineRule="exact"/>
        <w:rPr>
          <w:sz w:val="20"/>
          <w:szCs w:val="20"/>
          <w:color w:val="auto"/>
        </w:rPr>
      </w:pPr>
    </w:p>
    <w:p>
      <w:pPr>
        <w:ind w:left="1300" w:right="1339" w:firstLine="280"/>
        <w:spacing w:after="0" w:line="253" w:lineRule="auto"/>
        <w:rPr>
          <w:sz w:val="20"/>
          <w:szCs w:val="20"/>
          <w:color w:val="auto"/>
        </w:rPr>
      </w:pPr>
      <w:r>
        <w:rPr>
          <w:rFonts w:ascii="Times New Roman" w:cs="Times New Roman" w:eastAsia="Times New Roman" w:hAnsi="Times New Roman"/>
          <w:sz w:val="14"/>
          <w:szCs w:val="14"/>
          <w:color w:val="auto"/>
        </w:rPr>
        <w:t>No amounts in respect of U.S. federal withholding tax will generally be withheld from dividends paid to a Non-U.S. Holder if the dividends are effectively connected with such Non-U.S. Holder’s conduct of a trade or business within the United States (and, if required by an applicable income tax treaty, are attributable to a permanent establishment or fixed base maintained by such Non-U.S. Holder in the United States) and the Non-U.S. Holder provides a properly executed IRS Form W-8ECI (or its successor form or other applicable documentation). Any such effectively connected dividends will instead generally be subject to U.S. federal income tax on a net income basis at the regular graduated rates that apply to U.S. persons. A Non-U.S. Holder that is treated as a corporation for U.S. federal income tax purposes receiving effectively connected dividends may also be subject to an additional “branch profits tax” imposed at a rate of</w:t>
      </w:r>
    </w:p>
    <w:p>
      <w:pPr>
        <w:spacing w:after="0" w:line="1" w:lineRule="exact"/>
        <w:rPr>
          <w:sz w:val="20"/>
          <w:szCs w:val="20"/>
          <w:color w:val="auto"/>
        </w:rPr>
      </w:pPr>
    </w:p>
    <w:p>
      <w:pPr>
        <w:ind w:left="1300" w:right="1479"/>
        <w:spacing w:after="0" w:line="256" w:lineRule="auto"/>
        <w:rPr>
          <w:sz w:val="20"/>
          <w:szCs w:val="20"/>
          <w:color w:val="auto"/>
        </w:rPr>
      </w:pPr>
      <w:r>
        <w:rPr>
          <w:rFonts w:ascii="Times New Roman" w:cs="Times New Roman" w:eastAsia="Times New Roman" w:hAnsi="Times New Roman"/>
          <w:sz w:val="14"/>
          <w:szCs w:val="14"/>
          <w:color w:val="auto"/>
        </w:rPr>
        <w:t>thirty percent (30%) (or a lower rate specified by an applicable income tax treaty) on its effectively connected earnings and profits (subject to certain adjustments). Non-U.S. Holders should consult their tax advisors regarding their entitlement to benefits under any applicable income tax treaty.</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Sale or Other Taxable Disposition</w:t>
      </w:r>
    </w:p>
    <w:p>
      <w:pPr>
        <w:spacing w:after="0" w:line="125" w:lineRule="exact"/>
        <w:rPr>
          <w:sz w:val="20"/>
          <w:szCs w:val="20"/>
          <w:color w:val="auto"/>
        </w:rPr>
      </w:pPr>
    </w:p>
    <w:p>
      <w:pPr>
        <w:ind w:left="1300" w:right="1379" w:firstLine="280"/>
        <w:spacing w:after="0" w:line="283" w:lineRule="auto"/>
        <w:rPr>
          <w:sz w:val="20"/>
          <w:szCs w:val="20"/>
          <w:color w:val="auto"/>
        </w:rPr>
      </w:pPr>
      <w:r>
        <w:rPr>
          <w:rFonts w:ascii="Times New Roman" w:cs="Times New Roman" w:eastAsia="Times New Roman" w:hAnsi="Times New Roman"/>
          <w:sz w:val="14"/>
          <w:szCs w:val="14"/>
          <w:color w:val="auto"/>
        </w:rPr>
        <w:t>A Non-U.S. Holder will not be subject to U.S. federal income tax on any gain realized upon the sale or other taxable disposition of shares of our common stock unless:</w:t>
      </w:r>
    </w:p>
    <w:p>
      <w:pPr>
        <w:spacing w:after="0" w:line="41" w:lineRule="exact"/>
        <w:rPr>
          <w:sz w:val="20"/>
          <w:szCs w:val="20"/>
          <w:color w:val="auto"/>
        </w:rPr>
      </w:pPr>
    </w:p>
    <w:p>
      <w:pPr>
        <w:ind w:left="1720" w:right="1519" w:hanging="131"/>
        <w:spacing w:after="0" w:line="267"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gain is “effectively connected” with a trade or business of the Non-U.S. Holder in the United States (and, if required by an applicable income tax treaty, is attributable to a permanent establishment or fixed base maintained by the Non-U.S. Holder in the United States);</w:t>
      </w:r>
    </w:p>
    <w:p>
      <w:pPr>
        <w:spacing w:after="0" w:line="51" w:lineRule="exact"/>
        <w:rPr>
          <w:rFonts w:ascii="Times New Roman" w:cs="Times New Roman" w:eastAsia="Times New Roman" w:hAnsi="Times New Roman"/>
          <w:sz w:val="14"/>
          <w:szCs w:val="14"/>
          <w:color w:val="auto"/>
        </w:rPr>
      </w:pPr>
    </w:p>
    <w:p>
      <w:pPr>
        <w:ind w:left="1720" w:right="1559" w:hanging="131"/>
        <w:spacing w:after="0" w:line="283"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 or</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679" w:hanging="131"/>
        <w:spacing w:after="0" w:line="283"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constitutes a U.S. real property interest by reason of our status as a U.S. real property holding corporation (“USRPHC”) for U.S. federal income tax purposes.</w:t>
      </w:r>
    </w:p>
    <w:p>
      <w:pPr>
        <w:spacing w:after="0" w:line="72" w:lineRule="exact"/>
        <w:rPr>
          <w:sz w:val="20"/>
          <w:szCs w:val="20"/>
          <w:color w:val="auto"/>
        </w:rPr>
      </w:pPr>
    </w:p>
    <w:p>
      <w:pPr>
        <w:ind w:left="1300" w:right="1379" w:firstLine="280"/>
        <w:spacing w:after="0" w:line="261" w:lineRule="auto"/>
        <w:rPr>
          <w:sz w:val="20"/>
          <w:szCs w:val="20"/>
          <w:color w:val="auto"/>
        </w:rPr>
      </w:pPr>
      <w:r>
        <w:rPr>
          <w:rFonts w:ascii="Times New Roman" w:cs="Times New Roman" w:eastAsia="Times New Roman" w:hAnsi="Times New Roman"/>
          <w:sz w:val="14"/>
          <w:szCs w:val="14"/>
          <w:color w:val="auto"/>
        </w:rPr>
        <w:t>Gain described in the first bullet point above will generally be subject to U.S. federal income tax on a net income basis at the regular graduated rates that apply to U.S. persons. A Non-U.S. Holder that is treated as a corporation for U.S. federal income tax purposes may also be subject to an additional “branch profits tax” as discussed above under “— Distributions.”</w:t>
      </w:r>
    </w:p>
    <w:p>
      <w:pPr>
        <w:spacing w:after="0" w:line="88" w:lineRule="exact"/>
        <w:rPr>
          <w:sz w:val="20"/>
          <w:szCs w:val="20"/>
          <w:color w:val="auto"/>
        </w:rPr>
      </w:pPr>
    </w:p>
    <w:p>
      <w:pPr>
        <w:ind w:left="1300" w:right="1519" w:firstLine="280"/>
        <w:spacing w:after="0" w:line="258" w:lineRule="auto"/>
        <w:rPr>
          <w:sz w:val="20"/>
          <w:szCs w:val="20"/>
          <w:color w:val="auto"/>
        </w:rPr>
      </w:pPr>
      <w:r>
        <w:rPr>
          <w:rFonts w:ascii="Times New Roman" w:cs="Times New Roman" w:eastAsia="Times New Roman" w:hAnsi="Times New Roman"/>
          <w:sz w:val="14"/>
          <w:szCs w:val="14"/>
          <w:color w:val="auto"/>
        </w:rPr>
        <w:t>Gain recognized by a Non-U.S. Holder described in the second bullet point above will generally be subject to U.S. federal income tax at a rate of thirty percent (30%) (or a lower rate specified by an applicable income tax treaty), which gain may be offset by U.S.-source capital losses of the Non-U.S. Holder (even though such individual is not considered a resident of the United States), provided the Non-U.S. Holder has timely filed U.S. federal income tax returns with respect to such losses.</w:t>
      </w:r>
    </w:p>
    <w:p>
      <w:pPr>
        <w:spacing w:after="0" w:line="81" w:lineRule="exact"/>
        <w:rPr>
          <w:sz w:val="20"/>
          <w:szCs w:val="20"/>
          <w:color w:val="auto"/>
        </w:rPr>
      </w:pPr>
    </w:p>
    <w:p>
      <w:pPr>
        <w:ind w:left="1300" w:right="1399" w:firstLine="280"/>
        <w:spacing w:after="0" w:line="255" w:lineRule="auto"/>
        <w:rPr>
          <w:sz w:val="20"/>
          <w:szCs w:val="20"/>
          <w:color w:val="auto"/>
        </w:rPr>
      </w:pPr>
      <w:r>
        <w:rPr>
          <w:rFonts w:ascii="Times New Roman" w:cs="Times New Roman" w:eastAsia="Times New Roman" w:hAnsi="Times New Roman"/>
          <w:sz w:val="14"/>
          <w:szCs w:val="14"/>
          <w:color w:val="auto"/>
        </w:rPr>
        <w:t>With respect to the third bullet point above, although there can be no assurance in this regard, we believe that we are not, and we do not anticipate becoming, a USRPHC for U.S. federal income tax purposes. Even if we are or were to become a USRPHC, gain arising from the sale or other taxable disposition by a Non-U.S. Holder of shares of our common stock will not be subject to U.S. federal income tax if our common stock is “regularly traded,” as defined by applicable Treasury Regulations, on an established securities market, and such Non-U.S. Holder owned, actually and constructively, five percent (5%) or less of our common stock throughout the shorter of the five-year period ending on the date of the sale or other taxable disposition or such Non-U.S. Holder’s holding period.</w:t>
      </w:r>
    </w:p>
    <w:p>
      <w:pPr>
        <w:spacing w:after="0" w:line="93" w:lineRule="exact"/>
        <w:rPr>
          <w:sz w:val="20"/>
          <w:szCs w:val="20"/>
          <w:color w:val="auto"/>
        </w:rPr>
      </w:pPr>
    </w:p>
    <w:p>
      <w:pPr>
        <w:ind w:left="1300" w:right="1539" w:firstLine="280"/>
        <w:spacing w:after="0" w:line="283" w:lineRule="auto"/>
        <w:rPr>
          <w:sz w:val="20"/>
          <w:szCs w:val="20"/>
          <w:color w:val="auto"/>
        </w:rPr>
      </w:pPr>
      <w:r>
        <w:rPr>
          <w:rFonts w:ascii="Times New Roman" w:cs="Times New Roman" w:eastAsia="Times New Roman" w:hAnsi="Times New Roman"/>
          <w:sz w:val="14"/>
          <w:szCs w:val="14"/>
          <w:color w:val="auto"/>
        </w:rPr>
        <w:t>Non-U.S. Holders should consult their tax advisors regarding their entitlement to benefits under any applicable income tax treaty.</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Foreign Account Tax Compliance Act</w:t>
      </w:r>
    </w:p>
    <w:p>
      <w:pPr>
        <w:spacing w:after="0" w:line="125" w:lineRule="exact"/>
        <w:rPr>
          <w:sz w:val="20"/>
          <w:szCs w:val="20"/>
          <w:color w:val="auto"/>
        </w:rPr>
      </w:pPr>
    </w:p>
    <w:p>
      <w:pPr>
        <w:ind w:left="1300" w:right="1339" w:firstLine="280"/>
        <w:spacing w:after="0" w:line="252"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thirty percent (30%) withholding rate may be imposed on dividends in respect of our common stock held by or through certain foreign financial institutions (including investment funds), unless such institution (i) enters into, and complies with, an agreement with the Treasury Department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or (ii) complies with an intergovernmental agreement between the United States and an applicable foreign country to report such information to its local tax authority, which will exchange such information with the U.S. authorities. An intergovernmental agreement between the United States and an applicable foreign country may modify these requirements.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exemptions will be subject to withholding at a rate of thirty percent (30%), unless such entity either (i) certifies that such entity does not have any “substantial United States owners” or (ii) provides certain information regarding the entity’s “substantial United States owners,” which we or the applicable withholding agent will in turn provide to the Treasury Department. We will not pay any amounts to holders in respect of any amounts withheld. Non-U.S. Holders should consult their tax advisors regarding the possible implications of this withholding tax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jc w:val="both"/>
        <w:ind w:left="1300" w:right="1439" w:firstLine="280"/>
        <w:spacing w:after="0" w:line="267" w:lineRule="auto"/>
        <w:rPr>
          <w:sz w:val="20"/>
          <w:szCs w:val="20"/>
          <w:color w:val="auto"/>
        </w:rPr>
      </w:pPr>
      <w:r>
        <w:rPr>
          <w:rFonts w:ascii="Times New Roman" w:cs="Times New Roman" w:eastAsia="Times New Roman" w:hAnsi="Times New Roman"/>
          <w:sz w:val="14"/>
          <w:szCs w:val="14"/>
          <w:color w:val="auto"/>
        </w:rPr>
        <w:t>The legality of the common stock offered hereby will be passed upon for us by Skadden, Arps, Slate, Meagher &amp; Flom LLP, Palo Alto, California. The underwriter has been represented by Simpson Thacher &amp; Bartlett LLP, Palo Alto, California.</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Lucid Group, Inc.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4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LUCID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139065</wp:posOffset>
            </wp:positionV>
            <wp:extent cx="275717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27571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141605</wp:posOffset>
            </wp:positionV>
            <wp:extent cx="96139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367" w:lineRule="exact"/>
        <w:rPr>
          <w:sz w:val="20"/>
          <w:szCs w:val="20"/>
          <w:color w:val="auto"/>
        </w:rPr>
      </w:pPr>
    </w:p>
    <w:p>
      <w:pPr>
        <w:ind w:left="1300" w:right="1439" w:firstLine="280"/>
        <w:spacing w:after="0" w:line="283" w:lineRule="auto"/>
        <w:rPr>
          <w:sz w:val="20"/>
          <w:szCs w:val="20"/>
          <w:color w:val="auto"/>
        </w:rPr>
      </w:pPr>
      <w:r>
        <w:rPr>
          <w:rFonts w:ascii="Times New Roman" w:cs="Times New Roman" w:eastAsia="Times New Roman" w:hAnsi="Times New Roman"/>
          <w:sz w:val="14"/>
          <w:szCs w:val="14"/>
          <w:color w:val="auto"/>
        </w:rPr>
        <w:t>We may offer, issue and sell shares of our common stock (such shares of common stock, the “securities”) from time to time in one or more offerings (the “offerings”) on a continuous or delayed basis.</w:t>
      </w:r>
    </w:p>
    <w:p>
      <w:pPr>
        <w:spacing w:after="0" w:line="62" w:lineRule="exact"/>
        <w:rPr>
          <w:sz w:val="20"/>
          <w:szCs w:val="20"/>
          <w:color w:val="auto"/>
        </w:rPr>
      </w:pPr>
    </w:p>
    <w:p>
      <w:pPr>
        <w:ind w:left="1300" w:right="1419" w:firstLine="280"/>
        <w:spacing w:after="0" w:line="258" w:lineRule="auto"/>
        <w:rPr>
          <w:sz w:val="20"/>
          <w:szCs w:val="20"/>
          <w:color w:val="auto"/>
        </w:rPr>
      </w:pPr>
      <w:r>
        <w:rPr>
          <w:rFonts w:ascii="Times New Roman" w:cs="Times New Roman" w:eastAsia="Times New Roman" w:hAnsi="Times New Roman"/>
          <w:sz w:val="14"/>
          <w:szCs w:val="14"/>
          <w:color w:val="auto"/>
        </w:rPr>
        <w:t>We will provide the specific prices of the securities in one or more supplements to this prospectus at the time of the applicable offering. You should read this prospectus and the accompanying prospectus supplement carefully before you make your investment decision. The prospectus supplement may also add, update or change information contained in this prospectus. You should read this prospectus and the applicable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120650</wp:posOffset>
            </wp:positionV>
            <wp:extent cx="96139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33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135255</wp:posOffset>
            </wp:positionV>
            <wp:extent cx="96139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355" w:lineRule="exact"/>
        <w:rPr>
          <w:sz w:val="20"/>
          <w:szCs w:val="20"/>
          <w:color w:val="auto"/>
        </w:rPr>
      </w:pPr>
    </w:p>
    <w:p>
      <w:pPr>
        <w:ind w:left="1300" w:right="1419" w:firstLine="280"/>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a number of risks. See “Risk Factors” on page </w:t>
      </w:r>
      <w:r>
        <w:rPr>
          <w:rFonts w:ascii="Times New Roman" w:cs="Times New Roman" w:eastAsia="Times New Roman" w:hAnsi="Times New Roman"/>
          <w:sz w:val="14"/>
          <w:szCs w:val="14"/>
          <w:b w:val="1"/>
          <w:bCs w:val="1"/>
          <w:u w:val="single" w:color="auto"/>
          <w:color w:val="0000EE"/>
        </w:rPr>
        <w:t>7</w:t>
      </w:r>
      <w:r>
        <w:rPr>
          <w:rFonts w:ascii="Times New Roman" w:cs="Times New Roman" w:eastAsia="Times New Roman" w:hAnsi="Times New Roman"/>
          <w:sz w:val="14"/>
          <w:szCs w:val="14"/>
          <w:b w:val="1"/>
          <w:bCs w:val="1"/>
          <w:color w:val="auto"/>
        </w:rPr>
        <w:t xml:space="preserve"> before you make your investment decision.</w:t>
      </w:r>
    </w:p>
    <w:p>
      <w:pPr>
        <w:spacing w:after="0" w:line="70" w:lineRule="exact"/>
        <w:rPr>
          <w:sz w:val="20"/>
          <w:szCs w:val="20"/>
          <w:color w:val="auto"/>
        </w:rPr>
      </w:pPr>
    </w:p>
    <w:p>
      <w:pPr>
        <w:ind w:left="1300" w:right="1399" w:firstLine="280"/>
        <w:spacing w:after="0" w:line="261" w:lineRule="auto"/>
        <w:rPr>
          <w:sz w:val="20"/>
          <w:szCs w:val="20"/>
          <w:color w:val="auto"/>
        </w:rPr>
      </w:pPr>
      <w:r>
        <w:rPr>
          <w:rFonts w:ascii="Times New Roman" w:cs="Times New Roman" w:eastAsia="Times New Roman" w:hAnsi="Times New Roman"/>
          <w:sz w:val="14"/>
          <w:szCs w:val="14"/>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78" w:lineRule="exact"/>
        <w:rPr>
          <w:sz w:val="20"/>
          <w:szCs w:val="20"/>
          <w:color w:val="auto"/>
        </w:rPr>
      </w:pPr>
    </w:p>
    <w:p>
      <w:pPr>
        <w:ind w:left="1300" w:right="1539" w:firstLine="280"/>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Nasdaq Stock Market LLC (“Nasdaq”) under the trading symbol “LCID.”</w:t>
      </w:r>
    </w:p>
    <w:p>
      <w:pPr>
        <w:spacing w:after="0" w:line="70" w:lineRule="exact"/>
        <w:rPr>
          <w:sz w:val="20"/>
          <w:szCs w:val="20"/>
          <w:color w:val="auto"/>
        </w:rPr>
      </w:pPr>
    </w:p>
    <w:p>
      <w:pPr>
        <w:ind w:left="1300" w:right="1399" w:firstLine="280"/>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108585</wp:posOffset>
            </wp:positionV>
            <wp:extent cx="96139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2005330</wp:posOffset>
            </wp:positionV>
            <wp:extent cx="531876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4" w:lineRule="exact"/>
        <w:rPr>
          <w:sz w:val="20"/>
          <w:szCs w:val="20"/>
          <w:color w:val="auto"/>
        </w:rPr>
      </w:pPr>
    </w:p>
    <w:p>
      <w:pPr>
        <w:jc w:val="both"/>
        <w:ind w:left="1300"/>
        <w:spacing w:after="0"/>
        <w:tabs>
          <w:tab w:leader="none" w:pos="726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26035</wp:posOffset>
            </wp:positionV>
            <wp:extent cx="4058920" cy="133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270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4058920"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FREQUENTLY USED TERMS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THE COMPANY</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49" w:lineRule="exact"/>
        <w:rPr>
          <w:sz w:val="20"/>
          <w:szCs w:val="20"/>
          <w:color w:val="auto"/>
        </w:rPr>
      </w:pPr>
    </w:p>
    <w:p>
      <w:pPr>
        <w:ind w:left="1300" w:right="420" w:firstLine="8"/>
        <w:spacing w:after="0" w:line="313" w:lineRule="auto"/>
        <w:tabs>
          <w:tab w:leader="none" w:pos="1480" w:val="left"/>
        </w:tabs>
        <w:numPr>
          <w:ilvl w:val="0"/>
          <w:numId w:val="2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S. FEDERAL INCOME TAX CONSIDERATIONS FOR NON-U.S. HOLDERS PLAN OF DISTRIBUTION</w:t>
      </w:r>
    </w:p>
    <w:p>
      <w:pPr>
        <w:ind w:left="1300" w:right="4120"/>
        <w:spacing w:after="0" w:line="346"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LEGAL MATTERS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-445135</wp:posOffset>
            </wp:positionV>
            <wp:extent cx="4058920" cy="133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4058920" cy="133350"/>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-177800</wp:posOffset>
            </wp:positionV>
            <wp:extent cx="4058920" cy="133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292" w:lineRule="exact"/>
        <w:rPr>
          <w:sz w:val="20"/>
          <w:szCs w:val="20"/>
          <w:color w:val="auto"/>
        </w:rPr>
      </w:pPr>
    </w:p>
    <w:p>
      <w:pPr>
        <w:sectPr>
          <w:pgSz w:w="11900" w:h="16838" w:orient="portrait"/>
          <w:cols w:equalWidth="0" w:num="2">
            <w:col w:w="6600" w:space="720"/>
            <w:col w:w="1699"/>
          </w:cols>
          <w:pgMar w:left="1440" w:top="1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37" w:name="page38"/>
    <w:bookmarkEnd w:id="3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may sell the securities from time to time. Each time we sell securities, we will provide a supplement to this prospectus that contains specific information about the terms of that offering, including the specific amounts and prices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264" w:lineRule="exact"/>
        <w:rPr>
          <w:sz w:val="20"/>
          <w:szCs w:val="20"/>
          <w:color w:val="auto"/>
        </w:rPr>
      </w:pPr>
    </w:p>
    <w:p>
      <w:pPr>
        <w:ind w:left="1300" w:right="1439" w:firstLine="280"/>
        <w:spacing w:after="0" w:line="256"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252" w:lineRule="exact"/>
        <w:rPr>
          <w:sz w:val="20"/>
          <w:szCs w:val="20"/>
          <w:color w:val="auto"/>
        </w:rPr>
      </w:pPr>
    </w:p>
    <w:p>
      <w:pPr>
        <w:ind w:left="1300" w:right="1419" w:firstLine="280"/>
        <w:spacing w:after="0" w:line="283" w:lineRule="auto"/>
        <w:rPr>
          <w:sz w:val="20"/>
          <w:szCs w:val="20"/>
          <w:color w:val="auto"/>
        </w:rPr>
      </w:pPr>
      <w:r>
        <w:rPr>
          <w:rFonts w:ascii="Times New Roman" w:cs="Times New Roman" w:eastAsia="Times New Roman" w:hAnsi="Times New Roman"/>
          <w:sz w:val="14"/>
          <w:szCs w:val="14"/>
          <w:color w:val="auto"/>
        </w:rPr>
        <w:t>The information in this prospectus is accurate as of the date on the front cover. You should not assume that the information contained in this prospectus is accurate as of any other date.</w:t>
      </w:r>
    </w:p>
    <w:p>
      <w:pPr>
        <w:spacing w:after="0" w:line="72" w:lineRule="exact"/>
        <w:rPr>
          <w:sz w:val="20"/>
          <w:szCs w:val="20"/>
          <w:color w:val="auto"/>
        </w:rPr>
      </w:pPr>
    </w:p>
    <w:p>
      <w:pPr>
        <w:jc w:val="both"/>
        <w:ind w:left="1300" w:right="1439" w:firstLine="280"/>
        <w:spacing w:after="0" w:line="283" w:lineRule="auto"/>
        <w:rPr>
          <w:sz w:val="20"/>
          <w:szCs w:val="20"/>
          <w:color w:val="auto"/>
        </w:rPr>
      </w:pPr>
      <w:r>
        <w:rPr>
          <w:rFonts w:ascii="Times New Roman" w:cs="Times New Roman" w:eastAsia="Times New Roman" w:hAnsi="Times New Roman"/>
          <w:sz w:val="14"/>
          <w:szCs w:val="14"/>
          <w:color w:val="auto"/>
        </w:rPr>
        <w:t>When used in this prospectus, the terms “Lucid,” the “Company,” “we,” “our” and “us” refer to Lucid Group, Inc. and its consolidated subsidiaries, unless otherwise specified or the context otherwise requires.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ind w:left="1300" w:right="1619" w:firstLine="280"/>
        <w:spacing w:after="0" w:line="267"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72" w:lineRule="exact"/>
        <w:rPr>
          <w:sz w:val="20"/>
          <w:szCs w:val="20"/>
          <w:color w:val="auto"/>
        </w:rPr>
      </w:pPr>
    </w:p>
    <w:p>
      <w:pPr>
        <w:ind w:left="1300" w:right="1359" w:firstLine="280"/>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233" w:lineRule="exact"/>
        <w:rPr>
          <w:sz w:val="20"/>
          <w:szCs w:val="20"/>
          <w:color w:val="auto"/>
        </w:rPr>
      </w:pPr>
    </w:p>
    <w:p>
      <w:pPr>
        <w:ind w:left="1720" w:right="1659" w:hanging="131"/>
        <w:spacing w:after="0" w:line="283" w:lineRule="auto"/>
        <w:tabs>
          <w:tab w:leader="none" w:pos="1720" w:val="left"/>
        </w:tabs>
        <w:numPr>
          <w:ilvl w:val="0"/>
          <w:numId w:val="25"/>
        </w:numPr>
        <w:rPr>
          <w:rFonts w:ascii="Times New Roman" w:cs="Times New Roman" w:eastAsia="Times New Roman" w:hAnsi="Times New Roman"/>
          <w:sz w:val="14"/>
          <w:szCs w:val="14"/>
          <w:color w:val="0000EE"/>
        </w:rPr>
      </w:pPr>
      <w:hyperlink r:id="rId28">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u w:val="single" w:color="auto"/>
            <w:color w:val="0000EE"/>
          </w:rPr>
          <w:t>Annual Report on Form 10-K for the year ended December 31, 2025, filed with the SEC on</w:t>
        </w:r>
      </w:hyperlink>
      <w:r>
        <w:rPr>
          <w:rFonts w:ascii="Times New Roman" w:cs="Times New Roman" w:eastAsia="Times New Roman" w:hAnsi="Times New Roman"/>
          <w:sz w:val="14"/>
          <w:szCs w:val="14"/>
          <w:color w:val="auto"/>
        </w:rPr>
        <w:t xml:space="preserve"> </w:t>
      </w:r>
      <w:hyperlink r:id="rId28">
        <w:r>
          <w:rPr>
            <w:rFonts w:ascii="Times New Roman" w:cs="Times New Roman" w:eastAsia="Times New Roman" w:hAnsi="Times New Roman"/>
            <w:sz w:val="14"/>
            <w:szCs w:val="14"/>
            <w:u w:val="single" w:color="auto"/>
            <w:color w:val="0000EE"/>
          </w:rPr>
          <w:t>February 24, 2026</w:t>
        </w:r>
        <w:r>
          <w:rPr>
            <w:rFonts w:ascii="Times New Roman" w:cs="Times New Roman" w:eastAsia="Times New Roman" w:hAnsi="Times New Roman"/>
            <w:sz w:val="14"/>
            <w:szCs w:val="14"/>
            <w:color w:val="000000"/>
          </w:rPr>
          <w:t>;</w:t>
        </w:r>
      </w:hyperlink>
    </w:p>
    <w:p>
      <w:pPr>
        <w:spacing w:after="0" w:line="40" w:lineRule="exact"/>
        <w:rPr>
          <w:rFonts w:ascii="Times New Roman" w:cs="Times New Roman" w:eastAsia="Times New Roman" w:hAnsi="Times New Roman"/>
          <w:sz w:val="14"/>
          <w:szCs w:val="14"/>
          <w:color w:val="0000EE"/>
        </w:rPr>
      </w:pPr>
    </w:p>
    <w:p>
      <w:pPr>
        <w:ind w:left="1720" w:right="1319" w:hanging="131"/>
        <w:spacing w:after="0" w:line="267" w:lineRule="auto"/>
        <w:tabs>
          <w:tab w:leader="none" w:pos="1720" w:val="left"/>
        </w:tabs>
        <w:numPr>
          <w:ilvl w:val="0"/>
          <w:numId w:val="25"/>
        </w:numPr>
        <w:rPr>
          <w:rFonts w:ascii="Times New Roman" w:cs="Times New Roman" w:eastAsia="Times New Roman" w:hAnsi="Times New Roman"/>
          <w:sz w:val="14"/>
          <w:szCs w:val="14"/>
          <w:color w:val="0000EE"/>
        </w:rPr>
      </w:pPr>
      <w:hyperlink r:id="rId29">
        <w:r>
          <w:rPr>
            <w:rFonts w:ascii="Times New Roman" w:cs="Times New Roman" w:eastAsia="Times New Roman" w:hAnsi="Times New Roman"/>
            <w:sz w:val="14"/>
            <w:szCs w:val="14"/>
            <w:color w:val="auto"/>
          </w:rPr>
          <w:t xml:space="preserve">Information specifically incorporated by reference into our </w:t>
        </w:r>
        <w:r>
          <w:rPr>
            <w:rFonts w:ascii="Times New Roman" w:cs="Times New Roman" w:eastAsia="Times New Roman" w:hAnsi="Times New Roman"/>
            <w:sz w:val="14"/>
            <w:szCs w:val="14"/>
            <w:u w:val="single" w:color="auto"/>
            <w:color w:val="0000EE"/>
          </w:rPr>
          <w:t>Annual Report on Form 10-K for the</w:t>
        </w:r>
      </w:hyperlink>
      <w:r>
        <w:rPr>
          <w:rFonts w:ascii="Times New Roman" w:cs="Times New Roman" w:eastAsia="Times New Roman" w:hAnsi="Times New Roman"/>
          <w:sz w:val="14"/>
          <w:szCs w:val="14"/>
          <w:color w:val="auto"/>
        </w:rPr>
        <w:t xml:space="preserve"> </w:t>
      </w:r>
      <w:hyperlink r:id="rId30">
        <w:r>
          <w:rPr>
            <w:rFonts w:ascii="Times New Roman" w:cs="Times New Roman" w:eastAsia="Times New Roman" w:hAnsi="Times New Roman"/>
            <w:sz w:val="14"/>
            <w:szCs w:val="14"/>
            <w:u w:val="single" w:color="auto"/>
            <w:color w:val="0000EE"/>
          </w:rPr>
          <w:t>fiscal year ended December 31,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from our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definitive proxy statement on Schedule 14A filed with</w:t>
        </w:r>
      </w:hyperlink>
      <w:r>
        <w:rPr>
          <w:rFonts w:ascii="Times New Roman" w:cs="Times New Roman" w:eastAsia="Times New Roman" w:hAnsi="Times New Roman"/>
          <w:sz w:val="14"/>
          <w:szCs w:val="14"/>
          <w:color w:val="0000EE"/>
        </w:rPr>
        <w:t xml:space="preserve"> </w:t>
      </w:r>
      <w:hyperlink r:id="rId30">
        <w:r>
          <w:rPr>
            <w:rFonts w:ascii="Times New Roman" w:cs="Times New Roman" w:eastAsia="Times New Roman" w:hAnsi="Times New Roman"/>
            <w:sz w:val="14"/>
            <w:szCs w:val="14"/>
            <w:u w:val="single" w:color="auto"/>
            <w:color w:val="0000EE"/>
          </w:rPr>
          <w:t>the SEC on April 24, 2025</w:t>
        </w:r>
        <w:r>
          <w:rPr>
            <w:rFonts w:ascii="Times New Roman" w:cs="Times New Roman" w:eastAsia="Times New Roman" w:hAnsi="Times New Roman"/>
            <w:sz w:val="14"/>
            <w:szCs w:val="14"/>
            <w:color w:val="000000"/>
          </w:rPr>
          <w:t>;</w:t>
        </w:r>
      </w:hyperlink>
    </w:p>
    <w:p>
      <w:pPr>
        <w:spacing w:after="0" w:line="51" w:lineRule="exact"/>
        <w:rPr>
          <w:rFonts w:ascii="Times New Roman" w:cs="Times New Roman" w:eastAsia="Times New Roman" w:hAnsi="Times New Roman"/>
          <w:sz w:val="14"/>
          <w:szCs w:val="14"/>
          <w:color w:val="0000EE"/>
        </w:rPr>
      </w:pPr>
    </w:p>
    <w:p>
      <w:pPr>
        <w:ind w:left="1720" w:right="1339" w:hanging="131"/>
        <w:spacing w:after="0" w:line="261"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31">
        <w:r>
          <w:rPr>
            <w:rFonts w:ascii="Times New Roman" w:cs="Times New Roman" w:eastAsia="Times New Roman" w:hAnsi="Times New Roman"/>
            <w:sz w:val="14"/>
            <w:szCs w:val="14"/>
            <w:u w:val="single" w:color="auto"/>
            <w:color w:val="0000EE"/>
          </w:rPr>
          <w:t>January 23, 2026</w:t>
        </w:r>
      </w:hyperlink>
      <w:r>
        <w:rPr>
          <w:rFonts w:ascii="Times New Roman" w:cs="Times New Roman" w:eastAsia="Times New Roman" w:hAnsi="Times New Roman"/>
          <w:sz w:val="14"/>
          <w:szCs w:val="14"/>
          <w:color w:val="auto"/>
        </w:rPr>
        <w:t xml:space="preserve">, </w:t>
      </w:r>
      <w:hyperlink r:id="rId32">
        <w:r>
          <w:rPr>
            <w:rFonts w:ascii="Times New Roman" w:cs="Times New Roman" w:eastAsia="Times New Roman" w:hAnsi="Times New Roman"/>
            <w:sz w:val="14"/>
            <w:szCs w:val="14"/>
            <w:u w:val="single" w:color="auto"/>
            <w:color w:val="0000EE"/>
          </w:rPr>
          <w:t>February 24,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(only with respect to Item 2.05 and Item 8.01 therein and the related exhibits thereto), </w:t>
      </w:r>
      <w:hyperlink r:id="rId33">
        <w:r>
          <w:rPr>
            <w:rFonts w:ascii="Times New Roman" w:cs="Times New Roman" w:eastAsia="Times New Roman" w:hAnsi="Times New Roman"/>
            <w:sz w:val="14"/>
            <w:szCs w:val="14"/>
            <w:u w:val="single" w:color="auto"/>
            <w:color w:val="0000EE"/>
          </w:rPr>
          <w:t>April 14,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(only with respect to Item 5.02 therein and the related exhibits thereto) and </w:t>
      </w:r>
      <w:hyperlink r:id="rId34">
        <w:r>
          <w:rPr>
            <w:rFonts w:ascii="Times New Roman" w:cs="Times New Roman" w:eastAsia="Times New Roman" w:hAnsi="Times New Roman"/>
            <w:sz w:val="14"/>
            <w:szCs w:val="14"/>
            <w:u w:val="single" w:color="auto"/>
            <w:color w:val="0000EE"/>
          </w:rPr>
          <w:t>April 14,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(only with respect to Items 1.01, 3.02, 3.03 and 8.01 therein and the related exhibits thereto); and</w:t>
      </w:r>
    </w:p>
    <w:p>
      <w:pPr>
        <w:spacing w:after="0" w:line="56" w:lineRule="exact"/>
        <w:rPr>
          <w:rFonts w:ascii="Times New Roman" w:cs="Times New Roman" w:eastAsia="Times New Roman" w:hAnsi="Times New Roman"/>
          <w:sz w:val="14"/>
          <w:szCs w:val="14"/>
          <w:color w:val="auto"/>
        </w:rPr>
      </w:pPr>
    </w:p>
    <w:p>
      <w:pPr>
        <w:ind w:left="1720" w:right="1339" w:hanging="131"/>
        <w:spacing w:after="0" w:line="261" w:lineRule="auto"/>
        <w:tabs>
          <w:tab w:leader="none" w:pos="1720" w:val="left"/>
        </w:tabs>
        <w:numPr>
          <w:ilvl w:val="0"/>
          <w:numId w:val="25"/>
        </w:numPr>
        <w:rPr>
          <w:rFonts w:ascii="Times New Roman" w:cs="Times New Roman" w:eastAsia="Times New Roman" w:hAnsi="Times New Roman"/>
          <w:sz w:val="14"/>
          <w:szCs w:val="14"/>
          <w:color w:val="000000"/>
        </w:rPr>
      </w:pPr>
      <w:hyperlink r:id="rId35">
        <w:r>
          <w:rPr>
            <w:rFonts w:ascii="Times New Roman" w:cs="Times New Roman" w:eastAsia="Times New Roman" w:hAnsi="Times New Roman"/>
            <w:sz w:val="14"/>
            <w:szCs w:val="14"/>
            <w:color w:val="auto"/>
          </w:rPr>
          <w:t xml:space="preserve">The description of our capital stock contained in our Registration Statement on </w:t>
        </w:r>
        <w:r>
          <w:rPr>
            <w:rFonts w:ascii="Times New Roman" w:cs="Times New Roman" w:eastAsia="Times New Roman" w:hAnsi="Times New Roman"/>
            <w:sz w:val="14"/>
            <w:szCs w:val="14"/>
            <w:u w:val="single" w:color="auto"/>
            <w:color w:val="0000EE"/>
          </w:rPr>
          <w:t>Form 8-A (File</w:t>
        </w:r>
      </w:hyperlink>
      <w:r>
        <w:rPr>
          <w:rFonts w:ascii="Times New Roman" w:cs="Times New Roman" w:eastAsia="Times New Roman" w:hAnsi="Times New Roman"/>
          <w:sz w:val="14"/>
          <w:szCs w:val="14"/>
          <w:color w:val="auto"/>
        </w:rPr>
        <w:t xml:space="preserve"> </w:t>
      </w:r>
      <w:hyperlink r:id="rId35">
        <w:r>
          <w:rPr>
            <w:rFonts w:ascii="Times New Roman" w:cs="Times New Roman" w:eastAsia="Times New Roman" w:hAnsi="Times New Roman"/>
            <w:sz w:val="14"/>
            <w:szCs w:val="14"/>
            <w:u w:val="single" w:color="auto"/>
            <w:color w:val="0000EE"/>
          </w:rPr>
          <w:t>No. 001-39408), filed with the SEC on July 23, 2021</w:t>
        </w:r>
        <w:r>
          <w:rPr>
            <w:rFonts w:ascii="Times New Roman" w:cs="Times New Roman" w:eastAsia="Times New Roman" w:hAnsi="Times New Roman"/>
            <w:sz w:val="14"/>
            <w:szCs w:val="14"/>
            <w:color w:val="000000"/>
          </w:rPr>
          <w:t xml:space="preserve">, and any amendments or reports filed for </w:t>
        </w:r>
      </w:hyperlink>
      <w:r>
        <w:rPr>
          <w:rFonts w:ascii="Times New Roman" w:cs="Times New Roman" w:eastAsia="Times New Roman" w:hAnsi="Times New Roman"/>
          <w:sz w:val="14"/>
          <w:szCs w:val="14"/>
          <w:color w:val="0000EE"/>
        </w:rPr>
        <w:t xml:space="preserve">the </w:t>
      </w:r>
      <w:r>
        <w:rPr>
          <w:rFonts w:ascii="Times New Roman" w:cs="Times New Roman" w:eastAsia="Times New Roman" w:hAnsi="Times New Roman"/>
          <w:sz w:val="14"/>
          <w:szCs w:val="14"/>
          <w:color w:val="000000"/>
        </w:rPr>
        <w:t xml:space="preserve">purpose of updating such description, including </w:t>
      </w:r>
      <w:hyperlink r:id="rId36">
        <w:r>
          <w:rPr>
            <w:rFonts w:ascii="Times New Roman" w:cs="Times New Roman" w:eastAsia="Times New Roman" w:hAnsi="Times New Roman"/>
            <w:sz w:val="14"/>
            <w:szCs w:val="14"/>
            <w:u w:val="single" w:color="auto"/>
            <w:color w:val="0000EE"/>
          </w:rPr>
          <w:t>Exhibit 4.10</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of our Annual Report on Form 10-K for the fiscal year ended December 31, 2025, filed with the SEC on February 24, 2026.</w:t>
      </w:r>
    </w:p>
    <w:p>
      <w:pPr>
        <w:spacing w:after="0" w:line="288"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39" w:firstLine="280"/>
        <w:spacing w:after="0" w:line="258" w:lineRule="auto"/>
        <w:rPr>
          <w:sz w:val="20"/>
          <w:szCs w:val="20"/>
          <w:color w:val="auto"/>
        </w:rPr>
      </w:pPr>
      <w:r>
        <w:rPr>
          <w:rFonts w:ascii="Times New Roman" w:cs="Times New Roman" w:eastAsia="Times New Roman" w:hAnsi="Times New Roman"/>
          <w:sz w:val="14"/>
          <w:szCs w:val="14"/>
          <w:color w:val="auto"/>
        </w:rPr>
        <w:t>All documents filed by us pursuant to Sections 13(a), 13(c), 14 or 15(d) of the Exchange Act after the date of this prospectus and before the termination of the applicable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91" w:lineRule="exact"/>
        <w:rPr>
          <w:sz w:val="20"/>
          <w:szCs w:val="20"/>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contact us at Investor Relations at 7373 Gateway Boulevard, Newark, CA 94560, by email: investor@lucidmotors.com, or by telephone: (510) 648-3553.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FREQUENTLY USED TERMS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Unless otherwise stated in this prospectus or the context otherwise requires, references to:</w:t>
      </w:r>
    </w:p>
    <w:p>
      <w:pPr>
        <w:spacing w:after="0" w:line="123" w:lineRule="exact"/>
        <w:rPr>
          <w:sz w:val="20"/>
          <w:szCs w:val="20"/>
          <w:color w:val="auto"/>
        </w:rPr>
      </w:pPr>
    </w:p>
    <w:p>
      <w:pPr>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“Ayar” are to Ayar Third Investment Company, an affiliate of PIF and the controlling stockholder of the Company;</w:t>
      </w:r>
    </w:p>
    <w:p>
      <w:pPr>
        <w:spacing w:after="0" w:line="62" w:lineRule="exact"/>
        <w:rPr>
          <w:sz w:val="20"/>
          <w:szCs w:val="20"/>
          <w:color w:val="auto"/>
        </w:rPr>
      </w:pPr>
    </w:p>
    <w:p>
      <w:pPr>
        <w:ind w:left="1300" w:right="1899" w:firstLine="280"/>
        <w:spacing w:after="0" w:line="283" w:lineRule="auto"/>
        <w:rPr>
          <w:sz w:val="20"/>
          <w:szCs w:val="20"/>
          <w:color w:val="auto"/>
        </w:rPr>
      </w:pPr>
      <w:r>
        <w:rPr>
          <w:rFonts w:ascii="Times New Roman" w:cs="Times New Roman" w:eastAsia="Times New Roman" w:hAnsi="Times New Roman"/>
          <w:sz w:val="14"/>
          <w:szCs w:val="14"/>
          <w:color w:val="auto"/>
        </w:rPr>
        <w:t>“Board” or “Board of Directors” are to the board of directors of Lucid Group Inc., a Delaware corporation;</w:t>
      </w:r>
    </w:p>
    <w:p>
      <w:pPr>
        <w:spacing w:after="0" w:line="7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“common stock” are to the Class A common stock of Lucid Group, Inc., par value $0.0001 per share;</w:t>
      </w:r>
    </w:p>
    <w:p>
      <w:pPr>
        <w:spacing w:after="0" w:line="123" w:lineRule="exact"/>
        <w:rPr>
          <w:sz w:val="20"/>
          <w:szCs w:val="20"/>
          <w:color w:val="auto"/>
        </w:rPr>
      </w:pPr>
    </w:p>
    <w:p>
      <w:pPr>
        <w:ind w:left="1300" w:right="1559" w:firstLine="280"/>
        <w:spacing w:after="0" w:line="283" w:lineRule="auto"/>
        <w:rPr>
          <w:sz w:val="20"/>
          <w:szCs w:val="20"/>
          <w:color w:val="auto"/>
        </w:rPr>
      </w:pPr>
      <w:r>
        <w:rPr>
          <w:rFonts w:ascii="Times New Roman" w:cs="Times New Roman" w:eastAsia="Times New Roman" w:hAnsi="Times New Roman"/>
          <w:sz w:val="14"/>
          <w:szCs w:val="14"/>
          <w:color w:val="auto"/>
        </w:rPr>
        <w:t>“Convertible Senior Notes” are to the Company’s 1.25% Convertible Senior Notes due 2026, 5.00% Convertible Senior Notes due 2030 and 7.00% Convertible Senior Notes due 2031;</w:t>
      </w:r>
    </w:p>
    <w:p>
      <w:pPr>
        <w:spacing w:after="0" w:line="62" w:lineRule="exact"/>
        <w:rPr>
          <w:sz w:val="20"/>
          <w:szCs w:val="20"/>
          <w:color w:val="auto"/>
        </w:rPr>
      </w:pPr>
    </w:p>
    <w:p>
      <w:pPr>
        <w:ind w:left="1300" w:right="1459" w:firstLine="280"/>
        <w:spacing w:after="0" w:line="283" w:lineRule="auto"/>
        <w:rPr>
          <w:sz w:val="20"/>
          <w:szCs w:val="20"/>
          <w:color w:val="auto"/>
        </w:rPr>
      </w:pPr>
      <w:r>
        <w:rPr>
          <w:rFonts w:ascii="Times New Roman" w:cs="Times New Roman" w:eastAsia="Times New Roman" w:hAnsi="Times New Roman"/>
          <w:sz w:val="14"/>
          <w:szCs w:val="14"/>
          <w:color w:val="auto"/>
        </w:rPr>
        <w:t>“current bylaws” are to the Company’s Second Amended and Restated Bylaws in effect as of the date of this prospectus;</w:t>
      </w:r>
    </w:p>
    <w:p>
      <w:pPr>
        <w:spacing w:after="0" w:line="72" w:lineRule="exact"/>
        <w:rPr>
          <w:sz w:val="20"/>
          <w:szCs w:val="20"/>
          <w:color w:val="auto"/>
        </w:rPr>
      </w:pPr>
    </w:p>
    <w:p>
      <w:pPr>
        <w:ind w:left="1300" w:right="1399" w:firstLine="280"/>
        <w:spacing w:after="0" w:line="283" w:lineRule="auto"/>
        <w:rPr>
          <w:sz w:val="20"/>
          <w:szCs w:val="20"/>
          <w:color w:val="auto"/>
        </w:rPr>
      </w:pPr>
      <w:r>
        <w:rPr>
          <w:rFonts w:ascii="Times New Roman" w:cs="Times New Roman" w:eastAsia="Times New Roman" w:hAnsi="Times New Roman"/>
          <w:sz w:val="14"/>
          <w:szCs w:val="14"/>
          <w:color w:val="auto"/>
        </w:rPr>
        <w:t>“current certificate of incorporation” are to the Company’s Third Amended and Restated Certificate of Incorporation as amended and in effect as of the date of this prospectus;</w:t>
      </w:r>
    </w:p>
    <w:p>
      <w:pPr>
        <w:spacing w:after="0" w:line="7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“DGCL” are to the Delaware General Corporation Law, as amended;</w:t>
      </w:r>
    </w:p>
    <w:p>
      <w:pPr>
        <w:spacing w:after="0" w:line="11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“EV” are to electric vehicle;</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“Nasdaq” are to The Nasdaq Stock Market LLC;</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“PIF” are to the Public Investment Fund, the sovereign wealth fund of Saudi Arabia;</w:t>
      </w:r>
    </w:p>
    <w:p>
      <w:pPr>
        <w:spacing w:after="0" w:line="112" w:lineRule="exact"/>
        <w:rPr>
          <w:sz w:val="20"/>
          <w:szCs w:val="20"/>
          <w:color w:val="auto"/>
        </w:rPr>
      </w:pPr>
    </w:p>
    <w:p>
      <w:pPr>
        <w:ind w:left="1300" w:right="1519" w:firstLine="280"/>
        <w:spacing w:after="0" w:line="267" w:lineRule="auto"/>
        <w:rPr>
          <w:sz w:val="20"/>
          <w:szCs w:val="20"/>
          <w:color w:val="auto"/>
        </w:rPr>
      </w:pPr>
      <w:r>
        <w:rPr>
          <w:rFonts w:ascii="Times New Roman" w:cs="Times New Roman" w:eastAsia="Times New Roman" w:hAnsi="Times New Roman"/>
          <w:sz w:val="14"/>
          <w:szCs w:val="14"/>
          <w:color w:val="auto"/>
        </w:rPr>
        <w:t>“Redeemable Convertible Preferred Stock” are to the Series A Convertible Preferred Stock, Series B Convertible Preferred Stock and Series C Convertible Preferred Stock of Lucid Group, Inc., par value $0.0001 per share, together;</w:t>
      </w:r>
    </w:p>
    <w:p>
      <w:pPr>
        <w:spacing w:after="0" w:line="8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“Series C Convertible Preferred Stock” are to the Series C Convertible Preferred Stock, par value</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$0.0001 per share, to be issued to Ayar pursuant to its subscription agreement with Lucid Group, Inc., dated</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April 14, 2026; and</w:t>
      </w:r>
    </w:p>
    <w:p>
      <w:pPr>
        <w:spacing w:after="0" w:line="1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“SMB” are to SMB Holding Corporation, a subsidiary of Uber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0" w:name="page41"/>
    <w:bookmarkEnd w:id="4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5"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and any documents incorporated by reference contain statements that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w:t>
      </w:r>
    </w:p>
    <w:p>
      <w:pPr>
        <w:spacing w:after="0" w:line="252" w:lineRule="exact"/>
        <w:rPr>
          <w:sz w:val="20"/>
          <w:szCs w:val="20"/>
          <w:color w:val="auto"/>
        </w:rPr>
      </w:pPr>
    </w:p>
    <w:p>
      <w:pPr>
        <w:ind w:left="1300" w:right="1359" w:firstLine="280"/>
        <w:spacing w:after="0" w:line="242" w:lineRule="auto"/>
        <w:rPr>
          <w:sz w:val="20"/>
          <w:szCs w:val="20"/>
          <w:color w:val="auto"/>
        </w:rPr>
      </w:pPr>
      <w:r>
        <w:rPr>
          <w:rFonts w:ascii="Times New Roman" w:cs="Times New Roman" w:eastAsia="Times New Roman" w:hAnsi="Times New Roman"/>
          <w:sz w:val="14"/>
          <w:szCs w:val="14"/>
          <w:color w:val="auto"/>
        </w:rPr>
        <w:t>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logistics and supply chain, studio openings, sales channels and strategies, future vehicle programs, expansion and the potential success of our distribution strategy, our financial and operating outlook, future market launches and international expansion, including our manufacturing facility in Saudi Arabia and related timing and value to us, our needs for additional financing, and the promise of our technology. Such forward-looking statements are based on available current market material and our current expectations, beliefs and forecasts concerning future developments. Factors that may impact such forward-looking statements include:</w:t>
      </w:r>
    </w:p>
    <w:p>
      <w:pPr>
        <w:spacing w:after="0" w:line="221" w:lineRule="exact"/>
        <w:rPr>
          <w:sz w:val="20"/>
          <w:szCs w:val="20"/>
          <w:color w:val="auto"/>
        </w:rPr>
      </w:pPr>
    </w:p>
    <w:p>
      <w:pPr>
        <w:ind w:left="1720" w:right="1339" w:hanging="131"/>
        <w:spacing w:after="0" w:line="257" w:lineRule="auto"/>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domestic and foreign business, economic, market, financial, political, regulatory and legal conditions, including changes of policies, imposition or proposed imposition of tariffs, export controls, threat of a trade war, the risk of a global economic recession or other downturn, bank closures and liquidity concerns at financial institutions, and global or regional conflicts or other geopolitical events, including the military operations in the Gulf region and the Middle East, and the potential escalation and broadening of the war in Iran;</w:t>
      </w:r>
    </w:p>
    <w:p>
      <w:pPr>
        <w:spacing w:after="0" w:line="48" w:lineRule="exact"/>
        <w:rPr>
          <w:rFonts w:ascii="Times New Roman" w:cs="Times New Roman" w:eastAsia="Times New Roman" w:hAnsi="Times New Roman"/>
          <w:sz w:val="14"/>
          <w:szCs w:val="14"/>
          <w:color w:val="auto"/>
        </w:rPr>
      </w:pPr>
    </w:p>
    <w:p>
      <w:pPr>
        <w:ind w:left="1720" w:right="1519" w:hanging="131"/>
        <w:spacing w:after="0" w:line="283" w:lineRule="auto"/>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in overall demand for our products and services and cancellation of orders for our vehicles;</w:t>
      </w:r>
    </w:p>
    <w:p>
      <w:pPr>
        <w:spacing w:after="0" w:line="30" w:lineRule="exact"/>
        <w:rPr>
          <w:rFonts w:ascii="Times New Roman" w:cs="Times New Roman" w:eastAsia="Times New Roman" w:hAnsi="Times New Roman"/>
          <w:sz w:val="14"/>
          <w:szCs w:val="14"/>
          <w:color w:val="auto"/>
        </w:rPr>
      </w:pPr>
    </w:p>
    <w:p>
      <w:pPr>
        <w:ind w:left="1720" w:right="1399" w:hanging="131"/>
        <w:spacing w:after="0" w:line="261" w:lineRule="auto"/>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prices and availability of commodities and components, including rare-earth minerals, semiconductors and their related products, and other materials, our supply chain, logistics, inventory management and quality control, and our ability to complete the tooling of our manufacturing facilities over time and scale production of our vehicles;</w:t>
      </w:r>
    </w:p>
    <w:p>
      <w:pPr>
        <w:spacing w:after="0" w:line="46"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uncertainty of our projected financial and operational information;</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timing of expected business milestones and commercial product launches;</w:t>
      </w:r>
    </w:p>
    <w:p>
      <w:pPr>
        <w:spacing w:after="0" w:line="80"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construction and expansion of our manufacturing facilities and the increase of our production capacity;</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expenses and control costs;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future market adoption of our offerings;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and the pace and depth of EV adoption generally on our business;</w:t>
      </w:r>
    </w:p>
    <w:p>
      <w:pPr>
        <w:spacing w:after="0" w:line="7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policies, and governmental incentives;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fuel and energy prices;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rapidly innovate;</w:t>
      </w:r>
    </w:p>
    <w:p>
      <w:pPr>
        <w:spacing w:after="0" w:line="80" w:lineRule="exact"/>
        <w:rPr>
          <w:rFonts w:ascii="Times New Roman" w:cs="Times New Roman" w:eastAsia="Times New Roman" w:hAnsi="Times New Roman"/>
          <w:sz w:val="14"/>
          <w:szCs w:val="14"/>
          <w:color w:val="auto"/>
        </w:rPr>
      </w:pPr>
    </w:p>
    <w:p>
      <w:pPr>
        <w:jc w:val="both"/>
        <w:ind w:left="1720" w:right="1339" w:hanging="131"/>
        <w:spacing w:after="0" w:line="267" w:lineRule="auto"/>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or maintain partnerships with original equipment manufacturers, vendors and technology providers, including our ability to realize the anticipated benefits of our partnerships with Aston Martin, Uber Technologies, Inc., Nuro, Inc. and NVIDIA Corporation;</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1" w:name="page42"/>
    <w:bookmarkEnd w:id="4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619" w:hanging="131"/>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 and recruit and retain key employees, including our executive team;</w:t>
      </w:r>
    </w:p>
    <w:p>
      <w:pPr>
        <w:spacing w:after="0" w:line="40" w:lineRule="exact"/>
        <w:rPr>
          <w:rFonts w:ascii="Times New Roman" w:cs="Times New Roman" w:eastAsia="Times New Roman" w:hAnsi="Times New Roman"/>
          <w:sz w:val="14"/>
          <w:szCs w:val="14"/>
          <w:color w:val="auto"/>
        </w:rPr>
      </w:pPr>
    </w:p>
    <w:p>
      <w:pPr>
        <w:ind w:left="1720" w:right="1639" w:hanging="131"/>
        <w:spacing w:after="0" w:line="267"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need to attract, retain, and motivate key employees, including engineering and management employees, as we have undertaken multiple significant management changes in the past;</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potential vehicle recalls;</w:t>
      </w:r>
    </w:p>
    <w:p>
      <w:pPr>
        <w:spacing w:after="0" w:line="91" w:lineRule="exact"/>
        <w:rPr>
          <w:rFonts w:ascii="Times New Roman" w:cs="Times New Roman" w:eastAsia="Times New Roman" w:hAnsi="Times New Roman"/>
          <w:sz w:val="14"/>
          <w:szCs w:val="14"/>
          <w:color w:val="auto"/>
        </w:rPr>
      </w:pPr>
    </w:p>
    <w:p>
      <w:pPr>
        <w:ind w:left="1720" w:right="1679" w:hanging="131"/>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expand our brand, and capture additional market share, and the risks associated with negative press or reputational harm;</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Redeemable Convertible Preferred Stock and Convertible Senior Notes;</w:t>
      </w:r>
    </w:p>
    <w:p>
      <w:pPr>
        <w:spacing w:after="0" w:line="91" w:lineRule="exact"/>
        <w:rPr>
          <w:rFonts w:ascii="Times New Roman" w:cs="Times New Roman" w:eastAsia="Times New Roman" w:hAnsi="Times New Roman"/>
          <w:sz w:val="14"/>
          <w:szCs w:val="14"/>
          <w:color w:val="auto"/>
        </w:rPr>
      </w:pPr>
    </w:p>
    <w:p>
      <w:pPr>
        <w:jc w:val="both"/>
        <w:ind w:left="1720" w:right="1799" w:hanging="131"/>
        <w:spacing w:after="0" w:line="267"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reduction or elimination of, and our ability to obtain and effectively utilize, zero emission vehicle credits, tax incentives, and other governmental and regulatory programs and incentives;</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conduct equity, equity-linked, or debt financing in the future;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pay interest and principal on our indebtedness;</w:t>
      </w:r>
    </w:p>
    <w:p>
      <w:pPr>
        <w:spacing w:after="0" w:line="91"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changes to vehicle specifications which may impact performance, features, pricing, and other expectations;</w:t>
      </w:r>
    </w:p>
    <w:p>
      <w:pPr>
        <w:spacing w:after="0" w:line="40" w:lineRule="exact"/>
        <w:rPr>
          <w:rFonts w:ascii="Times New Roman" w:cs="Times New Roman" w:eastAsia="Times New Roman" w:hAnsi="Times New Roman"/>
          <w:sz w:val="14"/>
          <w:szCs w:val="14"/>
          <w:color w:val="auto"/>
        </w:rPr>
      </w:pPr>
    </w:p>
    <w:p>
      <w:pPr>
        <w:ind w:left="1720" w:right="1499" w:hanging="131"/>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potential litigation, government and regulatory proceedings, investigations and inquiries; and</w:t>
      </w:r>
    </w:p>
    <w:p>
      <w:pPr>
        <w:spacing w:after="0" w:line="40" w:lineRule="exact"/>
        <w:rPr>
          <w:rFonts w:ascii="Times New Roman" w:cs="Times New Roman" w:eastAsia="Times New Roman" w:hAnsi="Times New Roman"/>
          <w:sz w:val="14"/>
          <w:szCs w:val="14"/>
          <w:color w:val="auto"/>
        </w:rPr>
      </w:pPr>
    </w:p>
    <w:p>
      <w:pPr>
        <w:ind w:left="1720" w:right="2059" w:hanging="131"/>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in this prospectus or our other filings with the SEC, including any accompanying prospectus supplement.</w:t>
      </w:r>
    </w:p>
    <w:p>
      <w:pPr>
        <w:spacing w:after="0" w:line="72" w:lineRule="exact"/>
        <w:rPr>
          <w:sz w:val="20"/>
          <w:szCs w:val="20"/>
          <w:color w:val="auto"/>
        </w:rPr>
      </w:pPr>
    </w:p>
    <w:p>
      <w:pPr>
        <w:ind w:left="1300" w:right="1319" w:firstLine="280"/>
        <w:spacing w:after="0" w:line="253"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w:t>
      </w:r>
    </w:p>
    <w:p>
      <w:pPr>
        <w:spacing w:after="0" w:line="266" w:lineRule="exact"/>
        <w:rPr>
          <w:sz w:val="20"/>
          <w:szCs w:val="20"/>
          <w:color w:val="auto"/>
        </w:rPr>
      </w:pPr>
    </w:p>
    <w:p>
      <w:pPr>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There can be no assurance that other factors not currently anticipated by us will not materially and adversely affect our business, financial condition and results of operations. You are cautioned not to place undue reliance on any forward-looking statements made by us or on our behalf. Please take into account that forward-looking statements speak only as of the date of this prospectus or, in the case of any accompanying prospectus supplement or documents incorporated by reference, the date of any such document. Except as required by applicable law, we do not undertake any obligation to publicly correct or update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2" w:name="page43"/>
    <w:bookmarkEnd w:id="4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23" w:lineRule="exact"/>
        <w:rPr>
          <w:sz w:val="20"/>
          <w:szCs w:val="20"/>
          <w:color w:val="auto"/>
        </w:rPr>
      </w:pPr>
    </w:p>
    <w:p>
      <w:pPr>
        <w:ind w:left="1300" w:right="1439" w:firstLine="280"/>
        <w:spacing w:after="0" w:line="259"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About Lucid</w:t>
      </w:r>
    </w:p>
    <w:p>
      <w:pPr>
        <w:spacing w:after="0" w:line="125" w:lineRule="exact"/>
        <w:rPr>
          <w:sz w:val="20"/>
          <w:szCs w:val="20"/>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We are a technology company that is shaping the future of mobility through our innovations, advanced technology, and software-defined vehicle platforms. Our award-winning Lucid Air and Lucid Gravity set new standards with their unmatched combination of performance, range, space and efficiency. Our focus on in-house hardware and software innovation, vertical integration, and a “clean sheet” approach to engineering and design led to the development of the award-winning Lucid Air and Lucid Gravity, and upcoming Midsize platform.</w:t>
      </w:r>
    </w:p>
    <w:p>
      <w:pPr>
        <w:spacing w:after="0" w:line="252"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We sell vehicles directly to consumers in North America through our retail sales network and online channels, including Lucid Financial Services. We believe that owning and operating our sales network provides the best opportunity to closely manage the customer experience, gather direct feedback, and ensure that every interaction is tailored to customer needs. We are also actively exploring alternative importer and agency models to enhance flexibility and optimize our distribution strategy in response to evolving market dynamics. We also own and operate a vehicle service network comprised of service centers in major metropolitan areas and a fleet of mobile service vehicles. In addition to our in-house capabilities, we continue to grow an approved list of specially trained collision repair shops, which in some cases serve as repair hubs for mobile service.</w:t>
      </w:r>
    </w:p>
    <w:p>
      <w:pPr>
        <w:spacing w:after="0" w:line="3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5" w:lineRule="exact"/>
        <w:rPr>
          <w:sz w:val="20"/>
          <w:szCs w:val="20"/>
          <w:color w:val="auto"/>
        </w:rPr>
      </w:pPr>
    </w:p>
    <w:p>
      <w:pPr>
        <w:ind w:left="1300" w:right="1359" w:firstLine="280"/>
        <w:spacing w:after="0" w:line="257" w:lineRule="auto"/>
        <w:rPr>
          <w:sz w:val="20"/>
          <w:szCs w:val="20"/>
          <w:color w:val="auto"/>
        </w:rPr>
      </w:pPr>
      <w:r>
        <w:rPr>
          <w:rFonts w:ascii="Times New Roman" w:cs="Times New Roman" w:eastAsia="Times New Roman" w:hAnsi="Times New Roman"/>
          <w:sz w:val="14"/>
          <w:szCs w:val="14"/>
          <w:color w:val="auto"/>
        </w:rPr>
        <w:t>Lucid Group, Inc. is a Delaware corporation. Our principal executive office is located at 7373 Gateway Boulevard, Newark, CA 94560 and our telephone number is (510) 648-3553. We maintain a website at https://www.lucidmotors.com. The information on, or accessible through, our website is not incorporated by reference in this prospectus or any accompanying prospectus supplement, and you should not consider it a part of this prospectus or any accompanying prospectus supplement. We have included our website address only as an inactive textual reference.</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Controlled Company Exemption</w:t>
      </w:r>
    </w:p>
    <w:p>
      <w:pPr>
        <w:spacing w:after="0" w:line="125" w:lineRule="exact"/>
        <w:rPr>
          <w:sz w:val="20"/>
          <w:szCs w:val="20"/>
          <w:color w:val="auto"/>
        </w:rPr>
      </w:pPr>
    </w:p>
    <w:p>
      <w:pPr>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As of March 31, 2026,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eight directors to the Board. On and after April 15, 2026, Ayar is expected to have the ability to nominate five of the nine directors to the Board. Ayar is an affiliate of PIF.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3" w:name="page44"/>
    <w:bookmarkEnd w:id="4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3" w:lineRule="exact"/>
        <w:rPr>
          <w:sz w:val="20"/>
          <w:szCs w:val="20"/>
          <w:color w:val="auto"/>
        </w:rPr>
      </w:pPr>
    </w:p>
    <w:p>
      <w:pPr>
        <w:ind w:left="1300" w:right="1359" w:firstLine="280"/>
        <w:spacing w:after="0" w:line="244"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An investment in our common stock involves a high degree of risk. Before making an investment decision, you should carefully consider the following risk factors, in addition to the risks and uncertainties discussed above under “Cautionary Note Regarding Forward -Looking Statements,” together with the risk factors described in our </w:t>
      </w:r>
      <w:hyperlink r:id="rId28">
        <w:r>
          <w:rPr>
            <w:rFonts w:ascii="Times New Roman" w:cs="Times New Roman" w:eastAsia="Times New Roman" w:hAnsi="Times New Roman"/>
            <w:sz w:val="14"/>
            <w:szCs w:val="14"/>
            <w:i w:val="1"/>
            <w:iCs w:val="1"/>
            <w:u w:val="single" w:color="auto"/>
            <w:color w:val="0000EE"/>
          </w:rPr>
          <w:t>Annual Report on Form 10-K for the year ended December 31, 2025</w:t>
        </w:r>
      </w:hyperlink>
      <w:r>
        <w:rPr>
          <w:rFonts w:ascii="Times New Roman" w:cs="Times New Roman" w:eastAsia="Times New Roman" w:hAnsi="Times New Roman"/>
          <w:sz w:val="14"/>
          <w:szCs w:val="14"/>
          <w:i w:val="1"/>
          <w:iCs w:val="1"/>
          <w:color w:val="auto"/>
        </w:rPr>
        <w:t>, as well as the other information contained or incorporated by reference into this prospectus and any accompanying prospectus supplement. The occurrence of one or more of the events or circumstances described in these risk factors, alone or in combination with other events or circumstances, may have an adverse effect on our business, cash flows, financial condition and results of operations. We may face additional risks and uncertainties that are not presently known to us or that we currently deem immaterial, which may also impair our business or financial condition.</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the Offerings and Our Common Stock</w:t>
      </w:r>
    </w:p>
    <w:p>
      <w:pPr>
        <w:spacing w:after="0" w:line="175" w:lineRule="exact"/>
        <w:rPr>
          <w:sz w:val="20"/>
          <w:szCs w:val="20"/>
          <w:color w:val="auto"/>
        </w:rPr>
      </w:pPr>
    </w:p>
    <w:p>
      <w:pPr>
        <w:ind w:left="1300" w:right="14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net proceeds from the offerings and may invest or spend the proceeds in ways with which you do not agree and in ways that may not yield a return on your investment.</w:t>
      </w:r>
    </w:p>
    <w:p>
      <w:pPr>
        <w:spacing w:after="0" w:line="60" w:lineRule="exact"/>
        <w:rPr>
          <w:sz w:val="20"/>
          <w:szCs w:val="20"/>
          <w:color w:val="auto"/>
        </w:rPr>
      </w:pPr>
    </w:p>
    <w:p>
      <w:pPr>
        <w:ind w:left="1300" w:right="1439" w:firstLine="280"/>
        <w:spacing w:after="0" w:line="244"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the net proceeds from the offerings.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the offerings or our existing cash in ways that enhance stockholder value, we may fail to achieve expected results, which could cause our stock price to decline. Pending their use, we may invest the net proceeds from the offerings in short -term U.S. Treasury securities with insignificant rates of return. These investments may not yield a favorable return to our stockholders.</w:t>
      </w:r>
    </w:p>
    <w:p>
      <w:pPr>
        <w:spacing w:after="0" w:line="139" w:lineRule="exact"/>
        <w:rPr>
          <w:sz w:val="20"/>
          <w:szCs w:val="20"/>
          <w:color w:val="auto"/>
        </w:rPr>
      </w:pPr>
    </w:p>
    <w:p>
      <w:pPr>
        <w:ind w:left="1300" w:right="145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p>
    <w:p>
      <w:pPr>
        <w:spacing w:after="0" w:line="78" w:lineRule="exact"/>
        <w:rPr>
          <w:sz w:val="20"/>
          <w:szCs w:val="20"/>
          <w:color w:val="auto"/>
        </w:rPr>
      </w:pPr>
    </w:p>
    <w:p>
      <w:pPr>
        <w:ind w:left="1300" w:right="1379" w:firstLine="280"/>
        <w:spacing w:after="0" w:line="243" w:lineRule="auto"/>
        <w:rPr>
          <w:sz w:val="20"/>
          <w:szCs w:val="20"/>
          <w:color w:val="auto"/>
        </w:rPr>
      </w:pPr>
      <w:r>
        <w:rPr>
          <w:rFonts w:ascii="Times New Roman" w:cs="Times New Roman" w:eastAsia="Times New Roman" w:hAnsi="Times New Roman"/>
          <w:sz w:val="14"/>
          <w:szCs w:val="14"/>
          <w:color w:val="auto"/>
        </w:rPr>
        <w:t>Future issuances of shares of our common stock, or of securities convertible into or exercisable for our common stock, could depress the market price of our common stock and result in significant dilution for holders of our common stock. This includes the potential issuance of a substantial number of shares of our common stock upon the conversion, optional redemption, or repurchase of our Redeemable Convertible Preferred Stock. The Redeemable Convertible Preferred Stock is convertible into our common stock at specified conversion prices, subject to customary anti-dilution adjustments, and the number of shares issuable upon conversion may increase over time due to the compounding of dividends at an initial rate of 9% per annum, which are not subject to any cap or sunset provisions and may accrue in perpetuity. As a result, the number of shares of common stock issuable upon conversion of the Redeemable Convertible Preferred Stock may continue to increase, further diluting the ownership interests of existing common stockholders.</w:t>
      </w:r>
    </w:p>
    <w:p>
      <w:pPr>
        <w:spacing w:after="0" w:line="252"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In addition, in certain circumstances, including in connection with a mandatory conversion, optional redemption, or a fundamental change (as defined in the respective Certificate of Designations of the Redeemable Convertible Preferred Stock), holders of the Redeemable Convertible Preferred Stock may be entitled to receive “Minimum Consideration (as defined in the respective Certificate of Designations of the Redeemable Convertible Preferred Stock).” If the value of the Minimum Consideration exceeds the Accrued Value (as defined in the respective Certificate of Designations of the Redeemable Convertible Preferred Stock) of the Redeemable Convertible Preferred Stock, we would be required to issue a number of shares of common stock that is presently indeterminable and, particularly if our stock price is substantially below the initial conversion price, such issuances could result in significant dilution to the common stockholders which could have a material adverse effect on the market prices of our common stock and on our financial condition, liquidity, and ability to obtain additional financing.</w:t>
      </w:r>
    </w:p>
    <w:p>
      <w:pPr>
        <w:spacing w:after="0" w:line="89" w:lineRule="exact"/>
        <w:rPr>
          <w:sz w:val="20"/>
          <w:szCs w:val="20"/>
          <w:color w:val="auto"/>
        </w:rPr>
      </w:pPr>
    </w:p>
    <w:p>
      <w:pPr>
        <w:ind w:left="1300" w:right="1519" w:firstLine="280"/>
        <w:spacing w:after="0" w:line="248" w:lineRule="auto"/>
        <w:rPr>
          <w:sz w:val="20"/>
          <w:szCs w:val="20"/>
          <w:color w:val="auto"/>
        </w:rPr>
      </w:pPr>
      <w:r>
        <w:rPr>
          <w:rFonts w:ascii="Times New Roman" w:cs="Times New Roman" w:eastAsia="Times New Roman" w:hAnsi="Times New Roman"/>
          <w:sz w:val="14"/>
          <w:szCs w:val="14"/>
          <w:color w:val="auto"/>
        </w:rPr>
        <w:t>The exercise of our outstanding warrants and options, the vesting and settlement of our restricted stock units and the conversion of our Convertible Senior Notes may also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4" w:name="page45"/>
    <w:bookmarkEnd w:id="4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The market price of shares of our common stock could decline as a result of substantial sales of common stock or securities convertible into shares of common stock, particularly by our significant stockholders, a large number of shares of common stock becoming available for sale or the perception in the market that holders of a large number of shares intend to sell their shares.</w:t>
      </w:r>
    </w:p>
    <w:p>
      <w:pPr>
        <w:spacing w:after="0" w:line="83" w:lineRule="exact"/>
        <w:rPr>
          <w:sz w:val="20"/>
          <w:szCs w:val="20"/>
          <w:color w:val="auto"/>
        </w:rPr>
      </w:pPr>
    </w:p>
    <w:p>
      <w:pPr>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In addition, pursuant to the Investor Rights Agreement, dated February 22, 2021 (as amended from time-to -time, the “Investor Rights Agreement”), Ayar, and certain other parties thereto are entitled to, among other things, certain registration rights, including demand, piggy-back and shelf registration rights with respect to their shares of common stock (including shares of common stock underlying the Redeemable Convertible Preferred Stock held by Ayar) and Ayar’s shares of the Redeemable Convertible Preferred Stock. We also provided certain registration rights to SMB with respect to the shares of common stock previously issued to it in September 2025 and the shares of common stock to be issued to it pursuant to the subscription agreement the Company entered into with SMB on April 14, 2026. If either pursuant to any registration statement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spacing w:after="0" w:line="302" w:lineRule="exact"/>
        <w:rPr>
          <w:sz w:val="20"/>
          <w:szCs w:val="20"/>
          <w:color w:val="auto"/>
        </w:rPr>
      </w:pPr>
    </w:p>
    <w:p>
      <w:pPr>
        <w:jc w:val="both"/>
        <w:ind w:left="1300" w:right="151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Securities or industry analysts may or may not publish research or reports about us, our business, our market, or change their recommendations regarding our common stock adversely, which could cause the price and trading volume of our common stock to decline.</w:t>
      </w:r>
    </w:p>
    <w:p>
      <w:pPr>
        <w:spacing w:after="0" w:line="78"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The trading market for our common stock can be influenced by the research and reports that industry or securities analysts may publish about us, our business and operations, our market, or our competitors.</w:t>
      </w:r>
    </w:p>
    <w:p>
      <w:pPr>
        <w:spacing w:after="0" w:line="73" w:lineRule="exact"/>
        <w:rPr>
          <w:sz w:val="20"/>
          <w:szCs w:val="20"/>
          <w:color w:val="auto"/>
        </w:rPr>
      </w:pPr>
    </w:p>
    <w:p>
      <w:pPr>
        <w:ind w:left="1300" w:right="1379" w:firstLine="280"/>
        <w:spacing w:after="0" w:line="247" w:lineRule="auto"/>
        <w:rPr>
          <w:sz w:val="20"/>
          <w:szCs w:val="20"/>
          <w:color w:val="auto"/>
        </w:rPr>
      </w:pPr>
      <w:r>
        <w:rPr>
          <w:rFonts w:ascii="Times New Roman" w:cs="Times New Roman" w:eastAsia="Times New Roman" w:hAnsi="Times New Roman"/>
          <w:sz w:val="14"/>
          <w:szCs w:val="14"/>
          <w:color w:val="auto"/>
        </w:rPr>
        <w:t>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47" w:lineRule="exact"/>
        <w:rPr>
          <w:sz w:val="20"/>
          <w:szCs w:val="20"/>
          <w:color w:val="auto"/>
        </w:rPr>
      </w:pPr>
    </w:p>
    <w:p>
      <w:pPr>
        <w:ind w:left="1300" w:right="13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price of our common stock has been, and may continue to be, volatile, and this volatility may negatively impact the trading price of our common stock.</w:t>
      </w:r>
    </w:p>
    <w:p>
      <w:pPr>
        <w:spacing w:after="0" w:line="71" w:lineRule="exact"/>
        <w:rPr>
          <w:sz w:val="20"/>
          <w:szCs w:val="20"/>
          <w:color w:val="auto"/>
        </w:rPr>
      </w:pPr>
    </w:p>
    <w:p>
      <w:pPr>
        <w:ind w:left="1300" w:right="1339" w:firstLine="280"/>
        <w:spacing w:after="0" w:line="244" w:lineRule="auto"/>
        <w:rPr>
          <w:sz w:val="20"/>
          <w:szCs w:val="20"/>
          <w:color w:val="auto"/>
        </w:rPr>
      </w:pPr>
      <w:r>
        <w:rPr>
          <w:rFonts w:ascii="Times New Roman" w:cs="Times New Roman" w:eastAsia="Times New Roman" w:hAnsi="Times New Roman"/>
          <w:sz w:val="14"/>
          <w:szCs w:val="14"/>
          <w:color w:val="auto"/>
        </w:rPr>
        <w:t>The trading price of our common stock has fluctuated substantially. The trading price of our common stock depends on many factors, including those described elsewhere in this “Risk Factors” section, many of which are beyond our control and may not be related to our operating performance. These fluctuations could cause investors to lose all or part of the investment in our common stock since investors might be unable to sell them at or above the price the investor paid for them. Any of the factors listed below could have a material adverse effect on your investment in our common stock and our common stock may trade at prices significantly below the price you paid for it. In such circumstances, the trading price of our common stock may not recover and may experience a further decline.</w:t>
      </w:r>
    </w:p>
    <w:p>
      <w:pPr>
        <w:spacing w:after="0" w:line="8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Factors affecting the trading price of our common stock may include:</w:t>
      </w:r>
    </w:p>
    <w:p>
      <w:pPr>
        <w:spacing w:after="0" w:line="91" w:lineRule="exact"/>
        <w:rPr>
          <w:sz w:val="20"/>
          <w:szCs w:val="20"/>
          <w:color w:val="auto"/>
        </w:rPr>
      </w:pPr>
    </w:p>
    <w:p>
      <w:pPr>
        <w:ind w:left="1720" w:hanging="131"/>
        <w:spacing w:after="0"/>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broader stock market in general, or in our industry in particular;</w:t>
      </w:r>
    </w:p>
    <w:p>
      <w:pPr>
        <w:spacing w:after="0" w:line="91" w:lineRule="exact"/>
        <w:rPr>
          <w:rFonts w:ascii="Times New Roman" w:cs="Times New Roman" w:eastAsia="Times New Roman" w:hAnsi="Times New Roman"/>
          <w:sz w:val="14"/>
          <w:szCs w:val="14"/>
          <w:color w:val="auto"/>
        </w:rPr>
      </w:pPr>
    </w:p>
    <w:p>
      <w:pPr>
        <w:ind w:left="1720" w:right="1739" w:hanging="131"/>
        <w:spacing w:after="0" w:line="283" w:lineRule="auto"/>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or operating results or the quarterly financial or operating results of companies perceived to be similar to ours;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expectations about our operating results;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91" w:lineRule="exact"/>
        <w:rPr>
          <w:rFonts w:ascii="Times New Roman" w:cs="Times New Roman" w:eastAsia="Times New Roman" w:hAnsi="Times New Roman"/>
          <w:sz w:val="14"/>
          <w:szCs w:val="14"/>
          <w:color w:val="auto"/>
        </w:rPr>
      </w:pPr>
    </w:p>
    <w:p>
      <w:pPr>
        <w:ind w:left="1720" w:right="1399" w:hanging="131"/>
        <w:spacing w:after="0" w:line="276" w:lineRule="auto"/>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financial projections and any other guidance or metrics that we may publicly disclose, including any decision to adjust or withdraw such financial projections, guidance or metrics;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5" w:name="page46"/>
    <w:bookmarkEnd w:id="4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hanging="131"/>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91" w:lineRule="exact"/>
        <w:rPr>
          <w:rFonts w:ascii="Times New Roman" w:cs="Times New Roman" w:eastAsia="Times New Roman" w:hAnsi="Times New Roman"/>
          <w:sz w:val="14"/>
          <w:szCs w:val="14"/>
          <w:color w:val="auto"/>
        </w:rPr>
      </w:pPr>
    </w:p>
    <w:p>
      <w:pPr>
        <w:ind w:left="1720" w:right="1739" w:hanging="131"/>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competitors’ businesses or the competitive landscape generally;</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lower-than-anticipated industry-wide EV adoption rates or perception that EV demand is slowing;</w:t>
      </w:r>
    </w:p>
    <w:p>
      <w:pPr>
        <w:spacing w:after="0" w:line="91"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results failing to meet the expectation of securities analysts or investors in a particular period;</w:t>
      </w:r>
    </w:p>
    <w:p>
      <w:pPr>
        <w:spacing w:after="0" w:line="30" w:lineRule="exact"/>
        <w:rPr>
          <w:rFonts w:ascii="Times New Roman" w:cs="Times New Roman" w:eastAsia="Times New Roman" w:hAnsi="Times New Roman"/>
          <w:sz w:val="14"/>
          <w:szCs w:val="14"/>
          <w:color w:val="auto"/>
        </w:rPr>
      </w:pPr>
    </w:p>
    <w:p>
      <w:pPr>
        <w:ind w:left="1720" w:right="1539" w:hanging="131"/>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achievement of objectives under our business plan and the timing and amount of costs we incur in connection therewith;</w:t>
      </w:r>
    </w:p>
    <w:p>
      <w:pPr>
        <w:spacing w:after="0" w:line="40" w:lineRule="exact"/>
        <w:rPr>
          <w:rFonts w:ascii="Times New Roman" w:cs="Times New Roman" w:eastAsia="Times New Roman" w:hAnsi="Times New Roman"/>
          <w:sz w:val="14"/>
          <w:szCs w:val="14"/>
          <w:color w:val="auto"/>
        </w:rPr>
      </w:pPr>
    </w:p>
    <w:p>
      <w:pPr>
        <w:ind w:left="1720" w:right="1679" w:hanging="131"/>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market in general;</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stock price performance of other companies that investors deem comparable to ours;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reaction to any of our strategic partners;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or investigations involving us;</w:t>
      </w:r>
    </w:p>
    <w:p>
      <w:pPr>
        <w:spacing w:after="0" w:line="91"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40"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our common stock available for public sale, including as a result of conversion of our Redeemable Convertible Preferred Stock or our Convertible Senior Notes;</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 in our Board or management;</w:t>
      </w:r>
    </w:p>
    <w:p>
      <w:pPr>
        <w:spacing w:after="0" w:line="91" w:lineRule="exact"/>
        <w:rPr>
          <w:rFonts w:ascii="Times New Roman" w:cs="Times New Roman" w:eastAsia="Times New Roman" w:hAnsi="Times New Roman"/>
          <w:sz w:val="14"/>
          <w:szCs w:val="14"/>
          <w:color w:val="auto"/>
        </w:rPr>
      </w:pPr>
    </w:p>
    <w:p>
      <w:pPr>
        <w:ind w:left="1720" w:right="2039" w:hanging="131"/>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our common stock by our directors, officers or significant stockholders or the perception that such sales could occur;</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58"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uncertainties in trade policies, the imposition or proposed imposition of tariffs, export controls, threat of a trade war, recessions, interest rate changes, inflation, bank closures and liquidity concerns at financial institutions, changes in diplomatic and trade relationships, fluctuations in foreign currency exchange rates, acts of war or terrorism, and natural disasters; and</w:t>
      </w:r>
    </w:p>
    <w:p>
      <w:pPr>
        <w:spacing w:after="0" w:line="59"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listed in this section “Risk Factors.”</w:t>
      </w:r>
    </w:p>
    <w:p>
      <w:pPr>
        <w:spacing w:after="0" w:line="123"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global or regional conflicts and other geopolitical events, natural disasters, and any other global pandemics, as well as general economic, political and market conditions such as recessions, inflation, bank closures and liquidity concerns at financial institutions, 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spacing w:after="0" w:line="89"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Furthermore, the stock markets in general, and the markets for technology and EV stocks in particular, have experienced extreme volatility that has sometimes been unrelated to the operating performance of the companies. The trading price of our common stock may be adversely affected by third parties trying to drive down or drive up the market price. Short sellers and others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6" w:name="page47"/>
    <w:bookmarkEnd w:id="4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79"/>
        <w:spacing w:after="0" w:line="259" w:lineRule="auto"/>
        <w:rPr>
          <w:sz w:val="20"/>
          <w:szCs w:val="20"/>
          <w:color w:val="auto"/>
        </w:rPr>
      </w:pPr>
      <w:r>
        <w:rPr>
          <w:rFonts w:ascii="Times New Roman" w:cs="Times New Roman" w:eastAsia="Times New Roman" w:hAnsi="Times New Roman"/>
          <w:sz w:val="14"/>
          <w:szCs w:val="14"/>
          <w:color w:val="auto"/>
        </w:rPr>
        <w:t>of the Convertible Senior Notes may impact the market price of our common stock, in particular during any redemption conversion period in connection with a redemption of the Convertible Senior Notes or any observation period for a conversion of the Convertible Senior Notes.</w:t>
      </w:r>
    </w:p>
    <w:p>
      <w:pPr>
        <w:spacing w:after="0" w:line="78"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47" w:lineRule="exact"/>
        <w:rPr>
          <w:sz w:val="20"/>
          <w:szCs w:val="20"/>
          <w:color w:val="auto"/>
        </w:rPr>
      </w:pPr>
    </w:p>
    <w:p>
      <w:pPr>
        <w:ind w:left="1300" w:right="13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substantial indebtedness could adversely affect our financial condition and our ability to raise additional capital to fund our operations and limit our ability to react to changes in the economy.</w:t>
      </w:r>
    </w:p>
    <w:p>
      <w:pPr>
        <w:spacing w:after="0" w:line="71" w:lineRule="exact"/>
        <w:rPr>
          <w:sz w:val="20"/>
          <w:szCs w:val="20"/>
          <w:color w:val="auto"/>
        </w:rPr>
      </w:pPr>
    </w:p>
    <w:p>
      <w:pPr>
        <w:ind w:left="1300" w:right="1339" w:firstLine="280"/>
        <w:spacing w:after="0" w:line="252" w:lineRule="auto"/>
        <w:rPr>
          <w:sz w:val="20"/>
          <w:szCs w:val="20"/>
          <w:color w:val="auto"/>
        </w:rPr>
      </w:pPr>
      <w:r>
        <w:rPr>
          <w:rFonts w:ascii="Times New Roman" w:cs="Times New Roman" w:eastAsia="Times New Roman" w:hAnsi="Times New Roman"/>
          <w:sz w:val="14"/>
          <w:szCs w:val="14"/>
          <w:color w:val="auto"/>
        </w:rPr>
        <w:t>We are a highly leveraged company. As of December 31, 2025, we and our subsidiaries had approximately $2.7 billion of indebtedness for borrowed money and we and our subsidiaries had availability of approximately $2.4 billion under the existing loan agreements and credit facilities subject to certain covenants.</w:t>
      </w:r>
    </w:p>
    <w:p>
      <w:pPr>
        <w:spacing w:after="0" w:line="25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substantial indebtedness could have important consequences to you. For example, it could:</w:t>
      </w:r>
    </w:p>
    <w:p>
      <w:pPr>
        <w:spacing w:after="0" w:line="91" w:lineRule="exact"/>
        <w:rPr>
          <w:sz w:val="20"/>
          <w:szCs w:val="20"/>
          <w:color w:val="auto"/>
        </w:rPr>
      </w:pPr>
    </w:p>
    <w:p>
      <w:pPr>
        <w:ind w:left="1720" w:hanging="131"/>
        <w:spacing w:after="0"/>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general adverse economic and industry conditions;</w:t>
      </w:r>
    </w:p>
    <w:p>
      <w:pPr>
        <w:spacing w:after="0" w:line="91" w:lineRule="exact"/>
        <w:rPr>
          <w:rFonts w:ascii="Times New Roman" w:cs="Times New Roman" w:eastAsia="Times New Roman" w:hAnsi="Times New Roman"/>
          <w:sz w:val="14"/>
          <w:szCs w:val="14"/>
          <w:color w:val="auto"/>
        </w:rPr>
      </w:pPr>
    </w:p>
    <w:p>
      <w:pPr>
        <w:jc w:val="both"/>
        <w:ind w:left="1720" w:right="1659" w:hanging="131"/>
        <w:spacing w:after="0" w:line="267"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40"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in planning for, or reacting to, changes in our business and the industry in which we operate;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 compared to our competitors that have less debt; and</w:t>
      </w:r>
    </w:p>
    <w:p>
      <w:pPr>
        <w:spacing w:after="0" w:line="91"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obtain additional financing for working capital, capital expenditures, acquisitions or general corporate purposes.</w:t>
      </w:r>
    </w:p>
    <w:p>
      <w:pPr>
        <w:spacing w:after="0" w:line="123" w:lineRule="exact"/>
        <w:rPr>
          <w:sz w:val="20"/>
          <w:szCs w:val="20"/>
          <w:color w:val="auto"/>
        </w:rPr>
      </w:pPr>
    </w:p>
    <w:p>
      <w:pPr>
        <w:ind w:left="1300" w:right="145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78" w:lineRule="exact"/>
        <w:rPr>
          <w:sz w:val="20"/>
          <w:szCs w:val="20"/>
          <w:color w:val="auto"/>
        </w:rPr>
      </w:pPr>
    </w:p>
    <w:p>
      <w:pPr>
        <w:ind w:left="1300" w:right="1339" w:firstLine="280"/>
        <w:spacing w:after="0" w:line="241" w:lineRule="auto"/>
        <w:rPr>
          <w:sz w:val="20"/>
          <w:szCs w:val="20"/>
          <w:color w:val="auto"/>
        </w:rPr>
      </w:pPr>
      <w:r>
        <w:rPr>
          <w:rFonts w:ascii="Times New Roman" w:cs="Times New Roman" w:eastAsia="Times New Roman" w:hAnsi="Times New Roman"/>
          <w:sz w:val="14"/>
          <w:szCs w:val="14"/>
          <w:color w:val="auto"/>
        </w:rPr>
        <w:t>As of March 31, 2026, PIF, both directly and indirectly through Ayar, held over 50% of the voting power for the election of our directors.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eight directors to our Board.</w:t>
      </w:r>
    </w:p>
    <w:p>
      <w:pPr>
        <w:spacing w:after="0" w:line="260" w:lineRule="exact"/>
        <w:rPr>
          <w:sz w:val="20"/>
          <w:szCs w:val="20"/>
          <w:color w:val="auto"/>
        </w:rPr>
      </w:pPr>
    </w:p>
    <w:p>
      <w:pPr>
        <w:ind w:left="1300" w:right="1419" w:firstLine="280"/>
        <w:spacing w:after="0" w:line="246" w:lineRule="auto"/>
        <w:rPr>
          <w:sz w:val="20"/>
          <w:szCs w:val="20"/>
          <w:color w:val="auto"/>
        </w:rPr>
      </w:pPr>
      <w:r>
        <w:rPr>
          <w:rFonts w:ascii="Times New Roman" w:cs="Times New Roman" w:eastAsia="Times New Roman" w:hAnsi="Times New Roman"/>
          <w:sz w:val="14"/>
          <w:szCs w:val="14"/>
          <w:color w:val="auto"/>
        </w:rPr>
        <w:t>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Further, Ayar is entitled to receive additional shares of our common stock under the prepaid forward transactions. This concentration of ownership and voting power allows Ayar to exercise control over certain decisions, in particular with regards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7" w:name="page48"/>
    <w:bookmarkEnd w:id="4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59"/>
        <w:spacing w:after="0" w:line="261" w:lineRule="auto"/>
        <w:rPr>
          <w:sz w:val="20"/>
          <w:szCs w:val="20"/>
          <w:color w:val="auto"/>
        </w:rPr>
      </w:pPr>
      <w:r>
        <w:rPr>
          <w:rFonts w:ascii="Times New Roman" w:cs="Times New Roman" w:eastAsia="Times New Roman" w:hAnsi="Times New Roman"/>
          <w:sz w:val="14"/>
          <w:szCs w:val="14"/>
          <w:color w:val="auto"/>
        </w:rPr>
        <w:t>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w:t>
      </w:r>
    </w:p>
    <w:p>
      <w:pPr>
        <w:spacing w:after="0" w:line="88" w:lineRule="exact"/>
        <w:rPr>
          <w:sz w:val="20"/>
          <w:szCs w:val="20"/>
          <w:color w:val="auto"/>
        </w:rPr>
      </w:pPr>
    </w:p>
    <w:p>
      <w:pPr>
        <w:ind w:left="1300" w:right="1339" w:firstLine="280"/>
        <w:spacing w:after="0" w:line="257" w:lineRule="auto"/>
        <w:rPr>
          <w:sz w:val="20"/>
          <w:szCs w:val="20"/>
          <w:color w:val="auto"/>
        </w:rPr>
      </w:pPr>
      <w:r>
        <w:rPr>
          <w:rFonts w:ascii="Times New Roman" w:cs="Times New Roman" w:eastAsia="Times New Roman" w:hAnsi="Times New Roman"/>
          <w:sz w:val="14"/>
          <w:szCs w:val="14"/>
          <w:color w:val="auto"/>
        </w:rPr>
        <w:t>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8" w:name="page49"/>
    <w:bookmarkEnd w:id="4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499" w:firstLine="280"/>
        <w:spacing w:after="0" w:line="257" w:lineRule="auto"/>
        <w:rPr>
          <w:sz w:val="20"/>
          <w:szCs w:val="20"/>
          <w:color w:val="auto"/>
        </w:rPr>
      </w:pPr>
      <w:r>
        <w:rPr>
          <w:rFonts w:ascii="Times New Roman" w:cs="Times New Roman" w:eastAsia="Times New Roman" w:hAnsi="Times New Roman"/>
          <w:sz w:val="14"/>
          <w:szCs w:val="14"/>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9" w:name="page50"/>
    <w:bookmarkEnd w:id="4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FOR NON-U.S. HOLDERS</w:t>
      </w:r>
    </w:p>
    <w:p>
      <w:pPr>
        <w:spacing w:after="0" w:line="125" w:lineRule="exact"/>
        <w:rPr>
          <w:sz w:val="20"/>
          <w:szCs w:val="20"/>
          <w:color w:val="auto"/>
        </w:rPr>
      </w:pPr>
    </w:p>
    <w:p>
      <w:pPr>
        <w:ind w:left="1300" w:right="1319" w:firstLine="280"/>
        <w:spacing w:after="0" w:line="253" w:lineRule="auto"/>
        <w:rPr>
          <w:sz w:val="20"/>
          <w:szCs w:val="20"/>
          <w:color w:val="auto"/>
        </w:rPr>
      </w:pPr>
      <w:r>
        <w:rPr>
          <w:rFonts w:ascii="Times New Roman" w:cs="Times New Roman" w:eastAsia="Times New Roman" w:hAnsi="Times New Roman"/>
          <w:sz w:val="14"/>
          <w:szCs w:val="14"/>
          <w:color w:val="auto"/>
        </w:rPr>
        <w:t>The following is a summary of U.S. federal income tax considerations generally applicable to Non-U.S. Holders (as defined below) with respect to the ownership and disposition of shares of our common stock issued pursuant to the offerings that are held by such Non-U.S. Holders as a capital asset (generally, property held for investment) within the meaning of the Internal Revenue Code of 1986, as amended (the “Code”). This summary is based on the Code, Treasury Regulations promulgated thereunder, judicial decisions, administrative rulings and published positions of the Internal Revenue Service (“IRS”) and other applicable authorities, in each case as in effect as of the date of this document and all of which are subject to change, possibly with retroactive effect. This summary is not binding on the IRS and there can be no assurance that the IRS or a court will agree with the conclusions stated herein. This summary is not a complete description of all of the U.S. federal income tax considerations that may be relevant to a particular Non-U.S. Holder. In addition, this summary does not address considerations relevant to Non-U.S. Holders subject to special rules, including, without limitation:</w:t>
      </w:r>
    </w:p>
    <w:p>
      <w:pPr>
        <w:spacing w:after="0" w:line="236" w:lineRule="exact"/>
        <w:rPr>
          <w:sz w:val="20"/>
          <w:szCs w:val="20"/>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 or currencies;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former citizens or residents of the United States;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elect to mark their securities to market;</w:t>
      </w:r>
    </w:p>
    <w:p>
      <w:pPr>
        <w:spacing w:after="0" w:line="91" w:lineRule="exact"/>
        <w:rPr>
          <w:rFonts w:ascii="Times New Roman" w:cs="Times New Roman" w:eastAsia="Times New Roman" w:hAnsi="Times New Roman"/>
          <w:sz w:val="14"/>
          <w:szCs w:val="14"/>
          <w:color w:val="auto"/>
        </w:rPr>
      </w:pPr>
    </w:p>
    <w:p>
      <w:pPr>
        <w:ind w:left="1720" w:right="1779" w:hanging="131"/>
        <w:spacing w:after="0" w:line="283" w:lineRule="auto"/>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common stock as part of a straddle, hedge, conversion or other integrated transaction;</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common stock under the constructive sale provisions of the Code;</w:t>
      </w:r>
    </w:p>
    <w:p>
      <w:pPr>
        <w:spacing w:after="0" w:line="91"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acquired shares of our common stock as compensation or otherwise in connection with the performance of services;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passive foreign investment companies; and</w:t>
      </w:r>
    </w:p>
    <w:p>
      <w:pPr>
        <w:spacing w:after="0" w:line="101" w:lineRule="exact"/>
        <w:rPr>
          <w:rFonts w:ascii="Times New Roman" w:cs="Times New Roman" w:eastAsia="Times New Roman" w:hAnsi="Times New Roman"/>
          <w:sz w:val="14"/>
          <w:szCs w:val="14"/>
          <w:color w:val="auto"/>
        </w:rPr>
      </w:pPr>
    </w:p>
    <w:p>
      <w:pPr>
        <w:ind w:left="1720" w:right="1579" w:hanging="131"/>
        <w:spacing w:after="0" w:line="283" w:lineRule="auto"/>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partnerships for U.S. federal income tax purposes) or other pass-through entities.</w:t>
      </w:r>
    </w:p>
    <w:p>
      <w:pPr>
        <w:spacing w:after="0" w:line="62" w:lineRule="exact"/>
        <w:rPr>
          <w:sz w:val="20"/>
          <w:szCs w:val="20"/>
          <w:color w:val="auto"/>
        </w:rPr>
      </w:pPr>
    </w:p>
    <w:p>
      <w:pPr>
        <w:ind w:left="1300" w:right="1439" w:firstLine="280"/>
        <w:spacing w:after="0" w:line="257" w:lineRule="auto"/>
        <w:rPr>
          <w:sz w:val="20"/>
          <w:szCs w:val="20"/>
          <w:color w:val="auto"/>
        </w:rPr>
      </w:pPr>
      <w:r>
        <w:rPr>
          <w:rFonts w:ascii="Times New Roman" w:cs="Times New Roman" w:eastAsia="Times New Roman" w:hAnsi="Times New Roman"/>
          <w:sz w:val="14"/>
          <w:szCs w:val="14"/>
          <w:color w:val="auto"/>
        </w:rPr>
        <w:t>If a partnership (or other entity or arrangement treated as a partnership for U.S. federal income tax purposes) holds shares of our common stock, the U.S. federal income tax treatment of a partner in the partnership will generally depend on the status of the partner and the activities of the partnership. Partnerships, and partners of a partnership, holding shares of our common stock should consult their tax advisors regarding the U.S. federal income tax consequences to them of owning and disposing of shares of our common stock.</w:t>
      </w:r>
    </w:p>
    <w:p>
      <w:pPr>
        <w:spacing w:after="0" w:line="263" w:lineRule="exact"/>
        <w:rPr>
          <w:sz w:val="20"/>
          <w:szCs w:val="20"/>
          <w:color w:val="auto"/>
        </w:rPr>
      </w:pPr>
    </w:p>
    <w:p>
      <w:pPr>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In addition, this summary does not address any U.S. state or local or non-U.S. tax considerations or any U.S. federal estate, gift, alternative minimum tax or Medicare contribution tax considerations. Non-U.S. Holders should consult their tax advisors regarding the particular tax considerations to them of owning and disposing of shares of our common stock.</w:t>
      </w:r>
    </w:p>
    <w:p>
      <w:pPr>
        <w:spacing w:after="0" w:line="88" w:lineRule="exact"/>
        <w:rPr>
          <w:sz w:val="20"/>
          <w:szCs w:val="20"/>
          <w:color w:val="auto"/>
        </w:rPr>
      </w:pPr>
    </w:p>
    <w:p>
      <w:pPr>
        <w:ind w:left="1300" w:right="1399" w:firstLine="280"/>
        <w:spacing w:after="0" w:line="267" w:lineRule="auto"/>
        <w:rPr>
          <w:sz w:val="20"/>
          <w:szCs w:val="20"/>
          <w:color w:val="auto"/>
        </w:rPr>
      </w:pPr>
      <w:r>
        <w:rPr>
          <w:rFonts w:ascii="Times New Roman" w:cs="Times New Roman" w:eastAsia="Times New Roman" w:hAnsi="Times New Roman"/>
          <w:sz w:val="14"/>
          <w:szCs w:val="14"/>
          <w:color w:val="auto"/>
        </w:rPr>
        <w:t>For purposes of this discussion, a “Non-U.S. Holder” is a beneficial owner of shares of our common stock that, for U.S. federal income tax purposes, is an individual, corporation, estate or trust that is not, and is not treated as, any of the following:</w:t>
      </w:r>
    </w:p>
    <w:p>
      <w:pPr>
        <w:spacing w:after="0" w:line="51" w:lineRule="exact"/>
        <w:rPr>
          <w:sz w:val="20"/>
          <w:szCs w:val="20"/>
          <w:color w:val="auto"/>
        </w:rPr>
      </w:pPr>
    </w:p>
    <w:p>
      <w:pPr>
        <w:ind w:left="1720" w:hanging="131"/>
        <w:spacing w:after="0"/>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1" w:lineRule="exact"/>
        <w:rPr>
          <w:rFonts w:ascii="Times New Roman" w:cs="Times New Roman" w:eastAsia="Times New Roman" w:hAnsi="Times New Roman"/>
          <w:sz w:val="14"/>
          <w:szCs w:val="14"/>
          <w:color w:val="auto"/>
        </w:rPr>
      </w:pPr>
    </w:p>
    <w:p>
      <w:pPr>
        <w:ind w:left="1720" w:right="1379" w:hanging="131"/>
        <w:spacing w:after="0" w:line="283"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treated as a corporation for U.S. federal income tax purposes) created or organized in or under the laws of the United States, any state thereof, or the District of Columbia;</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0" w:name="page51"/>
    <w:bookmarkEnd w:id="5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hanging="131"/>
        <w:spacing w:after="0"/>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1" w:lineRule="exact"/>
        <w:rPr>
          <w:rFonts w:ascii="Times New Roman" w:cs="Times New Roman" w:eastAsia="Times New Roman" w:hAnsi="Times New Roman"/>
          <w:sz w:val="14"/>
          <w:szCs w:val="14"/>
          <w:color w:val="auto"/>
        </w:rPr>
      </w:pPr>
    </w:p>
    <w:p>
      <w:pPr>
        <w:ind w:left="1720" w:right="1379" w:hanging="131"/>
        <w:spacing w:after="0" w:line="261"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 the administration of which is subject to the primary supervision of a court within the United States and for which one or more United States persons (as defined in Section 7701(a)(30) of the Code) have the authority to control all substantial decisions, or (ii) that has otherwise validly elected to be treated as a U.S. person under the applicable Treasury Regulations.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25"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We do not currently anticipate paying cash dividends on our common stock in the foreseeable future. However, if we do make distributions of cash or property (other than certain stock distributions) with respect to shares of our common stock (or if we engage in certain redemptions that are treated as distributions with respect to shares of our common stock), any such distributions will generally be treated as dividends to the extent paid from our current or accumulated earnings and profits, as determined under U.S. federal income tax principles. Amounts of such distributions in excess of our current and accumulated earnings and profits will be treated, first, as a return of capital and be applied against and reduce a Non-U.S. Holder’s adjusted tax basis in its shares of our common stock (but not below zero) and, thereafter, as capital gain, which is subject to the tax treatment described below under “— Sale or Other Taxable Disposition.”</w:t>
      </w:r>
    </w:p>
    <w:p>
      <w:pPr>
        <w:spacing w:after="0" w:line="89" w:lineRule="exact"/>
        <w:rPr>
          <w:sz w:val="20"/>
          <w:szCs w:val="20"/>
          <w:color w:val="auto"/>
        </w:rPr>
      </w:pPr>
    </w:p>
    <w:p>
      <w:pPr>
        <w:ind w:left="1300" w:right="1379" w:firstLine="280"/>
        <w:spacing w:after="0" w:line="244" w:lineRule="auto"/>
        <w:rPr>
          <w:sz w:val="20"/>
          <w:szCs w:val="20"/>
          <w:color w:val="auto"/>
        </w:rPr>
      </w:pPr>
      <w:r>
        <w:rPr>
          <w:rFonts w:ascii="Times New Roman" w:cs="Times New Roman" w:eastAsia="Times New Roman" w:hAnsi="Times New Roman"/>
          <w:sz w:val="14"/>
          <w:szCs w:val="14"/>
          <w:color w:val="auto"/>
        </w:rPr>
        <w:t>Subject to the discussion below on effectively connected income, dividends paid to a Non-U.S. Holder with respect to shares of our common stock will generally be subject to U.S. federal withholding tax at a rate of thirty percent (30%) of the gross amount of the dividends (or such lower rate specified by an applicable income tax treaty, provided the Non-U.S. Holder furnishes a properly executed IRS Form W-8BEN or W-8BEN-E (or its successor form or other applicable documentation) certifying its qualification for such lower treaty rate). A Non-U.S. Holder that does not timely furnish the required documentation, but that qualifies for a reduced treaty rate, may obtain a refund of any excess amounts withheld by timely filing an appropriate claim for refund with the IRS.</w:t>
      </w:r>
    </w:p>
    <w:p>
      <w:pPr>
        <w:spacing w:after="0" w:line="89" w:lineRule="exact"/>
        <w:rPr>
          <w:sz w:val="20"/>
          <w:szCs w:val="20"/>
          <w:color w:val="auto"/>
        </w:rPr>
      </w:pPr>
    </w:p>
    <w:p>
      <w:pPr>
        <w:ind w:left="1300" w:right="1519" w:firstLine="280"/>
        <w:spacing w:after="0" w:line="251" w:lineRule="auto"/>
        <w:rPr>
          <w:sz w:val="20"/>
          <w:szCs w:val="20"/>
          <w:color w:val="auto"/>
        </w:rPr>
      </w:pPr>
      <w:r>
        <w:rPr>
          <w:rFonts w:ascii="Times New Roman" w:cs="Times New Roman" w:eastAsia="Times New Roman" w:hAnsi="Times New Roman"/>
          <w:sz w:val="14"/>
          <w:szCs w:val="14"/>
          <w:color w:val="auto"/>
        </w:rPr>
        <w:t>Non-U.S. Holders should expect that the gross amount of any actual distributions with respect to our common stock will generally be subject to U.S. withholding tax, unless the applicable withholding agent elects to withhold a lesser amount based on a reasonable estimate of the amount of the distribution that would be treated as a dividend.</w:t>
      </w:r>
    </w:p>
    <w:p>
      <w:pPr>
        <w:spacing w:after="0" w:line="83" w:lineRule="exact"/>
        <w:rPr>
          <w:sz w:val="20"/>
          <w:szCs w:val="20"/>
          <w:color w:val="auto"/>
        </w:rPr>
      </w:pPr>
    </w:p>
    <w:p>
      <w:pPr>
        <w:ind w:left="1300" w:right="1339" w:firstLine="280"/>
        <w:spacing w:after="0" w:line="242" w:lineRule="auto"/>
        <w:rPr>
          <w:sz w:val="20"/>
          <w:szCs w:val="20"/>
          <w:color w:val="auto"/>
        </w:rPr>
      </w:pPr>
      <w:r>
        <w:rPr>
          <w:rFonts w:ascii="Times New Roman" w:cs="Times New Roman" w:eastAsia="Times New Roman" w:hAnsi="Times New Roman"/>
          <w:sz w:val="14"/>
          <w:szCs w:val="14"/>
          <w:color w:val="auto"/>
        </w:rPr>
        <w:t>No amounts in respect of U.S. federal withholding tax will generally be withheld from dividends paid to a Non-U.S. Holder if the dividends are effectively connected with such Non-U.S. Holder’s conduct of a trade or business within the United States (and, if required by an applicable income tax treaty, are attributable to a permanent establishment or fixed base maintained by such Non-U.S. Holder in the United States) and the Non-U.S. Holder provides a properly executed IRS Form W-8ECI (or its successor form or other applicable documentation). Any such effectively connected dividends will instead generally be subject to U.S. federal income tax on a net income basis at the regular graduated rates that apply to U.S. persons. A Non-U.S. Holder that is treated as a corporation for U.S. federal income tax purposes receiving effectively connected dividends may also be subject to an additional “branch profits tax” imposed at a rate of</w:t>
      </w:r>
    </w:p>
    <w:p>
      <w:pPr>
        <w:spacing w:after="0" w:line="6" w:lineRule="exact"/>
        <w:rPr>
          <w:sz w:val="20"/>
          <w:szCs w:val="20"/>
          <w:color w:val="auto"/>
        </w:rPr>
      </w:pPr>
    </w:p>
    <w:p>
      <w:pPr>
        <w:ind w:left="1300" w:right="1479"/>
        <w:spacing w:after="0" w:line="247" w:lineRule="auto"/>
        <w:rPr>
          <w:sz w:val="20"/>
          <w:szCs w:val="20"/>
          <w:color w:val="auto"/>
        </w:rPr>
      </w:pPr>
      <w:r>
        <w:rPr>
          <w:rFonts w:ascii="Times New Roman" w:cs="Times New Roman" w:eastAsia="Times New Roman" w:hAnsi="Times New Roman"/>
          <w:sz w:val="14"/>
          <w:szCs w:val="14"/>
          <w:color w:val="auto"/>
        </w:rPr>
        <w:t>thirty percent (30%) (or a lower rate specified by an applicable income tax treaty) on its effectively connected earnings and profits (subject to certain adjustments). Non-U.S. Holders should consult their tax advisors regarding their entitlement to benefits under any applicable income tax treaty.</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Sale or Other Taxable Disposition</w:t>
      </w:r>
    </w:p>
    <w:p>
      <w:pPr>
        <w:spacing w:after="0" w:line="125" w:lineRule="exact"/>
        <w:rPr>
          <w:sz w:val="20"/>
          <w:szCs w:val="20"/>
          <w:color w:val="auto"/>
        </w:rPr>
      </w:pPr>
    </w:p>
    <w:p>
      <w:pPr>
        <w:ind w:left="1300" w:right="1379" w:firstLine="280"/>
        <w:spacing w:after="0" w:line="267" w:lineRule="auto"/>
        <w:rPr>
          <w:sz w:val="20"/>
          <w:szCs w:val="20"/>
          <w:color w:val="auto"/>
        </w:rPr>
      </w:pPr>
      <w:r>
        <w:rPr>
          <w:rFonts w:ascii="Times New Roman" w:cs="Times New Roman" w:eastAsia="Times New Roman" w:hAnsi="Times New Roman"/>
          <w:sz w:val="14"/>
          <w:szCs w:val="14"/>
          <w:color w:val="auto"/>
        </w:rPr>
        <w:t>A Non-U.S. Holder will not be subject to U.S. federal income tax on any gain realized upon the sale or other taxable disposition of shares of our common stock unless:</w:t>
      </w:r>
    </w:p>
    <w:p>
      <w:pPr>
        <w:spacing w:after="0" w:line="41" w:lineRule="exact"/>
        <w:rPr>
          <w:sz w:val="20"/>
          <w:szCs w:val="20"/>
          <w:color w:val="auto"/>
        </w:rPr>
      </w:pPr>
    </w:p>
    <w:p>
      <w:pPr>
        <w:ind w:left="1720" w:right="1519" w:hanging="131"/>
        <w:spacing w:after="0" w:line="267" w:lineRule="auto"/>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gain is “effectively connected” with a trade or business of the Non-U.S. Holder in the United States (and, if required by an applicable income tax treaty, is attributable to a permanent establishment or fixed base maintained by the Non-U.S. Holder in the United States);</w:t>
      </w:r>
    </w:p>
    <w:p>
      <w:pPr>
        <w:spacing w:after="0" w:line="51" w:lineRule="exact"/>
        <w:rPr>
          <w:rFonts w:ascii="Times New Roman" w:cs="Times New Roman" w:eastAsia="Times New Roman" w:hAnsi="Times New Roman"/>
          <w:sz w:val="14"/>
          <w:szCs w:val="14"/>
          <w:color w:val="auto"/>
        </w:rPr>
      </w:pPr>
    </w:p>
    <w:p>
      <w:pPr>
        <w:ind w:left="1720" w:right="1559" w:hanging="131"/>
        <w:spacing w:after="0" w:line="283" w:lineRule="auto"/>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 or</w:t>
      </w:r>
    </w:p>
    <w:p>
      <w:pPr>
        <w:spacing w:after="0" w:line="40" w:lineRule="exact"/>
        <w:rPr>
          <w:rFonts w:ascii="Times New Roman" w:cs="Times New Roman" w:eastAsia="Times New Roman" w:hAnsi="Times New Roman"/>
          <w:sz w:val="14"/>
          <w:szCs w:val="14"/>
          <w:color w:val="auto"/>
        </w:rPr>
      </w:pPr>
    </w:p>
    <w:p>
      <w:pPr>
        <w:ind w:left="1720" w:right="1679" w:hanging="131"/>
        <w:spacing w:after="0" w:line="283" w:lineRule="auto"/>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constitutes a U.S. real property interest by reason of our status as a U.S. real property holding corporation (“USRPHC”) for U.S. federal income tax purposes.</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1" w:name="page52"/>
    <w:bookmarkEnd w:id="5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79" w:firstLine="280"/>
        <w:spacing w:after="0" w:line="261" w:lineRule="auto"/>
        <w:rPr>
          <w:sz w:val="20"/>
          <w:szCs w:val="20"/>
          <w:color w:val="auto"/>
        </w:rPr>
      </w:pPr>
      <w:r>
        <w:rPr>
          <w:rFonts w:ascii="Times New Roman" w:cs="Times New Roman" w:eastAsia="Times New Roman" w:hAnsi="Times New Roman"/>
          <w:sz w:val="14"/>
          <w:szCs w:val="14"/>
          <w:color w:val="auto"/>
        </w:rPr>
        <w:t>Gain described in the first bullet point above will generally be subject to U.S. federal income tax on a net income basis at the regular graduated rates that apply to U.S. persons. A Non-U.S. Holder that is treated as a corporation for U.S. federal income tax purposes may also be subject to an additional “branch profits tax” as discussed above under “— Distributions.”</w:t>
      </w:r>
    </w:p>
    <w:p>
      <w:pPr>
        <w:spacing w:after="0" w:line="88" w:lineRule="exact"/>
        <w:rPr>
          <w:sz w:val="20"/>
          <w:szCs w:val="20"/>
          <w:color w:val="auto"/>
        </w:rPr>
      </w:pPr>
    </w:p>
    <w:p>
      <w:pPr>
        <w:ind w:left="1300" w:right="1519" w:firstLine="280"/>
        <w:spacing w:after="0" w:line="258" w:lineRule="auto"/>
        <w:rPr>
          <w:sz w:val="20"/>
          <w:szCs w:val="20"/>
          <w:color w:val="auto"/>
        </w:rPr>
      </w:pPr>
      <w:r>
        <w:rPr>
          <w:rFonts w:ascii="Times New Roman" w:cs="Times New Roman" w:eastAsia="Times New Roman" w:hAnsi="Times New Roman"/>
          <w:sz w:val="14"/>
          <w:szCs w:val="14"/>
          <w:color w:val="auto"/>
        </w:rPr>
        <w:t>Gain recognized by a Non-U.S. Holder described in the second bullet point above will generally be subject to U.S. federal income tax at a rate of thirty percent (30%) (or a lower rate specified by an applicable income tax treaty), which gain may be offset by U.S.-source capital losses of the Non-U.S. Holder (even though such individual is not considered a resident of the United States), provided the Non-U.S. Holder has timely filed U.S. federal income tax returns with respect to such losses.</w:t>
      </w:r>
    </w:p>
    <w:p>
      <w:pPr>
        <w:spacing w:after="0" w:line="91" w:lineRule="exact"/>
        <w:rPr>
          <w:sz w:val="20"/>
          <w:szCs w:val="20"/>
          <w:color w:val="auto"/>
        </w:rPr>
      </w:pPr>
    </w:p>
    <w:p>
      <w:pPr>
        <w:ind w:left="1300" w:right="1719" w:firstLine="280"/>
        <w:spacing w:after="0" w:line="261" w:lineRule="auto"/>
        <w:rPr>
          <w:sz w:val="20"/>
          <w:szCs w:val="20"/>
          <w:color w:val="auto"/>
        </w:rPr>
      </w:pPr>
      <w:r>
        <w:rPr>
          <w:rFonts w:ascii="Times New Roman" w:cs="Times New Roman" w:eastAsia="Times New Roman" w:hAnsi="Times New Roman"/>
          <w:sz w:val="14"/>
          <w:szCs w:val="14"/>
          <w:color w:val="auto"/>
        </w:rPr>
        <w:t>With respect to the third bullet point above, although there can be no assurance in this regard, we believe that we are not, and we do not anticipate becoming, a USRPHC for U.S. federal income</w:t>
      </w:r>
    </w:p>
    <w:p>
      <w:pPr>
        <w:spacing w:after="0" w:line="1" w:lineRule="exact"/>
        <w:rPr>
          <w:sz w:val="20"/>
          <w:szCs w:val="20"/>
          <w:color w:val="auto"/>
        </w:rPr>
      </w:pPr>
    </w:p>
    <w:p>
      <w:pPr>
        <w:ind w:left="1300" w:right="1399"/>
        <w:spacing w:after="0" w:line="252" w:lineRule="auto"/>
        <w:rPr>
          <w:sz w:val="20"/>
          <w:szCs w:val="20"/>
          <w:color w:val="auto"/>
        </w:rPr>
      </w:pPr>
      <w:r>
        <w:rPr>
          <w:rFonts w:ascii="Times New Roman" w:cs="Times New Roman" w:eastAsia="Times New Roman" w:hAnsi="Times New Roman"/>
          <w:sz w:val="14"/>
          <w:szCs w:val="14"/>
          <w:color w:val="auto"/>
        </w:rPr>
        <w:t>tax purposes. Even if we are or were to become a USRPHC, gain arising from the sale or other taxable disposition by a Non-U.S. Holder of shares of our common stock will not be subject to U.S. federal income tax if our common stock is “regularly traded,” as defined by applicable Treasury Regulations, on an established securities market, and such Non-U.S. Holder owned, actually and constructively, five percent (5%) or less of our common stock throughout the shorter of the five-year period ending on the date of the sale or other taxable disposition or such Non-U.S. Holder’s holding period.</w:t>
      </w:r>
    </w:p>
    <w:p>
      <w:pPr>
        <w:spacing w:after="0" w:line="85" w:lineRule="exact"/>
        <w:rPr>
          <w:sz w:val="20"/>
          <w:szCs w:val="20"/>
          <w:color w:val="auto"/>
        </w:rPr>
      </w:pPr>
    </w:p>
    <w:p>
      <w:pPr>
        <w:ind w:left="1300" w:right="1539" w:firstLine="280"/>
        <w:spacing w:after="0" w:line="283" w:lineRule="auto"/>
        <w:rPr>
          <w:sz w:val="20"/>
          <w:szCs w:val="20"/>
          <w:color w:val="auto"/>
        </w:rPr>
      </w:pPr>
      <w:r>
        <w:rPr>
          <w:rFonts w:ascii="Times New Roman" w:cs="Times New Roman" w:eastAsia="Times New Roman" w:hAnsi="Times New Roman"/>
          <w:sz w:val="14"/>
          <w:szCs w:val="14"/>
          <w:color w:val="auto"/>
        </w:rPr>
        <w:t>Non-U.S. Holders should consult their tax advisors regarding their entitlement to benefits under any applicable income tax treaty.</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Foreign Account Tax Compliance Act</w:t>
      </w:r>
    </w:p>
    <w:p>
      <w:pPr>
        <w:spacing w:after="0" w:line="125" w:lineRule="exact"/>
        <w:rPr>
          <w:sz w:val="20"/>
          <w:szCs w:val="20"/>
          <w:color w:val="auto"/>
        </w:rPr>
      </w:pPr>
    </w:p>
    <w:p>
      <w:pPr>
        <w:ind w:left="1300" w:right="1339" w:firstLine="280"/>
        <w:spacing w:after="0" w:line="252"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thirty percent (30%) withholding rate may be imposed on dividends in respect of our common stock held by or through certain foreign financial institutions (including investment funds), unless such institution (i) enters into, and complies with, an agreement with the Treasury Department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or (ii) complies with an intergovernmental agreement between the United States and an applicable foreign country to report such information to its local tax authority, which will exchange such information with the U.S. authorities. An intergovernmental agreement between the United States and an applicable foreign country may modify these requirements.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exemptions will be subject to withholding at a rate of thirty percent (30%), unless such entity either (i) certifies that such entity does not have any “substantial United States owners” or (ii) provides certain information regarding the entity’s “substantial United States owners,” which we or the applicable withholding agent will in turn provide to the Treasury Department. We will not pay any amounts to holders in respect of any amounts withheld. Non-U.S. Holders should consult their tax advisors regarding the possible implications of this withholding tax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2" w:name="page53"/>
    <w:bookmarkEnd w:id="5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300" w:right="1659" w:firstLine="280"/>
        <w:spacing w:after="0" w:line="283" w:lineRule="auto"/>
        <w:rPr>
          <w:sz w:val="20"/>
          <w:szCs w:val="20"/>
          <w:color w:val="auto"/>
        </w:rPr>
      </w:pPr>
      <w:r>
        <w:rPr>
          <w:rFonts w:ascii="Times New Roman" w:cs="Times New Roman" w:eastAsia="Times New Roman" w:hAnsi="Times New Roman"/>
          <w:sz w:val="14"/>
          <w:szCs w:val="14"/>
          <w:color w:val="auto"/>
        </w:rPr>
        <w:t>We may sell the securities being offered hereby in one or more of the following ways from time to time:</w:t>
      </w:r>
    </w:p>
    <w:p>
      <w:pPr>
        <w:spacing w:after="0" w:line="41" w:lineRule="exact"/>
        <w:rPr>
          <w:sz w:val="20"/>
          <w:szCs w:val="20"/>
          <w:color w:val="auto"/>
        </w:rPr>
      </w:pPr>
    </w:p>
    <w:p>
      <w:pPr>
        <w:ind w:left="1720" w:hanging="131"/>
        <w:spacing w:after="0"/>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for resale to purchasers;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 dealers to purchasers; or</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w:t>
      </w:r>
    </w:p>
    <w:p>
      <w:pPr>
        <w:spacing w:after="0" w:line="123"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82" w:lineRule="exact"/>
        <w:rPr>
          <w:sz w:val="20"/>
          <w:szCs w:val="20"/>
          <w:color w:val="auto"/>
        </w:rPr>
      </w:pPr>
    </w:p>
    <w:p>
      <w:pPr>
        <w:ind w:left="1300" w:right="1459" w:firstLine="280"/>
        <w:spacing w:after="0" w:line="283"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3" w:name="page54"/>
    <w:bookmarkEnd w:id="5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Lucid Group, Inc.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4" w:name="page55"/>
    <w:bookmarkEnd w:id="54"/>
    <w:p>
      <w:pPr>
        <w:ind w:left="340"/>
        <w:spacing w:after="0"/>
        <w:rPr>
          <w:sz w:val="20"/>
          <w:szCs w:val="20"/>
          <w:color w:val="auto"/>
        </w:rPr>
      </w:pPr>
      <w:r>
        <w:rPr>
          <w:rFonts w:ascii="Calibri" w:cs="Calibri" w:eastAsia="Calibri" w:hAnsi="Calibri"/>
          <w:sz w:val="11"/>
          <w:szCs w:val="11"/>
          <w:color w:val="003366"/>
        </w:rPr>
        <w:t>TABLE OF CONTENTS</w:t>
      </w:r>
    </w:p>
    <w:p>
      <w:pPr>
        <w:spacing w:after="0" w:line="376" w:lineRule="exact"/>
        <w:rPr>
          <w:sz w:val="20"/>
          <w:szCs w:val="20"/>
          <w:color w:val="auto"/>
        </w:rPr>
      </w:pPr>
    </w:p>
    <w:p>
      <w:pPr>
        <w:ind w:left="130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-3810</wp:posOffset>
            </wp:positionV>
            <wp:extent cx="405892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4058920" cy="1333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35560</wp:posOffset>
            </wp:positionV>
            <wp:extent cx="405892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40589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36,057,692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775970</wp:posOffset>
            </wp:positionV>
            <wp:extent cx="2757170"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27571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Lucid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755650</wp:posOffset>
            </wp:positionV>
            <wp:extent cx="96139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BofA Securities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668020</wp:posOffset>
            </wp:positionV>
            <wp:extent cx="405892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40589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0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1905</wp:posOffset>
            </wp:positionV>
            <wp:extent cx="4058920"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4058920" cy="133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196215</wp:posOffset>
            </wp:positionV>
            <wp:extent cx="531876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5" w:name="page56"/>
    <w:bookmarkEnd w:id="55"/>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Lucid Group,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36,057,692</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$ 8.32</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$ 41,430.00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9"/>
              </w:rPr>
              <w:t>299,999,997.44</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$ 41,430.00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299,999,997.44</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$ 41,430.00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120"/>
        <w:spacing w:after="0" w:line="248" w:lineRule="auto"/>
        <w:rPr>
          <w:sz w:val="20"/>
          <w:szCs w:val="20"/>
          <w:color w:val="auto"/>
        </w:rPr>
      </w:pPr>
      <w:r>
        <w:rPr>
          <w:rFonts w:ascii="Arial" w:cs="Arial" w:eastAsia="Arial" w:hAnsi="Arial"/>
          <w:sz w:val="17"/>
          <w:szCs w:val="17"/>
          <w:color w:val="auto"/>
        </w:rPr>
        <w:t>Calculated pursuant to Rule 457(r) under the Securities Act of 1933, as amended (the "Securities Act"). The fee payable in connection with the offering pursuant to the prospectus supplement with which this Calculation of Filing Fee Tables is filed has been paid in accordance with Rule 456(b)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4819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2"/>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9"/>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maximum aggregate offering price of the securities to which the prospectus relates is $299,999,997.44. The prospectus is a final prospectus for</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360"/>
      </w:cols>
      <w:pgMar w:left="300" w:top="142" w:right="239" w:bottom="1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8"/>
    </w:lvl>
    <w:lvl w:ilvl="1">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upperLetter"/>
      <w:start w:val="2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jpe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jpe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28" Type="http://schemas.openxmlformats.org/officeDocument/2006/relationships/hyperlink" Target="https://www.sec.gov/ix?doc=/Archives/edgar/data/1811210/000162828026011053/lcid-20251231.htm" TargetMode="External"/><Relationship Id="rId29" Type="http://schemas.openxmlformats.org/officeDocument/2006/relationships/hyperlink" Target="https://www.sec.gov/ix?doc=/Archives/edgar/data/1811210/000162828025007725/lcid-20241231.htm" TargetMode="External"/><Relationship Id="rId30" Type="http://schemas.openxmlformats.org/officeDocument/2006/relationships/hyperlink" Target="https://www.sec.gov/ix?doc=/Archives/edgar/data/1811210/000110465925038701/tm2431387-2_def14a.htm" TargetMode="External"/><Relationship Id="rId31" Type="http://schemas.openxmlformats.org/officeDocument/2006/relationships/hyperlink" Target="https://www.sec.gov/ix?doc=/Archives/edgar/data/1811210/000162828026003278/lcid-20260120.htm" TargetMode="External"/><Relationship Id="rId32" Type="http://schemas.openxmlformats.org/officeDocument/2006/relationships/hyperlink" Target="https://www.sec.gov/ix?doc=/Archives/edgar/data/1811210/000162828026011118/lcid-20260220.htm" TargetMode="External"/><Relationship Id="rId33" Type="http://schemas.openxmlformats.org/officeDocument/2006/relationships/hyperlink" Target="https://www.sec.gov/ix?doc=/Archives/edgar/data/0001811210/000110465926042846/tm2611666d1_8k.htm" TargetMode="External"/><Relationship Id="rId34" Type="http://schemas.openxmlformats.org/officeDocument/2006/relationships/hyperlink" Target="https://www.sec.gov/ix?doc=/Archives/edgar/data/0001811210/000110465926042847/tm2611666d2_8k.htm" TargetMode="External"/><Relationship Id="rId35" Type="http://schemas.openxmlformats.org/officeDocument/2006/relationships/hyperlink" Target="https://www.sec.gov/Archives/edgar/data/1811210/000110465921095277/tm2120294d8_8a12b.htm" TargetMode="External"/><Relationship Id="rId36" Type="http://schemas.openxmlformats.org/officeDocument/2006/relationships/hyperlink" Target="https://www.sec.gov/Archives/edgar/data/1811210/000162828026011053/fy25form10-kxex4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2026-04-14T06:38:38Z</dcterms:created>
  <dcterms:modified xsi:type="dcterms:W3CDTF">2026-04-14T06:38:38Z</dcterms:modified>
</cp:coreProperties>
</file>