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Klein Michael Stuart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Churchill Capital Corp IV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CCIV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640 5TH AVENUE, 12TH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77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77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819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81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Class B common stock,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See 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stock, par value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51,750,000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$0.0001 per share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of Reponses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2"/>
                <w:vertAlign w:val="superscript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$0.0001 per share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Klein Michael Stuart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640 5TH AVENUE, 12TH FLOOR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10019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-2362200</wp:posOffset>
            </wp:positionV>
            <wp:extent cx="6937375" cy="4840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375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260" w:hanging="170"/>
        <w:spacing w:after="0"/>
        <w:tabs>
          <w:tab w:leader="none" w:pos="26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ind w:left="460" w:hanging="325"/>
        <w:spacing w:after="0"/>
        <w:tabs>
          <w:tab w:leader="none" w:pos="460" w:val="left"/>
        </w:tabs>
        <w:numPr>
          <w:ilvl w:val="1"/>
          <w:numId w:val="4"/>
        </w:numPr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6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Klein Associates, Inc.</w:t>
        </w:r>
      </w:hyperlink>
    </w:p>
    <w:p>
      <w:pPr>
        <w:spacing w:after="0" w:line="35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640 FIFTH AVENUE, 12TH FLOOR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67310</wp:posOffset>
            </wp:positionV>
            <wp:extent cx="2753995" cy="552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p>
      <w:pPr>
        <w:ind w:left="14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8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Churchill Sponsor IV LLC</w:t>
        </w:r>
      </w:hyperlink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640 FIFTH AVENUE, 12TH FLOOR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10019</w:t>
            </w: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304800</wp:posOffset>
            </wp:positionH>
            <wp:positionV relativeFrom="page">
              <wp:posOffset>88900</wp:posOffset>
            </wp:positionV>
            <wp:extent cx="2773045" cy="12865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20" w:firstLine="5"/>
        <w:spacing w:after="0" w:line="236" w:lineRule="auto"/>
        <w:tabs>
          <w:tab w:leader="none" w:pos="15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Churchill Capital Corp IV (the "Issuer") including 6,750,000 shares of Class B Shares that are subject to forfeiture if the underwriters of the Issuer's initial public offering do not exercise in full an option granted to them to cover over-allotments. Pursuant to the Issuer's Amended and Restated Certificate of Incorporation, the Class B Shares will automatically convert into shares of Class A common stock, par value $0.0001 per share, of the Issuer at the time of the Issuer's initial business combination on a one-for-one basis, subject to adjustment as described under the heading "Description of Securities- Founder Shares" in the Issuer's registration statement on Form S-1 (File No. 333-239856). The shares of Class B common stock have no expiration date.</w:t>
      </w:r>
    </w:p>
    <w:p>
      <w:pPr>
        <w:spacing w:after="0" w:line="37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Michael Klein is the sole stockholder of M. Klein Associates, Inc., which is the managing member of Churchill Sponsor IV LLC.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CEO, President &amp; Chairman of the Board of Directors</w:t>
      </w:r>
    </w:p>
    <w:p>
      <w:pPr>
        <w:sectPr>
          <w:pgSz w:w="11900" w:h="16838" w:orient="portrait"/>
          <w:cols w:equalWidth="0" w:num="1">
            <w:col w:w="10820"/>
          </w:cols>
          <w:pgMar w:left="520" w:top="184" w:right="559" w:bottom="1440" w:gutter="0" w:footer="0" w:header="0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Michael Klein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-15240</wp:posOffset>
            </wp:positionV>
            <wp:extent cx="859790" cy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M. KLEIN ASSOCIATES,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-635</wp:posOffset>
            </wp:positionV>
            <wp:extent cx="1341755" cy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INC., Name: Jay Taragin,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-5715</wp:posOffset>
            </wp:positionV>
            <wp:extent cx="1271270" cy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Title: Authorized Person: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-5715</wp:posOffset>
            </wp:positionV>
            <wp:extent cx="1254760" cy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Jay Taragin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720725" cy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Churchill Sponsor IV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-15240</wp:posOffset>
            </wp:positionV>
            <wp:extent cx="1066800" cy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LLC, by: M. Klein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932180" cy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Associates, Inc.,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959485" cy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manager, Name: Jay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009650" cy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Taragin, Title: Authorized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-5715</wp:posOffset>
            </wp:positionV>
            <wp:extent cx="1290320" cy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Person: /s/ Jay Taragin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123315" cy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5715</wp:posOffset>
            </wp:positionV>
            <wp:extent cx="564515" cy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5715</wp:posOffset>
            </wp:positionV>
            <wp:extent cx="564515" cy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5715</wp:posOffset>
            </wp:positionV>
            <wp:extent cx="564515" cy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80"/>
            <w:col w:w="2100"/>
          </w:cols>
          <w:pgMar w:left="520" w:top="184" w:right="5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84" w:right="5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."/>
      <w:numFmt w:val="upperLetter"/>
      <w:start w:val="13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7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10" Type="http://schemas.openxmlformats.org/officeDocument/2006/relationships/hyperlink" Target="http://www.sec.gov/cgi-bin/browse-edgar?action=getcompany&amp;CIK=0001327392" TargetMode="External"/><Relationship Id="rId11" Type="http://schemas.openxmlformats.org/officeDocument/2006/relationships/hyperlink" Target="http://www.sec.gov/cgi-bin/browse-edgar?action=getcompany&amp;CIK=0001811210" TargetMode="External"/><Relationship Id="rId16" Type="http://schemas.openxmlformats.org/officeDocument/2006/relationships/hyperlink" Target="http://www.sec.gov/cgi-bin/browse-edgar?action=getcompany&amp;CIK=0001751504" TargetMode="External"/><Relationship Id="rId18" Type="http://schemas.openxmlformats.org/officeDocument/2006/relationships/hyperlink" Target="http://www.sec.gov/cgi-bin/browse-edgar?action=getcompany&amp;CIK=00018112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2020-07-29T20:42:22Z</dcterms:created>
  <dcterms:modified xsi:type="dcterms:W3CDTF">2020-07-29T20:42:22Z</dcterms:modified>
</cp:coreProperties>
</file>