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20" w:right="1800" w:hanging="3912"/>
        <w:spacing w:after="0" w:line="500" w:lineRule="auto"/>
        <w:tabs>
          <w:tab w:leader="none" w:pos="6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001-39408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Churchill Capital Corp IV</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85-0891392</w:t>
            </w:r>
          </w:p>
        </w:tc>
      </w:tr>
      <w:tr>
        <w:trPr>
          <w:trHeight w:val="216"/>
        </w:trPr>
        <w:tc>
          <w:tcPr>
            <w:tcW w:w="42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(State or other jurisdiction of</w:t>
            </w:r>
          </w:p>
        </w:tc>
        <w:tc>
          <w:tcPr>
            <w:tcW w:w="328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incorporation or organization)</w:t>
            </w:r>
          </w:p>
        </w:tc>
        <w:tc>
          <w:tcPr>
            <w:tcW w:w="3280" w:type="dxa"/>
            <w:vAlign w:val="bottom"/>
          </w:tcPr>
          <w:p>
            <w:pPr>
              <w:jc w:val="center"/>
              <w:ind w:left="17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10019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380-7500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18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3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7"/>
              </w:rPr>
              <w:t>registered</w:t>
            </w:r>
          </w:p>
        </w:tc>
      </w:tr>
      <w:tr>
        <w:trPr>
          <w:trHeight w:val="191"/>
        </w:trPr>
        <w:tc>
          <w:tcPr>
            <w:tcW w:w="476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86"/>
              </w:rPr>
              <w:t>Units, each consisting of one share of Class A common</w:t>
            </w:r>
          </w:p>
        </w:tc>
        <w:tc>
          <w:tcPr>
            <w:tcW w:w="230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98"/>
              </w:rPr>
              <w:t>CCIV.U</w:t>
            </w:r>
          </w:p>
        </w:tc>
        <w:tc>
          <w:tcPr>
            <w:tcW w:w="4180" w:type="dxa"/>
            <w:vAlign w:val="bottom"/>
          </w:tcPr>
          <w:p>
            <w:pPr>
              <w:jc w:val="center"/>
              <w:ind w:right="330"/>
              <w:spacing w:after="0" w:line="191"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4760" w:type="dxa"/>
            <w:vAlign w:val="bottom"/>
          </w:tcPr>
          <w:p>
            <w:pPr>
              <w:jc w:val="center"/>
              <w:spacing w:after="0"/>
              <w:rPr>
                <w:sz w:val="20"/>
                <w:szCs w:val="20"/>
                <w:color w:val="auto"/>
              </w:rPr>
            </w:pPr>
            <w:r>
              <w:rPr>
                <w:rFonts w:ascii="Arial" w:cs="Arial" w:eastAsia="Arial" w:hAnsi="Arial"/>
                <w:sz w:val="18"/>
                <w:szCs w:val="18"/>
                <w:b w:val="1"/>
                <w:bCs w:val="1"/>
                <w:color w:val="auto"/>
                <w:w w:val="90"/>
              </w:rPr>
              <w:t>stock, $0.0001 par value, and one-fifth of one warrant</w:t>
            </w:r>
          </w:p>
        </w:tc>
        <w:tc>
          <w:tcPr>
            <w:tcW w:w="23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32"/>
        </w:trPr>
        <w:tc>
          <w:tcPr>
            <w:tcW w:w="47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of Class A common stock</w:t>
            </w:r>
          </w:p>
        </w:tc>
        <w:tc>
          <w:tcPr>
            <w:tcW w:w="2300" w:type="dxa"/>
            <w:vAlign w:val="bottom"/>
          </w:tcPr>
          <w:p>
            <w:pPr>
              <w:ind w:left="700"/>
              <w:spacing w:after="0"/>
              <w:rPr>
                <w:sz w:val="20"/>
                <w:szCs w:val="20"/>
                <w:color w:val="auto"/>
              </w:rPr>
            </w:pPr>
            <w:r>
              <w:rPr>
                <w:rFonts w:ascii="Arial" w:cs="Arial" w:eastAsia="Arial" w:hAnsi="Arial"/>
                <w:sz w:val="18"/>
                <w:szCs w:val="18"/>
                <w:b w:val="1"/>
                <w:bCs w:val="1"/>
                <w:color w:val="auto"/>
              </w:rPr>
              <w:t>CCIV</w:t>
            </w:r>
          </w:p>
        </w:tc>
        <w:tc>
          <w:tcPr>
            <w:tcW w:w="41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New York Stock Exchange</w:t>
            </w:r>
          </w:p>
        </w:tc>
      </w:tr>
      <w:tr>
        <w:trPr>
          <w:trHeight w:val="432"/>
        </w:trPr>
        <w:tc>
          <w:tcPr>
            <w:tcW w:w="476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included as part of the units</w:t>
            </w:r>
          </w:p>
        </w:tc>
        <w:tc>
          <w:tcPr>
            <w:tcW w:w="2300" w:type="dxa"/>
            <w:vAlign w:val="bottom"/>
          </w:tcPr>
          <w:p>
            <w:pPr>
              <w:jc w:val="center"/>
              <w:ind w:right="250"/>
              <w:spacing w:after="0"/>
              <w:rPr>
                <w:sz w:val="20"/>
                <w:szCs w:val="20"/>
                <w:color w:val="auto"/>
              </w:rPr>
            </w:pPr>
            <w:r>
              <w:rPr>
                <w:rFonts w:ascii="Arial" w:cs="Arial" w:eastAsia="Arial" w:hAnsi="Arial"/>
                <w:sz w:val="18"/>
                <w:szCs w:val="18"/>
                <w:b w:val="1"/>
                <w:bCs w:val="1"/>
                <w:color w:val="auto"/>
              </w:rPr>
              <w:t>CCIV WS</w:t>
            </w:r>
          </w:p>
        </w:tc>
        <w:tc>
          <w:tcPr>
            <w:tcW w:w="41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5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 of “large accelerated filer,” “accelerated filer,” and “smaller reporting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4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40"/>
              <w:spacing w:after="0"/>
              <w:rPr>
                <w:sz w:val="20"/>
                <w:szCs w:val="20"/>
                <w:color w:val="auto"/>
              </w:rPr>
            </w:pPr>
            <w:r>
              <w:rPr>
                <w:rFonts w:ascii="Arial" w:cs="Arial" w:eastAsia="Arial" w:hAnsi="Arial"/>
                <w:sz w:val="18"/>
                <w:szCs w:val="18"/>
                <w:color w:val="auto"/>
              </w:rPr>
              <w:t>Small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40" w:type="dxa"/>
            <w:vAlign w:val="bottom"/>
          </w:tcPr>
          <w:p>
            <w:pPr>
              <w:ind w:left="244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60" w:firstLine="648"/>
        <w:spacing w:after="0" w:line="233" w:lineRule="exact"/>
        <w:rPr>
          <w:sz w:val="20"/>
          <w:szCs w:val="20"/>
          <w:color w:val="auto"/>
        </w:rPr>
      </w:pPr>
      <w:r>
        <w:rPr>
          <w:rFonts w:ascii="Arial" w:cs="Arial" w:eastAsia="Arial" w:hAnsi="Arial"/>
          <w:sz w:val="17"/>
          <w:szCs w:val="17"/>
          <w:color w:val="auto"/>
        </w:rPr>
        <w:t>If an emerging growth company, indicate by the check mark if the registrant has elected not to use the extended transition period for complying with any new or revised financial accounting standards provided pursuant to Section 13(a) of the Exchange Act. YES</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ind w:right="1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783" w:right="339" w:bottom="0" w:gutter="0" w:footer="0" w:header="0"/>
        </w:sectPr>
      </w:pPr>
    </w:p>
    <w:bookmarkStart w:id="1" w:name="page2"/>
    <w:bookmarkEnd w:id="1"/>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Registrant’s Units began trading on the New York Stock Exchange on July 30, 2020 and the Registrant’s shares of Class A common stock began separate trading on the New York Stock Exchange on September 18, 2020.</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aggregate market value of the Registrant’s shares of Class A common stock outstanding, other than shares held by persons who may be deemed affiliates of the Registrant, at December 31, 2020 was $2,072,070,000.</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15, 2021, there were 207,000,000 shares of Class A common stock, $0.0001 par value and 51,750,000 shares of Class B common stock, $0.0001 par value, issued and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1" w:right="659" w:bottom="1440" w:gutter="0" w:footer="0" w:header="0"/>
        </w:sectPr>
      </w:pPr>
    </w:p>
    <w:bookmarkStart w:id="2" w:name="page3"/>
    <w:bookmarkEnd w:id="2"/>
    <w:p>
      <w:pPr>
        <w:ind w:left="4260"/>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3"/>
              </w:rPr>
              <w:t>Page</w:t>
            </w:r>
          </w:p>
        </w:tc>
      </w:tr>
      <w:tr>
        <w:trPr>
          <w:trHeight w:val="48"/>
        </w:trPr>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066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NOTE REGARDING FORWARD-LOOKING STATEMENTS</w:t>
              </w:r>
            </w:hyperlink>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43"/>
        </w:trPr>
        <w:tc>
          <w:tcPr>
            <w:tcW w:w="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500" w:type="dxa"/>
            <w:vAlign w:val="bottom"/>
          </w:tcPr>
          <w:p>
            <w:pPr>
              <w:spacing w:after="0"/>
              <w:rPr>
                <w:sz w:val="21"/>
                <w:szCs w:val="21"/>
                <w:color w:val="auto"/>
              </w:rPr>
            </w:pPr>
          </w:p>
        </w:tc>
        <w:tc>
          <w:tcPr>
            <w:tcW w:w="9480" w:type="dxa"/>
            <w:vAlign w:val="bottom"/>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w:t>
              </w:r>
            </w:hyperlink>
          </w:p>
        </w:tc>
        <w:tc>
          <w:tcPr>
            <w:tcW w:w="5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9480" w:type="dxa"/>
            <w:vAlign w:val="bottom"/>
            <w:tcBorders>
              <w:bottom w:val="single" w:sz="8" w:color="CCEEFF"/>
            </w:tcBorders>
            <w:shd w:val="clear" w:color="auto" w:fill="CCEEFF"/>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color w:val="0000EE"/>
              </w:rPr>
            </w:pPr>
            <w:hyperlink w:anchor="page22">
              <w:r>
                <w:rPr>
                  <w:rFonts w:ascii="Arial" w:cs="Arial" w:eastAsia="Arial" w:hAnsi="Arial"/>
                  <w:sz w:val="18"/>
                  <w:szCs w:val="18"/>
                  <w:u w:val="single" w:color="auto"/>
                  <w:color w:val="0000EE"/>
                </w:rPr>
                <w:t>1A</w:t>
              </w:r>
              <w:r>
                <w:rPr>
                  <w:rFonts w:ascii="Arial" w:cs="Arial" w:eastAsia="Arial" w:hAnsi="Arial"/>
                  <w:sz w:val="18"/>
                  <w:szCs w:val="18"/>
                  <w:color w:val="0000EE"/>
                </w:rPr>
                <w:t>.</w:t>
              </w:r>
            </w:hyperlink>
          </w:p>
        </w:tc>
        <w:tc>
          <w:tcPr>
            <w:tcW w:w="9480" w:type="dxa"/>
            <w:vAlign w:val="bottom"/>
          </w:tcPr>
          <w:p>
            <w:pPr>
              <w:ind w:left="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19</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w:t>
              </w:r>
            </w:hyperlink>
          </w:p>
        </w:tc>
        <w:tc>
          <w:tcPr>
            <w:tcW w:w="5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1B.</w:t>
              </w:r>
            </w:hyperlink>
          </w:p>
        </w:tc>
        <w:tc>
          <w:tcPr>
            <w:tcW w:w="9480" w:type="dxa"/>
            <w:vAlign w:val="bottom"/>
            <w:tcBorders>
              <w:bottom w:val="single" w:sz="8" w:color="CCEEFF"/>
            </w:tcBorders>
            <w:shd w:val="clear" w:color="auto" w:fill="CCEEFF"/>
          </w:tcPr>
          <w:p>
            <w:pPr>
              <w:ind w:left="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Unresolved Staff Comments</w:t>
              </w:r>
            </w:hyperlink>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49</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2.</w:t>
              </w:r>
            </w:hyperlink>
          </w:p>
        </w:tc>
        <w:tc>
          <w:tcPr>
            <w:tcW w:w="9480" w:type="dxa"/>
            <w:vAlign w:val="bottom"/>
          </w:tcPr>
          <w:p>
            <w:pPr>
              <w:ind w:left="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Properties</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49</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w:t>
              </w:r>
            </w:hyperlink>
          </w:p>
        </w:tc>
        <w:tc>
          <w:tcPr>
            <w:tcW w:w="5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3.</w:t>
              </w:r>
            </w:hyperlink>
          </w:p>
        </w:tc>
        <w:tc>
          <w:tcPr>
            <w:tcW w:w="9480" w:type="dxa"/>
            <w:vAlign w:val="bottom"/>
            <w:tcBorders>
              <w:bottom w:val="single" w:sz="8" w:color="CCEEFF"/>
            </w:tcBorders>
            <w:shd w:val="clear" w:color="auto" w:fill="CCEEFF"/>
          </w:tcPr>
          <w:p>
            <w:pPr>
              <w:ind w:left="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Legal Proceedings</w:t>
              </w:r>
            </w:hyperlink>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49</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w:t>
              </w:r>
            </w:hyperlink>
          </w:p>
        </w:tc>
        <w:tc>
          <w:tcPr>
            <w:tcW w:w="9480" w:type="dxa"/>
            <w:vAlign w:val="bottom"/>
          </w:tcPr>
          <w:p>
            <w:pPr>
              <w:ind w:left="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Mine Safety Disclosures</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49</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PART II</w:t>
              </w:r>
            </w:hyperlink>
          </w:p>
        </w:tc>
        <w:tc>
          <w:tcPr>
            <w:tcW w:w="50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50</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w:t>
              </w:r>
            </w:hyperlink>
          </w:p>
        </w:tc>
        <w:tc>
          <w:tcPr>
            <w:tcW w:w="9480" w:type="dxa"/>
            <w:vAlign w:val="bottom"/>
          </w:tcPr>
          <w:p>
            <w:pPr>
              <w:ind w:left="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50</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w:t>
              </w:r>
            </w:hyperlink>
          </w:p>
        </w:tc>
        <w:tc>
          <w:tcPr>
            <w:tcW w:w="5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6.</w:t>
              </w:r>
            </w:hyperlink>
          </w:p>
        </w:tc>
        <w:tc>
          <w:tcPr>
            <w:tcW w:w="9480" w:type="dxa"/>
            <w:vAlign w:val="bottom"/>
            <w:tcBorders>
              <w:bottom w:val="single" w:sz="8" w:color="CCEEFF"/>
            </w:tcBorders>
            <w:shd w:val="clear" w:color="auto" w:fill="CCEEFF"/>
          </w:tcPr>
          <w:p>
            <w:pPr>
              <w:ind w:left="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Selected Financial Data</w:t>
              </w:r>
            </w:hyperlink>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51</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7.</w:t>
              </w:r>
            </w:hyperlink>
          </w:p>
        </w:tc>
        <w:tc>
          <w:tcPr>
            <w:tcW w:w="9480" w:type="dxa"/>
            <w:vAlign w:val="bottom"/>
          </w:tcPr>
          <w:p>
            <w:pPr>
              <w:ind w:left="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Management’s Discussion and Analysis of Financial Condition and Results of Operations</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52</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w:t>
              </w:r>
            </w:hyperlink>
          </w:p>
        </w:tc>
        <w:tc>
          <w:tcPr>
            <w:tcW w:w="50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58">
              <w:r>
                <w:rPr>
                  <w:rFonts w:ascii="Arial" w:cs="Arial" w:eastAsia="Arial" w:hAnsi="Arial"/>
                  <w:sz w:val="18"/>
                  <w:szCs w:val="18"/>
                  <w:u w:val="single" w:color="auto"/>
                  <w:color w:val="0000EE"/>
                </w:rPr>
                <w:t>7A</w:t>
              </w:r>
              <w:r>
                <w:rPr>
                  <w:rFonts w:ascii="Arial" w:cs="Arial" w:eastAsia="Arial" w:hAnsi="Arial"/>
                  <w:sz w:val="18"/>
                  <w:szCs w:val="18"/>
                  <w:color w:val="0000EE"/>
                </w:rPr>
                <w:t>.</w:t>
              </w:r>
            </w:hyperlink>
          </w:p>
        </w:tc>
        <w:tc>
          <w:tcPr>
            <w:tcW w:w="9480" w:type="dxa"/>
            <w:vAlign w:val="bottom"/>
            <w:tcBorders>
              <w:bottom w:val="single" w:sz="8" w:color="CCEEFF"/>
            </w:tcBorders>
            <w:shd w:val="clear" w:color="auto" w:fill="CCEEFF"/>
          </w:tcPr>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Quantitative and Qualitative Disclosures About Market Risk</w:t>
              </w:r>
            </w:hyperlink>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55</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8.</w:t>
              </w:r>
            </w:hyperlink>
          </w:p>
        </w:tc>
        <w:tc>
          <w:tcPr>
            <w:tcW w:w="9480" w:type="dxa"/>
            <w:vAlign w:val="bottom"/>
          </w:tcPr>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Financial Statements and Supplementary Data</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55</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w:t>
              </w:r>
            </w:hyperlink>
          </w:p>
        </w:tc>
        <w:tc>
          <w:tcPr>
            <w:tcW w:w="5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9.</w:t>
              </w:r>
            </w:hyperlink>
          </w:p>
        </w:tc>
        <w:tc>
          <w:tcPr>
            <w:tcW w:w="9480" w:type="dxa"/>
            <w:vAlign w:val="bottom"/>
            <w:tcBorders>
              <w:bottom w:val="single" w:sz="8" w:color="CCEEFF"/>
            </w:tcBorders>
            <w:shd w:val="clear" w:color="auto" w:fill="CCEEFF"/>
          </w:tcPr>
          <w:p>
            <w:pPr>
              <w:ind w:left="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Changes in and Disagreements With Accountants on Accounting and Financial Disclosure</w:t>
              </w:r>
            </w:hyperlink>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9A</w:t>
              </w:r>
              <w:r>
                <w:rPr>
                  <w:rFonts w:ascii="Arial" w:cs="Arial" w:eastAsia="Arial" w:hAnsi="Arial"/>
                  <w:sz w:val="18"/>
                  <w:szCs w:val="18"/>
                  <w:color w:val="0000EE"/>
                </w:rPr>
                <w:t>.</w:t>
              </w:r>
            </w:hyperlink>
          </w:p>
        </w:tc>
        <w:tc>
          <w:tcPr>
            <w:tcW w:w="9480" w:type="dxa"/>
            <w:vAlign w:val="bottom"/>
          </w:tcPr>
          <w:p>
            <w:pPr>
              <w:ind w:left="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Controls and Procedures</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4"/>
              </w:rPr>
            </w:pPr>
            <w:hyperlink w:anchor="page60">
              <w:r>
                <w:rPr>
                  <w:rFonts w:ascii="Arial" w:cs="Arial" w:eastAsia="Arial" w:hAnsi="Arial"/>
                  <w:sz w:val="18"/>
                  <w:szCs w:val="18"/>
                  <w:u w:val="single" w:color="auto"/>
                  <w:color w:val="0000EE"/>
                  <w:w w:val="94"/>
                </w:rPr>
                <w:t>PART III</w:t>
              </w:r>
            </w:hyperlink>
          </w:p>
        </w:tc>
        <w:tc>
          <w:tcPr>
            <w:tcW w:w="50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57</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10</w:t>
              </w:r>
              <w:r>
                <w:rPr>
                  <w:rFonts w:ascii="Arial" w:cs="Arial" w:eastAsia="Arial" w:hAnsi="Arial"/>
                  <w:sz w:val="18"/>
                  <w:szCs w:val="18"/>
                  <w:color w:val="0000EE"/>
                </w:rPr>
                <w:t>.</w:t>
              </w:r>
            </w:hyperlink>
          </w:p>
        </w:tc>
        <w:tc>
          <w:tcPr>
            <w:tcW w:w="9480" w:type="dxa"/>
            <w:vAlign w:val="bottom"/>
          </w:tcPr>
          <w:p>
            <w:pPr>
              <w:ind w:left="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Directors, Executive Officers and Corporate Governance</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57</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w:t>
              </w:r>
            </w:hyperlink>
          </w:p>
        </w:tc>
        <w:tc>
          <w:tcPr>
            <w:tcW w:w="5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11.</w:t>
              </w:r>
            </w:hyperlink>
          </w:p>
        </w:tc>
        <w:tc>
          <w:tcPr>
            <w:tcW w:w="9480" w:type="dxa"/>
            <w:vAlign w:val="bottom"/>
            <w:tcBorders>
              <w:bottom w:val="single" w:sz="8" w:color="CCEEFF"/>
            </w:tcBorders>
            <w:shd w:val="clear" w:color="auto" w:fill="CCEEFF"/>
          </w:tcPr>
          <w:p>
            <w:pPr>
              <w:ind w:left="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Executive Compensation</w:t>
              </w:r>
            </w:hyperlink>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67</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color w:val="0000EE"/>
              </w:rPr>
            </w:pPr>
            <w:hyperlink w:anchor="page71">
              <w:r>
                <w:rPr>
                  <w:rFonts w:ascii="Arial" w:cs="Arial" w:eastAsia="Arial" w:hAnsi="Arial"/>
                  <w:sz w:val="18"/>
                  <w:szCs w:val="18"/>
                  <w:u w:val="single" w:color="auto"/>
                  <w:color w:val="0000EE"/>
                </w:rPr>
                <w:t>12</w:t>
              </w:r>
              <w:r>
                <w:rPr>
                  <w:rFonts w:ascii="Arial" w:cs="Arial" w:eastAsia="Arial" w:hAnsi="Arial"/>
                  <w:sz w:val="18"/>
                  <w:szCs w:val="18"/>
                  <w:color w:val="0000EE"/>
                </w:rPr>
                <w:t>.</w:t>
              </w:r>
            </w:hyperlink>
          </w:p>
        </w:tc>
        <w:tc>
          <w:tcPr>
            <w:tcW w:w="9480" w:type="dxa"/>
            <w:vAlign w:val="bottom"/>
          </w:tcPr>
          <w:p>
            <w:pPr>
              <w:ind w:left="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Security Ownership of Certain Beneficial Owners and Management and Related Stockholder Matters</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68</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w:t>
              </w:r>
            </w:hyperlink>
          </w:p>
        </w:tc>
        <w:tc>
          <w:tcPr>
            <w:tcW w:w="50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72">
              <w:r>
                <w:rPr>
                  <w:rFonts w:ascii="Arial" w:cs="Arial" w:eastAsia="Arial" w:hAnsi="Arial"/>
                  <w:sz w:val="18"/>
                  <w:szCs w:val="18"/>
                  <w:u w:val="single" w:color="auto"/>
                  <w:color w:val="0000EE"/>
                </w:rPr>
                <w:t>13</w:t>
              </w:r>
              <w:r>
                <w:rPr>
                  <w:rFonts w:ascii="Arial" w:cs="Arial" w:eastAsia="Arial" w:hAnsi="Arial"/>
                  <w:sz w:val="18"/>
                  <w:szCs w:val="18"/>
                  <w:color w:val="0000EE"/>
                </w:rPr>
                <w:t>.</w:t>
              </w:r>
            </w:hyperlink>
          </w:p>
        </w:tc>
        <w:tc>
          <w:tcPr>
            <w:tcW w:w="9480" w:type="dxa"/>
            <w:vAlign w:val="bottom"/>
            <w:tcBorders>
              <w:bottom w:val="single" w:sz="8" w:color="CCEEFF"/>
            </w:tcBorders>
            <w:shd w:val="clear" w:color="auto" w:fill="CCEEFF"/>
          </w:tcPr>
          <w:p>
            <w:pPr>
              <w:ind w:left="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Certain Relationships and Related Transactions, and Director Independence</w:t>
              </w:r>
            </w:hyperlink>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69</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color w:val="0000EE"/>
              </w:rPr>
            </w:pPr>
            <w:hyperlink w:anchor="page75">
              <w:r>
                <w:rPr>
                  <w:rFonts w:ascii="Arial" w:cs="Arial" w:eastAsia="Arial" w:hAnsi="Arial"/>
                  <w:sz w:val="18"/>
                  <w:szCs w:val="18"/>
                  <w:u w:val="single" w:color="auto"/>
                  <w:color w:val="0000EE"/>
                </w:rPr>
                <w:t>14</w:t>
              </w:r>
              <w:r>
                <w:rPr>
                  <w:rFonts w:ascii="Arial" w:cs="Arial" w:eastAsia="Arial" w:hAnsi="Arial"/>
                  <w:sz w:val="18"/>
                  <w:szCs w:val="18"/>
                  <w:color w:val="0000EE"/>
                </w:rPr>
                <w:t>.</w:t>
              </w:r>
            </w:hyperlink>
          </w:p>
        </w:tc>
        <w:tc>
          <w:tcPr>
            <w:tcW w:w="9480" w:type="dxa"/>
            <w:vAlign w:val="bottom"/>
          </w:tcPr>
          <w:p>
            <w:pPr>
              <w:ind w:left="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Principal Accounting Fees and Services</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72</w:t>
              </w:r>
            </w:hyperlink>
          </w:p>
        </w:tc>
      </w:tr>
      <w:tr>
        <w:trPr>
          <w:trHeight w:val="27"/>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4"/>
              </w:rPr>
            </w:pPr>
            <w:hyperlink w:anchor="page77">
              <w:r>
                <w:rPr>
                  <w:rFonts w:ascii="Arial" w:cs="Arial" w:eastAsia="Arial" w:hAnsi="Arial"/>
                  <w:sz w:val="18"/>
                  <w:szCs w:val="18"/>
                  <w:u w:val="single" w:color="auto"/>
                  <w:color w:val="0000EE"/>
                  <w:w w:val="94"/>
                </w:rPr>
                <w:t>PART IV</w:t>
              </w:r>
            </w:hyperlink>
          </w:p>
        </w:tc>
        <w:tc>
          <w:tcPr>
            <w:tcW w:w="50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74</w:t>
              </w:r>
            </w:hyperlink>
          </w:p>
        </w:tc>
      </w:tr>
      <w:tr>
        <w:trPr>
          <w:trHeight w:val="243"/>
        </w:trPr>
        <w:tc>
          <w:tcPr>
            <w:tcW w:w="680" w:type="dxa"/>
            <w:vAlign w:val="bottom"/>
          </w:tcPr>
          <w:p>
            <w:pPr>
              <w:jc w:val="right"/>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w:t>
              </w:r>
            </w:hyperlink>
          </w:p>
        </w:tc>
        <w:tc>
          <w:tcPr>
            <w:tcW w:w="500" w:type="dxa"/>
            <w:vAlign w:val="bottom"/>
          </w:tcPr>
          <w:p>
            <w:pPr>
              <w:ind w:left="20"/>
              <w:spacing w:after="0"/>
              <w:rPr>
                <w:rFonts w:ascii="Arial" w:cs="Arial" w:eastAsia="Arial" w:hAnsi="Arial"/>
                <w:sz w:val="18"/>
                <w:szCs w:val="18"/>
                <w:color w:val="0000EE"/>
              </w:rPr>
            </w:pPr>
            <w:hyperlink w:anchor="page77">
              <w:r>
                <w:rPr>
                  <w:rFonts w:ascii="Arial" w:cs="Arial" w:eastAsia="Arial" w:hAnsi="Arial"/>
                  <w:sz w:val="18"/>
                  <w:szCs w:val="18"/>
                  <w:u w:val="single" w:color="auto"/>
                  <w:color w:val="0000EE"/>
                </w:rPr>
                <w:t>15</w:t>
              </w:r>
              <w:r>
                <w:rPr>
                  <w:rFonts w:ascii="Arial" w:cs="Arial" w:eastAsia="Arial" w:hAnsi="Arial"/>
                  <w:sz w:val="18"/>
                  <w:szCs w:val="18"/>
                  <w:color w:val="0000EE"/>
                </w:rPr>
                <w:t>.</w:t>
              </w:r>
            </w:hyperlink>
          </w:p>
        </w:tc>
        <w:tc>
          <w:tcPr>
            <w:tcW w:w="9480" w:type="dxa"/>
            <w:vAlign w:val="bottom"/>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Exhibits, Financial Statement Schedules</w:t>
              </w:r>
            </w:hyperlink>
          </w:p>
        </w:tc>
        <w:tc>
          <w:tcPr>
            <w:tcW w:w="580" w:type="dxa"/>
            <w:vAlign w:val="bottom"/>
            <w:gridSpan w:val="2"/>
          </w:tcPr>
          <w:p>
            <w:pPr>
              <w:jc w:val="right"/>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74</w:t>
              </w:r>
            </w:hyperlink>
          </w:p>
        </w:tc>
      </w:tr>
      <w:tr>
        <w:trPr>
          <w:trHeight w:val="27"/>
        </w:trPr>
        <w:tc>
          <w:tcPr>
            <w:tcW w:w="1180" w:type="dxa"/>
            <w:vAlign w:val="bottom"/>
            <w:gridSpan w:val="2"/>
          </w:tcPr>
          <w:p>
            <w:pPr>
              <w:spacing w:after="0"/>
              <w:rPr>
                <w:sz w:val="2"/>
                <w:szCs w:val="2"/>
                <w:color w:val="auto"/>
              </w:rPr>
            </w:pPr>
          </w:p>
        </w:tc>
        <w:tc>
          <w:tcPr>
            <w:tcW w:w="9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1180" w:type="dxa"/>
            <w:vAlign w:val="bottom"/>
            <w:gridSpan w:val="2"/>
            <w:shd w:val="clear" w:color="auto" w:fill="CCEEFF"/>
          </w:tcPr>
          <w:p>
            <w:pPr>
              <w:spacing w:after="0"/>
              <w:rPr>
                <w:rFonts w:ascii="Arial" w:cs="Arial" w:eastAsia="Arial" w:hAnsi="Arial"/>
                <w:sz w:val="18"/>
                <w:szCs w:val="18"/>
                <w:u w:val="single" w:color="auto"/>
                <w:color w:val="0000EE"/>
                <w:w w:val="99"/>
              </w:rPr>
            </w:pPr>
            <w:hyperlink w:anchor="page80">
              <w:r>
                <w:rPr>
                  <w:rFonts w:ascii="Arial" w:cs="Arial" w:eastAsia="Arial" w:hAnsi="Arial"/>
                  <w:sz w:val="18"/>
                  <w:szCs w:val="18"/>
                  <w:u w:val="single" w:color="auto"/>
                  <w:color w:val="0000EE"/>
                  <w:w w:val="99"/>
                </w:rPr>
                <w:t>SIGNATURES</w:t>
              </w:r>
            </w:hyperlink>
          </w:p>
        </w:tc>
        <w:tc>
          <w:tcPr>
            <w:tcW w:w="94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77</w:t>
              </w:r>
            </w:hyperlink>
          </w:p>
        </w:tc>
      </w:tr>
      <w:tr>
        <w:trPr>
          <w:trHeight w:val="27"/>
        </w:trPr>
        <w:tc>
          <w:tcPr>
            <w:tcW w:w="6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annual report includes, and oral statements made from time to time by representatives of the Company may include,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annual report. Factors that might cause or contribute to such a discrepancy include, but are not limited to, those described in our other Securities and Exchange Commission (“SEC”) filings. Forward-looking statements in this annual report may include, for example, statements about:</w:t>
      </w:r>
    </w:p>
    <w:p>
      <w:pPr>
        <w:spacing w:after="0" w:line="18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5" w:lineRule="exact"/>
        <w:rPr>
          <w:rFonts w:ascii="Arial" w:cs="Arial" w:eastAsia="Arial" w:hAnsi="Arial"/>
          <w:sz w:val="18"/>
          <w:szCs w:val="18"/>
          <w:color w:val="auto"/>
        </w:rPr>
      </w:pPr>
    </w:p>
    <w:p>
      <w:pPr>
        <w:ind w:left="980" w:right="8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acquisition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“Item 1A.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i w:val="1"/>
          <w:iCs w:val="1"/>
          <w:color w:val="auto"/>
        </w:rPr>
        <w:t>References in this annual report to “we,” “us,” “company” or “our company” are to Churchill Capital Corp IV, a Delaware corporation. References to “management” or our “management team” are to our officers and directors. References to our “sponsor” is to Churchill Sponsor IV LLC, a Delaware limited liability company. References to our “initial stockholders” are to the holders of our founder shares prior to our initial public offering.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 blank check company formed for the purpose of effecting a merger, capital stock exchange, asset acquisition, stock purchase, reorganization or other similar business combination with one or more businesses, which we refer to throughout this annual report as our initial business combination. We have reviewed a number of opportunities to enter into a business combination. We have neither engaged in any operations nor generated any revenue to date. Based on our business activities, the Company is a “shell company” as defined under the Exchange Act because we have no operations and nominal assets consisting almost entirely of cash.</w:t>
      </w:r>
    </w:p>
    <w:p>
      <w:pPr>
        <w:spacing w:after="0" w:line="18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founder, Michael Klein, is also the founder and managing partner of M. Klein and Company, which he founded in 2012. M. Klein and Company is a global strategic advisory firm that provides its clients a variety of advice tailored to their objectives. M. Klein and Company has established an entity within the firm, Archimedes Advisors, which will invest in our sponsor and which consists of operating partners (“operating partners”) who will assist Mr. Klein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w:t>
      </w:r>
    </w:p>
    <w:p>
      <w:pPr>
        <w:spacing w:after="0" w:line="168" w:lineRule="exact"/>
        <w:rPr>
          <w:sz w:val="20"/>
          <w:szCs w:val="20"/>
          <w:color w:val="auto"/>
        </w:rPr>
      </w:pPr>
    </w:p>
    <w:p>
      <w:pPr>
        <w:ind w:right="40" w:firstLine="648"/>
        <w:spacing w:after="0" w:line="230" w:lineRule="auto"/>
        <w:rPr>
          <w:sz w:val="20"/>
          <w:szCs w:val="20"/>
          <w:color w:val="auto"/>
        </w:rPr>
      </w:pPr>
      <w:r>
        <w:rPr>
          <w:rFonts w:ascii="Arial" w:cs="Arial" w:eastAsia="Arial" w:hAnsi="Arial"/>
          <w:sz w:val="18"/>
          <w:szCs w:val="18"/>
          <w:color w:val="auto"/>
        </w:rPr>
        <w:t>Our executive offices are located at 640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10019 and our telephone number is (212) 380-7500. Our corporate website address https://iv.churchillcapitalcorp.com. Our website and the information contained on, or that can be accessed through, the website is not deemed to be incorporated by reference in, and is not considered part of, this annual report. You should not rely on any such information in making your decision whether to invest in our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May 2020, our sponsor purchased an aggregate of 21,562,500 shares of Class B common stock (our “founder shares”) for an aggregate purchase price of $25,000, or approximately $0.001 per share. Our Class B common stock will automatically convert into shares of Class A common stock, on a one-for-one basis, upon the completion of a business combination.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number of founder shares issued was based on the expectation that the founder shares would represent 20% of the outstanding shares of our determined Class A common stock and our Class B common stock (collectively, our “common stock’) upon completion of the initial public offering (the “IPO”).</w:t>
      </w:r>
    </w:p>
    <w:p>
      <w:pPr>
        <w:spacing w:after="0" w:line="16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On August 3, 2020 we completed our IPO of 207,000,000 units at a price of $10.00 per unit (the “units”), generating gross proceeds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$2,070,000,000. Each unit consists of one of the Company’s shares of Class A common stock, par value $0.0001 per share, and one-fifth of one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whole warrant entitles the holder thereof to purchase one share of Class A common stock at a price of $11.50 per share, subject to certain adjustments.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right="240" w:firstLine="648"/>
        <w:spacing w:after="0" w:line="257" w:lineRule="auto"/>
        <w:rPr>
          <w:sz w:val="20"/>
          <w:szCs w:val="20"/>
          <w:color w:val="auto"/>
        </w:rPr>
      </w:pPr>
      <w:r>
        <w:rPr>
          <w:rFonts w:ascii="Arial" w:cs="Arial" w:eastAsia="Arial" w:hAnsi="Arial"/>
          <w:sz w:val="18"/>
          <w:szCs w:val="18"/>
          <w:color w:val="auto"/>
        </w:rPr>
        <w:t>Concurrently with the completion of the IPO, our sponsor purchased an aggregate 42,850,000 warrants (the “private placement warrants”) at a price of $1.00 per warrant, or $42,850,000 in the aggregate. An aggregate of $2,070,000,000 from the proceeds of the IPO and the private placement warrants was placed in a trust account (the “trust account”) such that the trust account held $2,070,000,000 at the time of closing of the IPO. Each whole private placement warrant entitles the holder thereof to purchase one share of Class A common stock at a price of $11.50 per share, subject to certain adjustments.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September 17, 2020, we announced that, commencing September 18, 2020, holders of the 207,000,000 units sold in the IPO may elect to separately trade the shares of Class A common stock and the warrants included in the units. Those units not separated continued to trade on the New York Stock Exchange (the “NYSE”) under the symbol “CCIV.U” and the shares of Class A common stock and warrants that were separated trade under the symbols “CCIV” and “CCIV WS,”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On February 22, 2021, we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us, Air Merger Sub, Inc., a Delaware corporation and direct, wholly owned subsidiary of Churchill (“</w:t>
      </w:r>
      <w:r>
        <w:rPr>
          <w:rFonts w:ascii="Arial" w:cs="Arial" w:eastAsia="Arial" w:hAnsi="Arial"/>
          <w:sz w:val="18"/>
          <w:szCs w:val="18"/>
          <w:u w:val="single" w:color="auto"/>
          <w:color w:val="auto"/>
        </w:rPr>
        <w:t>Merger Sub</w:t>
      </w:r>
      <w:r>
        <w:rPr>
          <w:rFonts w:ascii="Arial" w:cs="Arial" w:eastAsia="Arial" w:hAnsi="Arial"/>
          <w:sz w:val="18"/>
          <w:szCs w:val="18"/>
          <w:color w:val="auto"/>
        </w:rPr>
        <w:t>”), and Atieva, Inc., d/b/a Lucid Motors, an exempted company incorporated with limited liability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Pursuant to the Merger Agreement, the parties thereto will enter into a business combination transaction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by which Merger Sub will merge with and into the Company with the Company being the surviving entity in the merger (the “</w:t>
      </w:r>
      <w:r>
        <w:rPr>
          <w:rFonts w:ascii="Arial" w:cs="Arial" w:eastAsia="Arial" w:hAnsi="Arial"/>
          <w:sz w:val="18"/>
          <w:szCs w:val="18"/>
          <w:u w:val="single" w:color="auto"/>
          <w:color w:val="auto"/>
        </w:rPr>
        <w:t>Merger</w:t>
      </w:r>
      <w:r>
        <w:rPr>
          <w:rFonts w:ascii="Arial" w:cs="Arial" w:eastAsia="Arial" w:hAnsi="Arial"/>
          <w:sz w:val="18"/>
          <w:szCs w:val="18"/>
          <w:color w:val="auto"/>
        </w:rPr>
        <w:t>” and, together with the other transactions contemplated by the Merger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proposed Business Combination is expected to be consummated after the required approval by our stockholders and the Company and the satisfaction of certain other conditions summarized below.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aggregate consideration to be paid to the shareholders of the Company will be equal to (a) $11,750,000,000 plus (b) (i) all cash and cash equivalents of the Company and its subsidiaries less (ii) all indebtedness for borrowed money of the Company and its subsidiaries, in each case as of two business days prior to the closing date (the “</w:t>
      </w:r>
      <w:r>
        <w:rPr>
          <w:rFonts w:ascii="Arial" w:cs="Arial" w:eastAsia="Arial" w:hAnsi="Arial"/>
          <w:sz w:val="18"/>
          <w:szCs w:val="18"/>
          <w:u w:val="single" w:color="auto"/>
          <w:color w:val="auto"/>
        </w:rPr>
        <w:t>Equity Value</w:t>
      </w:r>
      <w:r>
        <w:rPr>
          <w:rFonts w:ascii="Arial" w:cs="Arial" w:eastAsia="Arial" w:hAnsi="Arial"/>
          <w:sz w:val="18"/>
          <w:szCs w:val="18"/>
          <w:color w:val="auto"/>
        </w:rPr>
        <w:t>”) and will be paid entirely in shares of Class A common stock, par value $0.0001 per share, of Churchill in an amount equal to $10.00 per share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At the effective time of the Merger, each share of capital stock of the Company (the “</w:t>
      </w:r>
      <w:r>
        <w:rPr>
          <w:rFonts w:ascii="Arial" w:cs="Arial" w:eastAsia="Arial" w:hAnsi="Arial"/>
          <w:sz w:val="18"/>
          <w:szCs w:val="18"/>
          <w:u w:val="single" w:color="auto"/>
          <w:color w:val="auto"/>
        </w:rPr>
        <w:t>Company Shares</w:t>
      </w:r>
      <w:r>
        <w:rPr>
          <w:rFonts w:ascii="Arial" w:cs="Arial" w:eastAsia="Arial" w:hAnsi="Arial"/>
          <w:sz w:val="18"/>
          <w:szCs w:val="18"/>
          <w:color w:val="auto"/>
        </w:rPr>
        <w:t>”) will be cancelled and automatically deemed for all purposes to represent the right to receive, in the aggregate, the Merger Consideration. At the effective time of the Merger, all share incentive plan or similar equity-based compensation plans maintained for employees of the Company will be assumed by Churchill and all outstanding options to purchase Company Shares (each, a “</w:t>
      </w:r>
      <w:r>
        <w:rPr>
          <w:rFonts w:ascii="Arial" w:cs="Arial" w:eastAsia="Arial" w:hAnsi="Arial"/>
          <w:sz w:val="18"/>
          <w:szCs w:val="18"/>
          <w:u w:val="single" w:color="auto"/>
          <w:color w:val="auto"/>
        </w:rPr>
        <w:t>Company Option</w:t>
      </w:r>
      <w:r>
        <w:rPr>
          <w:rFonts w:ascii="Arial" w:cs="Arial" w:eastAsia="Arial" w:hAnsi="Arial"/>
          <w:sz w:val="18"/>
          <w:szCs w:val="18"/>
          <w:color w:val="auto"/>
        </w:rPr>
        <w:t>”) and each restricted stock unit award (“</w:t>
      </w:r>
      <w:r>
        <w:rPr>
          <w:rFonts w:ascii="Arial" w:cs="Arial" w:eastAsia="Arial" w:hAnsi="Arial"/>
          <w:sz w:val="18"/>
          <w:szCs w:val="18"/>
          <w:u w:val="single" w:color="auto"/>
          <w:color w:val="auto"/>
        </w:rPr>
        <w:t>RSU</w:t>
      </w:r>
      <w:r>
        <w:rPr>
          <w:rFonts w:ascii="Arial" w:cs="Arial" w:eastAsia="Arial" w:hAnsi="Arial"/>
          <w:sz w:val="18"/>
          <w:szCs w:val="18"/>
          <w:color w:val="auto"/>
        </w:rPr>
        <w:t>”) with respect to Company Shares (each, a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RSU</w:t>
      </w:r>
      <w:r>
        <w:rPr>
          <w:rFonts w:ascii="Arial" w:cs="Arial" w:eastAsia="Arial" w:hAnsi="Arial"/>
          <w:sz w:val="18"/>
          <w:szCs w:val="18"/>
          <w:color w:val="auto"/>
        </w:rPr>
        <w:t>”) will be assumed by Churchill as described below. For purposes of the following paragraph, the “</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means the Equity Value per share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$10.00.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the effective time of the Merger, each Company Option will become an option to purchase shares of Class A common stock (each,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Assumed Option</w:t>
      </w:r>
      <w:r>
        <w:rPr>
          <w:rFonts w:ascii="Arial" w:cs="Arial" w:eastAsia="Arial" w:hAnsi="Arial"/>
          <w:sz w:val="16"/>
          <w:szCs w:val="16"/>
          <w:color w:val="auto"/>
        </w:rPr>
        <w:t>”), on the same terms and conditions (including applicable vesting, exercise and expiration provisions) as applied to the Company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immediately prior to the effective time of the Merger, except that (i) the number of shares of Class A common stock subject to such Assumed Option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equal the product of (x) the number of Company Shares that were subject to the option immediately prior to the effective time of the Merger, </w:t>
      </w:r>
      <w:r>
        <w:rPr>
          <w:rFonts w:ascii="Arial" w:cs="Arial" w:eastAsia="Arial" w:hAnsi="Arial"/>
          <w:sz w:val="16"/>
          <w:szCs w:val="16"/>
          <w:i w:val="1"/>
          <w:iCs w:val="1"/>
          <w:color w:val="auto"/>
        </w:rPr>
        <w:t>multiplied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by </w:t>
      </w:r>
      <w:r>
        <w:rPr>
          <w:rFonts w:ascii="Arial" w:cs="Arial" w:eastAsia="Arial" w:hAnsi="Arial"/>
          <w:sz w:val="16"/>
          <w:szCs w:val="16"/>
          <w:color w:val="auto"/>
        </w:rPr>
        <w:t>(y) the Exchange Ratio, rounded down to the nearest whole share, and (B) the per-share exercise price shall equal the quotient of (1) the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per Company Share at which such option was exercisable immediately prior to the effective time of the Merger,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by (2) the Exchange Ratio, rounded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 to the nearest whole cent.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firstLine="648"/>
        <w:spacing w:after="0" w:line="257" w:lineRule="auto"/>
        <w:rPr>
          <w:sz w:val="20"/>
          <w:szCs w:val="20"/>
          <w:color w:val="auto"/>
        </w:rPr>
      </w:pPr>
      <w:r>
        <w:rPr>
          <w:rFonts w:ascii="Arial" w:cs="Arial" w:eastAsia="Arial" w:hAnsi="Arial"/>
          <w:sz w:val="18"/>
          <w:szCs w:val="18"/>
          <w:color w:val="auto"/>
        </w:rPr>
        <w:t>At the effective time of the Merger, each Company RSU, will be assumed by Churchill and become an RSU with respect to shares of Class A common stock (each, an “</w:t>
      </w:r>
      <w:r>
        <w:rPr>
          <w:rFonts w:ascii="Arial" w:cs="Arial" w:eastAsia="Arial" w:hAnsi="Arial"/>
          <w:sz w:val="18"/>
          <w:szCs w:val="18"/>
          <w:u w:val="single" w:color="auto"/>
          <w:color w:val="auto"/>
        </w:rPr>
        <w:t>Assumed RSU</w:t>
      </w:r>
      <w:r>
        <w:rPr>
          <w:rFonts w:ascii="Arial" w:cs="Arial" w:eastAsia="Arial" w:hAnsi="Arial"/>
          <w:sz w:val="18"/>
          <w:szCs w:val="18"/>
          <w:color w:val="auto"/>
        </w:rPr>
        <w:t>”) on the same terms and conditions (including applicable vesting provisions) as applied to each Company RSU immediately prior to the effective time of the Merger, except that the number of shares of Class A common stock subject to such Assumed RSU Award will be equal the product of (x) the number of Company Shares that were subject to such RSU immediately prior to the effective time of the Merger, multiplied by (y) the Exchange Ratio, rounded down to the nearest whole share.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Representations and Warranties</w:t>
      </w:r>
    </w:p>
    <w:p>
      <w:pPr>
        <w:spacing w:after="0" w:line="225" w:lineRule="exact"/>
        <w:rPr>
          <w:sz w:val="20"/>
          <w:szCs w:val="20"/>
          <w:color w:val="auto"/>
        </w:rPr>
      </w:pPr>
    </w:p>
    <w:p>
      <w:pPr>
        <w:jc w:val="both"/>
        <w:ind w:right="140" w:firstLine="648"/>
        <w:spacing w:after="0" w:line="291" w:lineRule="auto"/>
        <w:rPr>
          <w:sz w:val="20"/>
          <w:szCs w:val="20"/>
          <w:color w:val="auto"/>
        </w:rPr>
      </w:pPr>
      <w:r>
        <w:rPr>
          <w:rFonts w:ascii="Arial" w:cs="Arial" w:eastAsia="Arial" w:hAnsi="Arial"/>
          <w:sz w:val="16"/>
          <w:szCs w:val="16"/>
          <w:color w:val="auto"/>
        </w:rPr>
        <w:t>The Merger Agreement contains representations and warranties of the parties thereto with respect to, among other things, (i) entity organization, formation and authority, (ii) authorization to enter into the Merger Agreement, (iii) capital structure, (iv) consents and approvals, (v) financial statements,</w:t>
      </w: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undisclosed liabilities, (vii) real property, (viii) litigation and proceedings, (ix) material contracts, (x) taxes, (xi) title to assets, (xii) absence of changes,</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environmental matters, (xiv) employee matters, (xv) licenses and permits, (xvi) compliance with laws (xvii) intellectual property and IT security,</w:t>
      </w:r>
    </w:p>
    <w:p>
      <w:pPr>
        <w:spacing w:after="0" w:line="20" w:lineRule="exact"/>
        <w:rPr>
          <w:rFonts w:ascii="Arial" w:cs="Arial" w:eastAsia="Arial" w:hAnsi="Arial"/>
          <w:sz w:val="17"/>
          <w:szCs w:val="17"/>
          <w:color w:val="auto"/>
        </w:rPr>
      </w:pPr>
    </w:p>
    <w:p>
      <w:pPr>
        <w:ind w:right="620" w:firstLine="8"/>
        <w:spacing w:after="0" w:line="290" w:lineRule="auto"/>
        <w:tabs>
          <w:tab w:leader="none" w:pos="495" w:val="left"/>
        </w:tabs>
        <w:numPr>
          <w:ilvl w:val="0"/>
          <w:numId w:val="6"/>
        </w:numPr>
        <w:rPr>
          <w:rFonts w:ascii="Arial" w:cs="Arial" w:eastAsia="Arial" w:hAnsi="Arial"/>
          <w:sz w:val="17"/>
          <w:szCs w:val="17"/>
          <w:color w:val="auto"/>
        </w:rPr>
      </w:pPr>
      <w:r>
        <w:rPr>
          <w:rFonts w:ascii="Arial" w:cs="Arial" w:eastAsia="Arial" w:hAnsi="Arial"/>
          <w:sz w:val="17"/>
          <w:szCs w:val="17"/>
          <w:color w:val="auto"/>
        </w:rPr>
        <w:t>governmental authorities and consents, (xix) insurance, and (xx) related party transactions. The representations and warranties of the parties contained in the Merger Agreement will terminate and be of no further force and effect as of the closing of the Transactions.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Merger Agreement contains customary covenants of the parties, including, among others, covenants providing for (i) the operation of the parties’ respective businesses prior to consummation of the Transactions, (ii) Churchill and the Company’s efforts to satisfy conditions to consummation of the Transactions, (iii) Churchill and the Company to cease discussions for alternative transactions, (iv) Churchill to prepare and file a registration statement and a proxy statement for the purpose of soliciting proxies from Churchill’s stockholders to vote in favor of certain matters (the “</w:t>
      </w:r>
      <w:r>
        <w:rPr>
          <w:rFonts w:ascii="Arial" w:cs="Arial" w:eastAsia="Arial" w:hAnsi="Arial"/>
          <w:sz w:val="17"/>
          <w:szCs w:val="17"/>
          <w:u w:val="single" w:color="auto"/>
          <w:color w:val="auto"/>
        </w:rPr>
        <w:t>SPAC Stockholder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Matters</w:t>
      </w:r>
      <w:r>
        <w:rPr>
          <w:rFonts w:ascii="Arial" w:cs="Arial" w:eastAsia="Arial" w:hAnsi="Arial"/>
          <w:sz w:val="17"/>
          <w:szCs w:val="17"/>
          <w:color w:val="auto"/>
        </w:rPr>
        <w:t>”), including the adoption of the Merger Agreement, approval of the Transactions, amendment and restatement of Churchill’s certificate of incorporation and certain other matters at a special meeting called therefor (the “</w:t>
      </w:r>
      <w:r>
        <w:rPr>
          <w:rFonts w:ascii="Arial" w:cs="Arial" w:eastAsia="Arial" w:hAnsi="Arial"/>
          <w:sz w:val="17"/>
          <w:szCs w:val="17"/>
          <w:u w:val="single" w:color="auto"/>
          <w:color w:val="auto"/>
        </w:rPr>
        <w:t>Special Meeting</w:t>
      </w:r>
      <w:r>
        <w:rPr>
          <w:rFonts w:ascii="Arial" w:cs="Arial" w:eastAsia="Arial" w:hAnsi="Arial"/>
          <w:sz w:val="17"/>
          <w:szCs w:val="17"/>
          <w:color w:val="auto"/>
        </w:rPr>
        <w:t>”), (v) the Company to convene an extraordinary general meeting of its shareholders to approve certain matters, including the adoption of the Merger Agreement, the Plan of Merger and approval of the Transactions (the “</w:t>
      </w:r>
      <w:r>
        <w:rPr>
          <w:rFonts w:ascii="Arial" w:cs="Arial" w:eastAsia="Arial" w:hAnsi="Arial"/>
          <w:sz w:val="17"/>
          <w:szCs w:val="17"/>
          <w:u w:val="single" w:color="auto"/>
          <w:color w:val="auto"/>
        </w:rPr>
        <w:t>Company Shareholder Matters</w:t>
      </w:r>
      <w:r>
        <w:rPr>
          <w:rFonts w:ascii="Arial" w:cs="Arial" w:eastAsia="Arial" w:hAnsi="Arial"/>
          <w:sz w:val="17"/>
          <w:szCs w:val="17"/>
          <w:color w:val="auto"/>
        </w:rPr>
        <w:t>”), (vi) the protection of, and access to, confidential information of the parties and (vii) the parties’ efforts to obtain necessary approvals from governmental agencies.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Conditions to Closing</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6"/>
          <w:szCs w:val="16"/>
          <w:color w:val="auto"/>
        </w:rPr>
        <w:t>The consummation of the Transactions is subject to customary closing conditions for special purpose acquisition companies, including, among others: (i) approval by Churchill’s stockholders, (ii) the expiration or termination of the waiting period under the Hart-Scott-Rodino Antitrust Improvements Act of 1976, as amended, (iii) no order, statute, rule or regulation enjoining or prohibiting the consummation of the Transactions being in force, (iv) Churchill having at least $5,000,001 of net tangible assets as of the closing of the Transactions, (v) approval by the Company’s shareholders,</w:t>
      </w:r>
    </w:p>
    <w:p>
      <w:pPr>
        <w:spacing w:after="0" w:line="1" w:lineRule="exact"/>
        <w:rPr>
          <w:sz w:val="20"/>
          <w:szCs w:val="20"/>
          <w:color w:val="auto"/>
        </w:rPr>
      </w:pPr>
    </w:p>
    <w:p>
      <w:pPr>
        <w:ind w:firstLine="8"/>
        <w:spacing w:after="0" w:line="251"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Churchill’s common stock being listed on the New York Stock Exchange or other stock exchange mutually agreed between Churchill and the Company, (vi) the registration statement becoming effective in accordance with the Securities Act and (vii) customary bringdown conditions. Additionally, the obligations of the Company to consummate the Transactions are also conditioned upon, among others, the amount of Available Closing SPAC Cash being at least $2.8 billion as of the closing of the Transactions and each of the covenants of each of Churchill Sponsor and the Insiders (both as defined below) required under the Sponsor Agreement (as defined below) to be performed as of or prior to the closing of the Transactions shall have been performed in all material respects, and none of Churchill Sponsor or the Insiders shall have threatened (orally or in writing) (a) that the Sponsor Agreement is not valid, binding and in full force and effect, (b) that the Company is in breach of or default under the Sponsor Agreement or (c) to terminate the Sponsor Agreement.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Merger Agreement may be terminated at any time, but not later than the closing of the Transactions, as follows:</w:t>
      </w:r>
    </w:p>
    <w:p>
      <w:pPr>
        <w:spacing w:after="0" w:line="225" w:lineRule="exact"/>
        <w:rPr>
          <w:sz w:val="20"/>
          <w:szCs w:val="20"/>
          <w:color w:val="auto"/>
        </w:rPr>
      </w:pPr>
    </w:p>
    <w:p>
      <w:pPr>
        <w:ind w:left="2020" w:hanging="716"/>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mutual written consent of Churchill and the Company;</w:t>
      </w:r>
    </w:p>
    <w:p>
      <w:pPr>
        <w:spacing w:after="0" w:line="225" w:lineRule="exact"/>
        <w:rPr>
          <w:rFonts w:ascii="Arial" w:cs="Arial" w:eastAsia="Arial" w:hAnsi="Arial"/>
          <w:sz w:val="18"/>
          <w:szCs w:val="18"/>
          <w:color w:val="auto"/>
        </w:rPr>
      </w:pPr>
    </w:p>
    <w:p>
      <w:pPr>
        <w:ind w:right="120" w:firstLine="1304"/>
        <w:spacing w:after="0" w:line="257" w:lineRule="auto"/>
        <w:tabs>
          <w:tab w:leader="none" w:pos="2011"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either Churchill or the Company if the Transactions are not consummated on or before October 22, 2021 (the “Termination Date”), but Churchill’s right to terminate will be automatically extended if any action for specific performance or other equitable relief filed by the Company with respect to the Merger Agreement, the other transaction agreements specified in the Merger Agreement or otherwise regarding the Transactions is commenced or pending on or prior to the Termination Date, provided that the terminating party’s failure to fulfill any of its obligations under the Merger Agreement is not the primary cause of the failure of the closing to occur by such date;</w:t>
      </w:r>
    </w:p>
    <w:p>
      <w:pPr>
        <w:spacing w:after="0" w:line="187" w:lineRule="exact"/>
        <w:rPr>
          <w:rFonts w:ascii="Arial" w:cs="Arial" w:eastAsia="Arial" w:hAnsi="Arial"/>
          <w:sz w:val="18"/>
          <w:szCs w:val="18"/>
          <w:color w:val="auto"/>
        </w:rPr>
      </w:pPr>
    </w:p>
    <w:p>
      <w:pPr>
        <w:ind w:right="160" w:firstLine="1304"/>
        <w:spacing w:after="0" w:line="263" w:lineRule="auto"/>
        <w:tabs>
          <w:tab w:leader="none" w:pos="2016"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either Churchill or the Company if a governmental entity shall have issued an order, decree or ruling or taken any other action, in any case having the effect of permanently enjoining or prohibiting the Merger, which order, decree, judgment, ruling or other action is final and nonappealable;</w:t>
      </w:r>
    </w:p>
    <w:p>
      <w:pPr>
        <w:spacing w:after="0" w:line="183" w:lineRule="exact"/>
        <w:rPr>
          <w:rFonts w:ascii="Arial" w:cs="Arial" w:eastAsia="Arial" w:hAnsi="Arial"/>
          <w:sz w:val="18"/>
          <w:szCs w:val="18"/>
          <w:color w:val="auto"/>
        </w:rPr>
      </w:pPr>
    </w:p>
    <w:p>
      <w:pPr>
        <w:ind w:firstLine="1304"/>
        <w:spacing w:after="0" w:line="259" w:lineRule="auto"/>
        <w:tabs>
          <w:tab w:leader="none" w:pos="2006"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either Churchill or the Company if the other party has breached any of its covenants, agreements, representations or warranties which would result in the failure of certain conditions to be satisfied at the closing and has not cured its breach within thirty days of the notice of an intent to terminate, provided that the terminating party’s failure to fulfill any of its obligations under the Merger Agreement is not the primary cause of the failure of the closing to occur;</w:t>
      </w:r>
    </w:p>
    <w:p>
      <w:pPr>
        <w:spacing w:after="0" w:line="186" w:lineRule="exact"/>
        <w:rPr>
          <w:rFonts w:ascii="Arial" w:cs="Arial" w:eastAsia="Arial" w:hAnsi="Arial"/>
          <w:sz w:val="18"/>
          <w:szCs w:val="18"/>
          <w:color w:val="auto"/>
        </w:rPr>
      </w:pPr>
    </w:p>
    <w:p>
      <w:pPr>
        <w:ind w:right="80" w:firstLine="1304"/>
        <w:spacing w:after="0" w:line="279" w:lineRule="auto"/>
        <w:tabs>
          <w:tab w:leader="none" w:pos="2001"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either Churchill or the Company if, at the Special Meeting, the Transactions and the other SPAC Stockholder Matters shall fail to be approved by holders of Churchill’s outstanding shares, provided that Churchill’s right to terminate for failure to obtain such approval shall not be available if, at the time of such termination, SPAC is in breach of certain of its obligations under the Merger Agreement, including with respect to the preparation, filing and mailing of the registration statement and the proxy statement and convening the Special Meeting; or</w:t>
      </w:r>
    </w:p>
    <w:p>
      <w:pPr>
        <w:spacing w:after="0" w:line="171" w:lineRule="exact"/>
        <w:rPr>
          <w:rFonts w:ascii="Arial" w:cs="Arial" w:eastAsia="Arial" w:hAnsi="Arial"/>
          <w:sz w:val="17"/>
          <w:szCs w:val="17"/>
          <w:color w:val="auto"/>
        </w:rPr>
      </w:pPr>
    </w:p>
    <w:p>
      <w:pPr>
        <w:ind w:left="2020" w:hanging="716"/>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Churchill if the Company shall fail to obtain the Company Shareholder Matters.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foregoing description of the Merger Agreement and the Transactions does not purport to be complete and is qualified in its entirety by the terms and conditions of the Merger Agreement and any related agreements. The Merger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Merger Agreement has been included as an exhibit to this Annual Report on Form 10-K (this “Current Report”) to provide investors with information regarding its terms. It is not intended to provide any other factual information about Churchill, the Company, or any other party to the Merger Agreement or any related agreement. In particular, the representations, warranties, covenants and agreements contained in the Merger Agreement, which were made only for purposes of such agreement and as of specific dates, were solely for the benefit of the parties to the Merger Agreement, are subject to limitations agreed upon by the contracting parties (including being qualified by confidential disclosures made for the purposes of allocating contractual risk between the parties to the Merger Agreement instead of establishing these matters as facts) and are subject to standards of materiality applicable to the contracting parties that may differ from those applicable to investors and security holders. Investors and security holders are not third-party beneficiaries under the Merger Agreement and should not rely on the representations, warranties, covenants and agreements, or any descriptions thereof, as characterizations of the actual state of facts or condition of any party to the Merger Agreement. Moreover, information concerning the subject matter of the representations and warranties may change after the date of the Merger Agreement, which subsequent information may or may not be fully reflected in Churchill’s public disclosures.</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copy of the Merger Agreement is filed with this Annual Report as Exhibit 2.1 and is incorporated herein by reference, and the foregoing description of the Merger Agreement is qualified in its entirety by reference thereto.</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Related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Investor Rights Agreement</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connection with the execution of the Merger Agreement, Churchill entered into an Investor Rights Agreement (the “</w:t>
      </w:r>
      <w:r>
        <w:rPr>
          <w:rFonts w:ascii="Arial" w:cs="Arial" w:eastAsia="Arial" w:hAnsi="Arial"/>
          <w:sz w:val="16"/>
          <w:szCs w:val="16"/>
          <w:u w:val="single" w:color="auto"/>
          <w:color w:val="auto"/>
        </w:rPr>
        <w:t>Investor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Ayar Third Investment Company (“</w:t>
      </w:r>
      <w:r>
        <w:rPr>
          <w:rFonts w:ascii="Arial" w:cs="Arial" w:eastAsia="Arial" w:hAnsi="Arial"/>
          <w:sz w:val="16"/>
          <w:szCs w:val="16"/>
          <w:u w:val="single" w:color="auto"/>
          <w:color w:val="auto"/>
        </w:rPr>
        <w:t>Ayar</w:t>
      </w:r>
      <w:r>
        <w:rPr>
          <w:rFonts w:ascii="Arial" w:cs="Arial" w:eastAsia="Arial" w:hAnsi="Arial"/>
          <w:sz w:val="16"/>
          <w:szCs w:val="16"/>
          <w:color w:val="auto"/>
        </w:rPr>
        <w:t>”), Churchill Sponsor IV LLC (“</w:t>
      </w:r>
      <w:r>
        <w:rPr>
          <w:rFonts w:ascii="Arial" w:cs="Arial" w:eastAsia="Arial" w:hAnsi="Arial"/>
          <w:sz w:val="16"/>
          <w:szCs w:val="16"/>
          <w:u w:val="single" w:color="auto"/>
          <w:color w:val="auto"/>
        </w:rPr>
        <w:t>Churchill Sponsor</w:t>
      </w:r>
      <w:r>
        <w:rPr>
          <w:rFonts w:ascii="Arial" w:cs="Arial" w:eastAsia="Arial" w:hAnsi="Arial"/>
          <w:sz w:val="16"/>
          <w:szCs w:val="16"/>
          <w:color w:val="auto"/>
        </w:rPr>
        <w:t>”) and the other parties named therein. Pursuant to the Investor Rights Agreement, as of the date of the closing of the Transactions, Ayar has the right to nominate five directors to Churchill’s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Churchill Sponsor has the right to nominate one director to the Board. Two directors will be independent directors to be nominated by the Company and one director will be the chief executive officer of the combined company. In addition, following the closing of the Transactions, Ayar will have a continuing right to designate directors to the Board, subject to its (and its permitted transferees’) beneficial ownership of Class A common stock as compared to the Class A common stock issued and outstanding as of the record date of each applicable annual or special meeting of stockholders at which directors are to be elected (the “</w:t>
      </w:r>
      <w:r>
        <w:rPr>
          <w:rFonts w:ascii="Arial" w:cs="Arial" w:eastAsia="Arial" w:hAnsi="Arial"/>
          <w:sz w:val="16"/>
          <w:szCs w:val="16"/>
          <w:u w:val="single" w:color="auto"/>
          <w:color w:val="auto"/>
        </w:rPr>
        <w:t>Record Date</w:t>
      </w:r>
      <w:r>
        <w:rPr>
          <w:rFonts w:ascii="Arial" w:cs="Arial" w:eastAsia="Arial" w:hAnsi="Arial"/>
          <w:sz w:val="16"/>
          <w:szCs w:val="16"/>
          <w:color w:val="auto"/>
        </w:rPr>
        <w:t>”). If, following the closing of the Transactions, Ayar (or its permitted transferees) beneficially owns: (i) 50% or greater of the shares of Class A common stock issued and outstanding on the Record Date, it will have the right to nominate five directors; (ii) less than 50% but greater than or equal to 40% of the shares of Class A common stock issued and outstanding on the Record Date, it will have the right to nominate four directors; (iii) less than 40% but greater than or equal to 30% of the shares of Class A common stock issued and outstanding on the Record Date, it will have the right to nominate three directors; (iv) less than 30% but greater than or equal to 20% of the shares of Class A common stock issued and outstanding on the Record Date, it will have the right to nominate two directors; (v) less than 20% but greater than or equal to 10% of the shares of Class A common stock issued and outstanding on the Record Date, it will have the right to nominate one director; and (vi) less than 10% of the shares of Class A common stock issued and outstanding on the Record Date, it will not have the right to nominate any directors; provided, that if after the date of the closing of the Transactions the size of the Board is increased or decreased, the number of directors Ayar is entitled to nominate will be increased or decreased in proportion to such increase or decrease in the size of the Board, rounded down to the nearest whole number. Further, for so long as Ayar beneficially owns 20% or greater of the shares of Class A common stock issued and outstanding on the Record Date, it will have the right to designate the Chairman of the Board. Pursuant to the Investor Rights Agreement, any material changes to the combined company’s business plan will require the affirmative vote of a majority of the Board. In addition, pursuant to the Investor Rights Agreement, certain parties will be entitled to certain registration rights, including, among other things, customary demand, shelf and piggy-back rights, subject to customary cut-back provisions. Pursuant to the Investor Rights Agreement, certain parties will agree not to sell, transfer, pledge or otherwise dispose of shares of Class A common stock or warrants to purchase shares of Class A common stock they receive in connection with the Transactions or otherwise beneficially own as of the date of the closing of the Transactions for certain time periods specified therein. The foregoing description of the Investor Rights Agreement is not complete and is qualified in its entirety by reference to the Investor Rights Agreement, included as Exhibit 10.16 to this Current Report.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execution of the Merger Agreement, (a) Churchill entered into certain common stock subscription agreements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certain investment funds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pursuant to which, Churchill has agreed to issue and sell to the PIPE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Investors $2.5 billion of Class A common stock (the “</w:t>
      </w:r>
      <w:r>
        <w:rPr>
          <w:rFonts w:ascii="Arial" w:cs="Arial" w:eastAsia="Arial" w:hAnsi="Arial"/>
          <w:sz w:val="17"/>
          <w:szCs w:val="17"/>
          <w:u w:val="single" w:color="auto"/>
          <w:color w:val="auto"/>
        </w:rPr>
        <w:t>PIPE Shares</w:t>
      </w:r>
      <w:r>
        <w:rPr>
          <w:rFonts w:ascii="Arial" w:cs="Arial" w:eastAsia="Arial" w:hAnsi="Arial"/>
          <w:sz w:val="17"/>
          <w:szCs w:val="17"/>
          <w:color w:val="auto"/>
        </w:rPr>
        <w:t>”) in reliance on an exemption from registration under Section 4(a)(2)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at a purchase price of $15 per share (the “</w:t>
      </w:r>
      <w:r>
        <w:rPr>
          <w:rFonts w:ascii="Arial" w:cs="Arial" w:eastAsia="Arial" w:hAnsi="Arial"/>
          <w:sz w:val="16"/>
          <w:szCs w:val="16"/>
          <w:u w:val="single" w:color="auto"/>
          <w:color w:val="auto"/>
        </w:rPr>
        <w:t>PIPE Investment</w:t>
      </w:r>
      <w:r>
        <w:rPr>
          <w:rFonts w:ascii="Arial" w:cs="Arial" w:eastAsia="Arial" w:hAnsi="Arial"/>
          <w:sz w:val="16"/>
          <w:szCs w:val="16"/>
          <w:color w:val="auto"/>
        </w:rPr>
        <w:t>”). Pursuant to the Subscription Agreements, the PIPE Investors have agreed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transfer any PIPE Shares until the later of (i) the effectiveness of the registration statement to be filed following the closing of the Transactions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register the PIPE Shares and (ii) September 1, 2021. The closing of the PIPE Investment is conditioned on all conditions set forth in the Merger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having been satisfied or waived and other customary closing conditions, and the Transactions will be consummated immediately following the closing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PIPE Investment. The Subscription Agreements will terminate upon the earlier to occur of (i) the termination of the Merger Agreement and (ii)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mutual written agreement of the parties thereto.</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Subscription Agreements provide that Churchill is required to file with the SEC, within 30 days after the consummation of the Transactions, a shelf registration statement covering the resale of the PIPE Shares and to use its commercially reasonable efforts to have such registration statement declared effective as soon as practicable after the filing thereof but no later than the earlier of (i) the 90th day (or 150th day if the SEC notifies Churchill that it will “review” such registration statement) following the closing of the PIPE Investment and (ii) the 10th business day after the date Churchill is notified (orally or in writing, whichever is earlier) by the SEC that such registration statement will not be “reviewed” or will not be subject to further review.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16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structure our initial business combination so that the post-transaction company in which holders (our “public stockholders”) of our Class A common stock sold as part of the units in the IPO (the “public shares”), including our sponsor, officers and directors to the extent our sponsor, officers or directors own public shares, provided that each of their status as a “public stockholder” shall only exist with respect to their public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17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amended and restated certificate of incorporation requires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right="120"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August 3, 2025, (b) in which we have total annual gross revenue of at least $1.07 billion, or (c) in which we are deemed to be a large accelerated filer, which means the market value of our Class A common stock and our Class B common stock (collectively, our “common stock”) that is held by non-affiliates exceeds $700 million as of the end of the prior fiscal year’s second fiscal quarter; and (2) the date on which we have issued more than $1.00 billion in non-convertible debt during the prior three-year period. References herein to “emerging growth company” shall have the meaning associated with it in the JOBS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With funds available for a business combination in the amount of approximately $1,997,550,000 as of December 31, 2020, assuming no redemptions and after payment of up to $72,450,000 of deferred underwriting fees,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84" w:lineRule="exact"/>
        <w:rPr>
          <w:sz w:val="20"/>
          <w:szCs w:val="20"/>
          <w:color w:val="auto"/>
        </w:rPr>
      </w:pPr>
    </w:p>
    <w:p>
      <w:pPr>
        <w:ind w:left="980" w:right="1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highly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 w:name="page12"/>
    <w:bookmarkEnd w:id="11"/>
    <w:p>
      <w:pPr>
        <w:ind w:right="60" w:firstLine="648"/>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common stock upon the completion of our initial business combination at a per share price, payable in cash, equal to the aggregate amount then on deposit in the trust account as of two business days prior to the consummation of the initial business combination, including interest (net of permitted withdrawals), divided by the number of then outstanding public shares, subject to the limitations described herein. At completion of the business combination, we will be required to purchase any public shares properly delivered for redemption and not withdrawn. The amount in the trust account as of the closing of the IPO was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(the “letter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Manner of conducting redemptions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(1) in connection with a stockholder meeting called to approve the business combination; or (2)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If we structure a business combination transaction with a target company in a manner that requires stockholder approval, we will not have discretion as to whether to seek a stockholder vote to approve the proposed business combination.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18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reasons, we will, pursuant to our amended and restated certificate of incorporation:</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jc w:val="both"/>
        <w:ind w:left="980" w:right="160" w:hanging="324"/>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140" w:firstLine="648"/>
        <w:spacing w:after="0" w:line="263" w:lineRule="auto"/>
        <w:rPr>
          <w:sz w:val="20"/>
          <w:szCs w:val="20"/>
          <w:color w:val="auto"/>
        </w:rPr>
      </w:pPr>
      <w:r>
        <w:rPr>
          <w:rFonts w:ascii="Arial" w:cs="Arial" w:eastAsia="Arial" w:hAnsi="Arial"/>
          <w:sz w:val="18"/>
          <w:szCs w:val="18"/>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18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such initial business combination.</w:t>
      </w:r>
    </w:p>
    <w:p>
      <w:pPr>
        <w:spacing w:after="0" w:line="166"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If, however, stockholder approval of the transaction is required by applicable law or stock exchange listing requirement, or we decide to obtain stockholder approval for business or other reasons, we will, pursuant to our amended and restated certificate of incorporation:</w:t>
      </w:r>
    </w:p>
    <w:p>
      <w:pPr>
        <w:spacing w:after="0" w:line="146" w:lineRule="exact"/>
        <w:rPr>
          <w:sz w:val="20"/>
          <w:szCs w:val="20"/>
          <w:color w:val="auto"/>
        </w:rPr>
      </w:pPr>
    </w:p>
    <w:p>
      <w:pPr>
        <w:ind w:left="980" w:right="5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expect that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stockholder vote even if we are not able to maintain our NYSE listing or Exchange Act registration.</w:t>
      </w:r>
    </w:p>
    <w:p>
      <w:pPr>
        <w:spacing w:after="0" w:line="18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officers and directors will count towards this quorum and have agreed to vote any founder shares and any public shares held by them in favor of our initial business combination. These quorum and voting thresholds and agreements, may make it more likely that we will consummate our initial business combination. Each public stockholder may elect to redeem its public shares without voting, and if they do vote, irrespective of whether they vote for or against the proposed transaction. In addition, our sponsor, officers and directors have entered into a letter agreement with us, pursuant to which they have agreed to waive their redemption rights with respect to any founder shares and any public shares held by them in connection with the completion of a business combination.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firstLine="648"/>
        <w:spacing w:after="0" w:line="289" w:lineRule="auto"/>
        <w:rPr>
          <w:sz w:val="20"/>
          <w:szCs w:val="20"/>
          <w:color w:val="auto"/>
        </w:rPr>
      </w:pPr>
      <w:r>
        <w:rPr>
          <w:rFonts w:ascii="Arial" w:cs="Arial" w:eastAsia="Arial" w:hAnsi="Arial"/>
          <w:sz w:val="16"/>
          <w:szCs w:val="16"/>
          <w:color w:val="auto"/>
        </w:rPr>
        <w:t>Our amended and restated certificate of incorporation provides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Class A common stock submitted for redemption will be returned to the holders thereof.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 on redemption upon completion of our initial business combination if we seek stockholder approval</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the IPO, without our prior consent, which we refer to as the “Excess Shares.” We believe this restriction will discourage stockholders from accumulating large blocks of shares, and subsequent attempts by such holders to use their ability to exercise their redemption rights against a proposed business combination as a means to force us or our affiliates to purchase their shares at a significant premium to the then-current market price or on other undesirable terms. Absent this provision, a public stockholder holding more than an aggregate of 15% of the shares sold in the IPO could threaten to exercise its redemption rights if such holder’s shares are not purchased by us or our sponsor or our affiliates at a premium to the then-current market price or on other undesirable terms. By limiting our stockholders’ ability to redeem no more than 15% of the shares sold in the IPO,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Tendering stock certificates in connection with a tender offer or redemption rights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the business combination in the event we distribute proxy materials or to deliver their shares to the transfer agent electronically using The Depository Trust Company’s DWAC (Deposit/Withdrawal At Custodian) System, rather than simply voting against the initial business combination at the holder’s option. The tender offer or proxy materials, as applicable, that we will furnish to holders of our public shares in connection with our initial business combination will indicate whether we are requiring public stockholders to satisfy such delivery requirements, which will include the requirement that any beneficial owner on whose behalf a redemption right is being exercised must identify itself in order to validly redeem its shares. Accordingly, a public stockholder would have from the time we send out our tender offer materials until the close of the tender offer period, or up to two business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stockholder vote,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Given the relatively short exercise period, it is advisable for stockholders to use electronic delivery of their public shares.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Depository Trust Company’s DWAC (Deposit/ Withdrawal At Custodian)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 w:name="page15"/>
    <w:bookmarkEnd w:id="14"/>
    <w:p>
      <w:pPr>
        <w:ind w:firstLine="648"/>
        <w:spacing w:after="0" w:line="288"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stockholder to arrange for him or her to deliver his or her certificate to verify ownership. As a result, the stockholder then had an “option window” after the completion of the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16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the end of the completion window.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Redemption of Public Shares and Liquidation if no Initial Business Combination</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amended and restated certificate of incorporation provides that we will have until August 3, 2022, the date that is 24 months from the closing of the IPO, to complete our initial business combination (the period from the closing of the IPO until August 3, 2022, the “completion window”). If we are unable to complete our initial business combination within such period,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completion window.</w:t>
      </w:r>
    </w:p>
    <w:p>
      <w:pPr>
        <w:spacing w:after="0" w:line="182"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 window. However, if our sponsor or any of our officers and directors acquires public shares after the IPO, it will be entitled to liquidating distributions from the trust account with respect to such public shares if we fail to complete our initial business combination within the completion window.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648"/>
        <w:spacing w:after="0" w:line="254"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 share price, payable in cash, equal to the aggregate amount then on deposit in the trust account, including interest (net of permitted withdrawals), divided by the number of then outstanding public shares. However, we may not redeem our public shares in an amount that would cause our net tangible assets, after payment of the deferred underwriting commissions, to be less than $5,000,001 (so that we do not then become subject to the SEC’s “penny stock” rules).</w:t>
      </w:r>
    </w:p>
    <w:p>
      <w:pPr>
        <w:spacing w:after="0" w:line="19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8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If we were to expend all of the net proceeds of the IPO and the sale of the private placement warrants, other than the proceeds deposited in the trust account, and without taking into account interest, if any, earned on the trust account and any tax payments or expenses for the dissolution of the trust, the per share redemption amount received by stockholders upon our dissolution would be $10.00. The proceeds deposited in the trust account could, however, become subject to the claims of our creditors which would have higher priority than the claims of our public stockholders. We cannot assure you that the actual per share redemption amount received by stockholders will not be substantially less than $10.00. Please see “Item 1A. Risk Factors —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third parties bring claims against us, the proceeds held in the trust account could be reduced and the per share redemption amount received by stockholders may be less than $10.00 per share</w:t>
      </w:r>
      <w:r>
        <w:rPr>
          <w:rFonts w:ascii="Arial" w:cs="Arial" w:eastAsia="Arial" w:hAnsi="Arial"/>
          <w:sz w:val="16"/>
          <w:szCs w:val="16"/>
          <w:color w:val="auto"/>
        </w:rPr>
        <w:t>” and other risk factors included herein. Under Section 281(b) of the DGCL, our plan of dissolution must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6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or not such waiver is enforceable) and except as to any claims under our indemnity of the underwriters of the IPO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 w:name="page17"/>
    <w:bookmarkEnd w:id="16"/>
    <w:p>
      <w:pPr>
        <w:ind w:right="80" w:firstLine="648"/>
        <w:spacing w:after="0" w:line="269" w:lineRule="auto"/>
        <w:rPr>
          <w:sz w:val="20"/>
          <w:szCs w:val="20"/>
          <w:color w:val="auto"/>
        </w:rPr>
      </w:pPr>
      <w:r>
        <w:rPr>
          <w:rFonts w:ascii="Arial" w:cs="Arial" w:eastAsia="Arial" w:hAnsi="Arial"/>
          <w:sz w:val="17"/>
          <w:szCs w:val="17"/>
          <w:color w:val="auto"/>
        </w:rPr>
        <w:t xml:space="preserve">In the event that the proceeds in the trust account are reduced below: (1) $10.00 per public share; or (2) the actual amount per public share held in the trust account as of the date of the liquidation of the trust account, if less than $10.00 per share due to reductions in the value of the trust assets, in each case net of permitted withdrawals,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Accordingly, we cannot assure you that due to claims of creditors the actual value of the per share redemption price will not be substantially less than $10.00 per share. Please see “Item 1A. Risk Factors — </w:t>
      </w:r>
      <w:r>
        <w:rPr>
          <w:rFonts w:ascii="Arial" w:cs="Arial" w:eastAsia="Arial" w:hAnsi="Arial"/>
          <w:sz w:val="17"/>
          <w:szCs w:val="17"/>
          <w:i w:val="1"/>
          <w:iCs w:val="1"/>
          <w:color w:val="auto"/>
        </w:rPr>
        <w:t>If third parties bring</w:t>
      </w:r>
      <w:r>
        <w:rPr>
          <w:rFonts w:ascii="Arial" w:cs="Arial" w:eastAsia="Arial" w:hAnsi="Arial"/>
          <w:sz w:val="17"/>
          <w:szCs w:val="17"/>
          <w:color w:val="auto"/>
        </w:rPr>
        <w:t xml:space="preserve"> </w:t>
      </w:r>
      <w:r>
        <w:rPr>
          <w:rFonts w:ascii="Arial" w:cs="Arial" w:eastAsia="Arial" w:hAnsi="Arial"/>
          <w:sz w:val="17"/>
          <w:szCs w:val="17"/>
          <w:i w:val="1"/>
          <w:iCs w:val="1"/>
          <w:color w:val="auto"/>
        </w:rPr>
        <w:t>claims against us, the proceeds held in the trust account could be reduced and the per share redemption amount received by stockholders may be less than $10.00 per share</w:t>
      </w:r>
      <w:r>
        <w:rPr>
          <w:rFonts w:ascii="Arial" w:cs="Arial" w:eastAsia="Arial" w:hAnsi="Arial"/>
          <w:sz w:val="17"/>
          <w:szCs w:val="17"/>
          <w:color w:val="auto"/>
        </w:rPr>
        <w:t>” and other risk factors included herein.</w:t>
      </w:r>
    </w:p>
    <w:p>
      <w:pPr>
        <w:spacing w:after="0" w:line="18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the IPO against certain liabilities, including liabilities under the Securities Act. As of December 31, 2020, we had access to approximately $2,070,086,006 in the trust account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ind w:firstLine="648"/>
        <w:spacing w:after="0" w:line="268"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the completion window,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July 1, 2021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8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a result of this obligation, the claims that could be made against us are significantly limited and the likelihood that any claim that would result in any liability extending to the trust account is remote.</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Further, our sponsor may be liable only to the extent necessary to ensure that the amounts in the trust account are not reduced below: (1) $10.00 per public share; or (2) the actual amount per public share held in the trust account as of the date of the liquidation of the trust account, if less than $10.00 per share due to reductions in value of the trust assets, in each case net of permitted withdrawals and will not be liable as to any claims under our indemnity of the underwriters of the IPO against certain liabilities, including liabilities under the Securities Act.</w:t>
      </w:r>
    </w:p>
    <w:p>
      <w:pPr>
        <w:spacing w:after="0" w:line="17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 Please see “Item 1A. Risk Factors — </w:t>
      </w:r>
      <w:r>
        <w:rPr>
          <w:rFonts w:ascii="Arial" w:cs="Arial" w:eastAsia="Arial" w:hAnsi="Arial"/>
          <w:sz w:val="16"/>
          <w:szCs w:val="16"/>
          <w:i w:val="1"/>
          <w:iCs w:val="1"/>
          <w:color w:val="auto"/>
        </w:rPr>
        <w:t>If, after we distribute the proceeds in the trust account to our</w:t>
      </w:r>
      <w:r>
        <w:rPr>
          <w:rFonts w:ascii="Arial" w:cs="Arial" w:eastAsia="Arial" w:hAnsi="Arial"/>
          <w:sz w:val="16"/>
          <w:szCs w:val="16"/>
          <w:color w:val="auto"/>
        </w:rPr>
        <w:t xml:space="preserve"> </w:t>
      </w:r>
      <w:r>
        <w:rPr>
          <w:rFonts w:ascii="Arial" w:cs="Arial" w:eastAsia="Arial" w:hAnsi="Arial"/>
          <w:sz w:val="16"/>
          <w:szCs w:val="16"/>
          <w:i w:val="1"/>
          <w:iCs w:val="1"/>
          <w:color w:val="auto"/>
        </w:rPr>
        <w:t>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r>
        <w:rPr>
          <w:rFonts w:ascii="Arial" w:cs="Arial" w:eastAsia="Arial" w:hAnsi="Arial"/>
          <w:sz w:val="16"/>
          <w:szCs w:val="16"/>
          <w:color w:val="auto"/>
        </w:rPr>
        <w:t>”</w:t>
      </w:r>
    </w:p>
    <w:p>
      <w:pPr>
        <w:spacing w:after="0" w:line="16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public stockholders will be entitled to receive funds from the trust account only in the event of the redemption of our public shares if we do not complete our initial business combination within the completion window or if they redeem their respective shares for cash upon the completion of the initial business combination. In no other circumstances will a stockholder have any right or interest of any kind to or in the trust account. In the event we seek stockholder approval in connection with our initial business combination, a stockholder’s voting in connection with our initial business combination alone will not result in a stockholder’s redeeming its shares to us for an applicable pro rata share of the trust account. Such stockholder must have also exercised its redemption rights described above.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i w:val="1"/>
          <w:iCs w:val="1"/>
          <w:color w:val="auto"/>
        </w:rPr>
        <w:t>Amended and Restated Certificate of Incorporation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relating to the IPO that will apply to us until the consummation of our initial business combination. If we seek to amend any provisions of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or with respect to any other material provisions relating to the rights of holders of our Class A Common Stock or pre-initial business combination business activity, we will provide public stockholders with the opportunity to redeem their public shares in connection with any such vote. Our initial stockholders, officers and directors have agreed to waive any redemption rights with respect to any founder shares and any public shares held by them in connection with the completion of our initial business combination. Specifically, our amended and restated certificate of incorporation provides, among other things, that:</w:t>
      </w:r>
    </w:p>
    <w:p>
      <w:pPr>
        <w:spacing w:after="0" w:line="165" w:lineRule="exact"/>
        <w:rPr>
          <w:sz w:val="20"/>
          <w:szCs w:val="20"/>
          <w:color w:val="auto"/>
        </w:rPr>
      </w:pPr>
    </w:p>
    <w:p>
      <w:pPr>
        <w:ind w:left="980" w:right="60" w:hanging="324"/>
        <w:spacing w:after="0" w:line="271"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stockholders may seek to redeem their shares, regardless of whether they vote for, against, or abstain from voting on, the proposed business combination, into their pro rata share of the aggregate amount on deposit in the trust account as of two business days prior to the consummation of our initial business combination, including interest (net of permitted withdrawals); or (2) provide our public stockholders with the opportunity to tender their shares to us by means of a tender offer (and thereby avoid the need for a stockholder vote) for an amount equal to their pro rata share of the aggregate amount on deposit in the trust account as of two business days prior to the consummation of our initial business combination, including interest (net of permitted withdrawals), in each case subject to the limitations described herein;</w:t>
      </w:r>
    </w:p>
    <w:p>
      <w:pPr>
        <w:spacing w:after="0" w:line="178" w:lineRule="exact"/>
        <w:rPr>
          <w:rFonts w:ascii="Arial" w:cs="Arial" w:eastAsia="Arial" w:hAnsi="Arial"/>
          <w:sz w:val="17"/>
          <w:szCs w:val="17"/>
          <w:color w:val="auto"/>
        </w:rPr>
      </w:pPr>
    </w:p>
    <w:p>
      <w:pPr>
        <w:ind w:left="980" w:right="80" w:hanging="324"/>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upon such consummation and, solely if we seek stockholder approval, a majority of the outstanding shares of common stock voted are voted in favor of the business combination at a duly held stockholders meeting;</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the completion window, then our existence will terminate and we will distribute all amounts in the trust account;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(1) receive funds from the trust account or (2) vote on any initial business combination.</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provisions cannot be amended without the approval of holders of 65% of our common stock. In the event we seek stockholder approval in connection with our initial business combination, our amended and restated certificate of incorporation provides that, unless otherwise required by applicable law or stock exchange rules, we may consummate our initial business combination only if approved by a majority of the shares of common stock voted by our stockholders at a duly held stockholders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Potential Conflicts of Interest Relating to M. Klein and Company and Our Officers and Directors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sponsor is an affiliate of M. Klein and Company, LLC (together with its affiliates “M. Klein and Company”). Michael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 and after he has satisfied his contractual and fiduciary obligations to other parties. As a result, M. Klein and Company’s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M. Klein and Company, including by Mr. Klein and other persons who may make decisions for the company, may be suitable both for us and for M. Klein and Company or any of its clients, and will be directed initially to such persons rather than to us. None of Mr. Klein, M. Klein and Company or members of our management team who are also employed by M. Klein and Company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firstLine="648"/>
        <w:spacing w:after="0" w:line="269" w:lineRule="auto"/>
        <w:rPr>
          <w:sz w:val="20"/>
          <w:szCs w:val="20"/>
          <w:color w:val="auto"/>
        </w:rPr>
      </w:pPr>
      <w:r>
        <w:rPr>
          <w:rFonts w:ascii="Arial" w:cs="Arial" w:eastAsia="Arial" w:hAnsi="Arial"/>
          <w:sz w:val="17"/>
          <w:szCs w:val="17"/>
          <w:color w:val="auto"/>
        </w:rPr>
        <w:t>In addition, Mr. Klein and M. Klein and Company may sponsor or form other blank check companies similar to ours during the period in which we are seeking an initial business combination. Any such companies may present additional conflicts of interest in pursuing an acquisition target. In particular, M. Klein and Company, Mr. Klein and the Operating Partners as well as out board of directors, have formed and are actively engaged in Churchill Capital Corp II, Churchill Capital Corp V, Churchill Capital Corp VI and Churchill Capital Corp VII, special purpose acquisition corporations that completed their initial public offerings in July 2019, December 2020, February 2021 and February 2021, respectively. Churchill Capital Corp II, Churchill Capital Corp V, Churchill Capital Corp VI and Churchill Capital Corp VII, like us, may pursue initial business combination targets in any businesses or industries and have until July 1, 2021, December 18, 2022, February 17, 2023 and February 17, 2023, respectively, to do so (absent an extension in accordance with their charters). Any such companies, including Churchill Capital Corp II, Churchill Capital Corp V, Churchill Capital Corp VI and Churchill Capital Corp VII may present additional conflicts of interest in pursuing an acquisition target. M. Klein and Company, Mr. Klein and the Operating Partners are also actively engaged in AltC Acquisition Corp., a special purpose acquisition corporation that is in the process of completing its initial public offering as of the date of this filing and may present additional conflicts of interest in pursuing an acquisition target.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Mr. Taragin, our Chief Financial Officer, is Chief Financial Officer of M. Klein and Company.</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Additionally, the engagement of M. Klein and Company, or another affiliate of our sponsor, as our lead financial advisor in connection with our initial business combination may present certain conflicts of interest. See “Item 1A. Risk Factors — </w:t>
      </w:r>
      <w:r>
        <w:rPr>
          <w:rFonts w:ascii="Arial" w:cs="Arial" w:eastAsia="Arial" w:hAnsi="Arial"/>
          <w:sz w:val="18"/>
          <w:szCs w:val="18"/>
          <w:i w:val="1"/>
          <w:iCs w:val="1"/>
          <w:color w:val="auto"/>
        </w:rPr>
        <w:t>We may engage an affiliate of our sponsor who may be</w:t>
      </w:r>
      <w:r>
        <w:rPr>
          <w:rFonts w:ascii="Arial" w:cs="Arial" w:eastAsia="Arial" w:hAnsi="Arial"/>
          <w:sz w:val="18"/>
          <w:szCs w:val="18"/>
          <w:color w:val="auto"/>
        </w:rPr>
        <w:t xml:space="preserve"> </w:t>
      </w:r>
      <w:r>
        <w:rPr>
          <w:rFonts w:ascii="Arial" w:cs="Arial" w:eastAsia="Arial" w:hAnsi="Arial"/>
          <w:sz w:val="18"/>
          <w:szCs w:val="18"/>
          <w:i w:val="1"/>
          <w:iCs w:val="1"/>
          <w:color w:val="auto"/>
        </w:rPr>
        <w:t>entitled to earn an advisory fee upon the completion of an initial business combination. Its financial interest in the completion of the business combination may influence the advice it provides the Company</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can be no assurance that these or other conflicts of interest with the potential for adverse effects on the Company and investors will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arise.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Our Access to Investment Opportunities Sourced by M. Klein and Company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 Klein and Company may compete with us for acquisition opportunities that we may target for our initial business combination. If M. Klein and Company decides to pursue any such opportunity or determines in its sole discretion not to offer such opportunity to us, we may be precluded from procuring such opportunities. In addition, investment ideas generated within M. Klein and Company or by persons who may make decisions for us may be suitable for both us and for M. Klein and Company may be directed to M. Klein and Company or other third parties rather than to us. M. Klein and Company does not have any fiduciary, contractual or other obligations or duties to our company, including, without limitation, to present us with any opportunity for a potential business combination of which they become aware.</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Our management team, in their other endeavors (including any affiliation they may have with M. Klein and Company), may choose or be required to present potential business combinations or other transactions to M. Klein and Company or third parties, before they present such opportunities to us. Please see “Item 1A. Risk Factors — </w:t>
      </w:r>
      <w:r>
        <w:rPr>
          <w:rFonts w:ascii="Arial" w:cs="Arial" w:eastAsia="Arial" w:hAnsi="Arial"/>
          <w:sz w:val="18"/>
          <w:szCs w:val="18"/>
          <w:i w:val="1"/>
          <w:iCs w:val="1"/>
          <w:color w:val="auto"/>
        </w:rPr>
        <w:t>Certain of our officers and directors are now, and all of them may in the future become, affiliated with entities</w:t>
      </w:r>
      <w:r>
        <w:rPr>
          <w:rFonts w:ascii="Arial" w:cs="Arial" w:eastAsia="Arial" w:hAnsi="Arial"/>
          <w:sz w:val="18"/>
          <w:szCs w:val="18"/>
          <w:color w:val="auto"/>
        </w:rPr>
        <w:t xml:space="preserve"> </w:t>
      </w:r>
      <w:r>
        <w:rPr>
          <w:rFonts w:ascii="Arial" w:cs="Arial" w:eastAsia="Arial" w:hAnsi="Arial"/>
          <w:sz w:val="18"/>
          <w:szCs w:val="18"/>
          <w:i w:val="1"/>
          <w:iCs w:val="1"/>
          <w:color w:val="auto"/>
        </w:rPr>
        <w:t>engaged in business activities similar to those intended to be conducted by us and, accordingly, may have conflicts of interest in determining to which entity a particular business opportunity or other transaction should be presented.</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i w:val="1"/>
          <w:iCs w:val="1"/>
          <w:color w:val="auto"/>
        </w:rPr>
        <w:t>Sponsor Indemnity</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sponsor, an affiliate of M. Klein and Company,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or not any such waiver is enforceable) and except as to any claims under our indemnity of the underwriters of the IPO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We believe the likelihood of our sponsor having to indemnify the trust account is limited because we will endeavor to have all vendors and prospective target businesses as well as other entities execute agreements with us waiving any right, title, interest or claim of any kind in or to monies held in the trust account.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Regarding Our Proposed Initial Business Combination</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will file a registration statement on Form S-4 with the SEC, which includes a proxy statement and a prospectus, and we will file other documents regarding the Transactions. The definitive proxy statement/prospectus will also be sent to our stockholders and Lucid’s stockholders, seeking any required stockholder approvals. We urge you to carefully read the entire registration statement and proxy statement/prospectus and any other relevant documents filed with the SEC, including any amendments or supplements to these documents, because they contain important information about the proposed transactions, including detailed descriptions of the Transactions and a discussion of historical information and risks relating to the Transactions. The documents filed by us with the SEC may be obtained free of charge at the SEC’s website at www.sec.gov.</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as specifically discussed, this report does not assume the closing of the Transactions described above.</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units, Class A common stock and warrants are registered under the Exchange Act and we have reporting obligations, including the requirement that we file annual, quarterly and current reports with the SEC. The SEC’s internet site (http://www.sec.gov) contains such reports, proxy and information statements and other information regarding issuers that file electronically with the SEC. In accordance with the requirements of the Exchange Act, our annual reports contain financial statements audited and reported on by our independent registered public accounting firm.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We currently maintain our executive offices at 640 Fifth Avenue, 12th Floor, New York, NY 10019. The cost for this space is included in the $50,000 per month fee that we are paying an affiliate of our sponsor for office space, administrative and support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currently have two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to our company will vary based on whether a target business has been selected for our initial business combination and the current stage of the business combination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Our units, Class A common stock and warrants are registered under the Exchange Act and we have reporting obligations, including the requirement that we file annual, quarterly and current reports with the SEC. The SEC maintains an internet 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that contains such reports, proxy and information statements and other information regarding issuers that file electronically with the SEC. In accordance with the requirements of the Exchange Act, our annual reports contain financial statements audited and reported on by our independent registered public accounting firm.</w:t>
      </w:r>
    </w:p>
    <w:p>
      <w:pPr>
        <w:spacing w:after="0" w:line="157"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We will provide stockholders with audited financial statements of the prospective target business as part of the tender offer materials or proxy solicitation materials sent to shareholders to assist them in assessing the target business. These financial statements may be required to be prepared in accordance with, or be reconciled to United States generally accepted accounting principles (“GAAP”) or international financial reporting standards as promulgated by the international accounting standards board (“IFRS”), depending on the circumstances and the historical financial statements may be required to be audited in accordance with the standards of the Public Company Accounting Oversight Board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right="120" w:firstLine="648"/>
        <w:spacing w:after="0" w:line="257" w:lineRule="auto"/>
        <w:rPr>
          <w:sz w:val="20"/>
          <w:szCs w:val="20"/>
          <w:color w:val="auto"/>
        </w:rPr>
      </w:pPr>
      <w:r>
        <w:rPr>
          <w:rFonts w:ascii="Arial" w:cs="Arial" w:eastAsia="Arial" w:hAnsi="Arial"/>
          <w:sz w:val="18"/>
          <w:szCs w:val="18"/>
          <w:color w:val="auto"/>
        </w:rPr>
        <w:t>We will be required to evaluate our internal control procedures for the fiscal year ended December 31, 2020 as required by the Sarbanes-Oxley Act. Only in the event we are deemed to be a large accelerated filer or an accelerated filer and no longer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August 3, 2025,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$1.00 billion in non-convertible debt during the prior three-year period. References herein to “emerging growth company” shall have the meaning associated with it in the JOBS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March 3, 2021, Richard Hofman, a purported stockholder of us, filed a complaint, individually and on behalf of other of our stockholders, in the Superior Court of the State of California against us, Lucid, and other unnamed defendants. The complaint alleges claims for fraud, negligent misrepresentation, and false advertising and unfair business practices in connection with allegedly false and misleading statements and omissions in our public filings, concerning the proposed merger between us and Lucid. The complaint seeks injunctive relief, as well as compensatory and punitive damages. On March 8, 2021, plaintiff filed an ex parte application for a temporary restraining order and preliminary injunction, which the Company opposed and the court denied on March 10, 2021.</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i w:val="1"/>
          <w:iCs w:val="1"/>
          <w:color w:val="auto"/>
        </w:rPr>
        <w:t>An investment in our securities involves a high degree of risk. You should consider carefully all of the risks described below, together with the other information contained in this annual report, the prospectus associated with our IPO and the registration statement of which such prospectus forms a part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Our business is subject to numerous risks and uncertainties. These risks include, but are not limited to, risks associated with:</w:t>
      </w:r>
    </w:p>
    <w:p>
      <w:pPr>
        <w:spacing w:after="0" w:line="225" w:lineRule="exact"/>
        <w:rPr>
          <w:sz w:val="20"/>
          <w:szCs w:val="20"/>
          <w:color w:val="auto"/>
        </w:rPr>
      </w:pPr>
    </w:p>
    <w:p>
      <w:pPr>
        <w:ind w:left="5540" w:right="4460" w:hanging="4884"/>
        <w:spacing w:after="0" w:line="778" w:lineRule="auto"/>
        <w:tabs>
          <w:tab w:leader="none" w:pos="986"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 xml:space="preserve">being a newly incorporated company with no operating history and no revenues; </w:t>
      </w:r>
      <w:r>
        <w:rPr>
          <w:rFonts w:ascii="Arial" w:cs="Arial" w:eastAsia="Arial" w:hAnsi="Arial"/>
          <w:sz w:val="18"/>
          <w:szCs w:val="18"/>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324" w:hanging="324"/>
        <w:spacing w:after="0"/>
        <w:tabs>
          <w:tab w:leader="none" w:pos="324" w:val="left"/>
        </w:tabs>
        <w:numPr>
          <w:ilvl w:val="0"/>
          <w:numId w:val="14"/>
        </w:numPr>
        <w:rPr>
          <w:rFonts w:ascii="Arial" w:cs="Arial" w:eastAsia="Arial" w:hAnsi="Arial"/>
          <w:sz w:val="16"/>
          <w:szCs w:val="16"/>
          <w:color w:val="auto"/>
        </w:rPr>
      </w:pPr>
      <w:r>
        <w:rPr>
          <w:rFonts w:ascii="Arial" w:cs="Arial" w:eastAsia="Arial" w:hAnsi="Arial"/>
          <w:sz w:val="16"/>
          <w:szCs w:val="16"/>
          <w:color w:val="231F20"/>
        </w:rPr>
        <w:t>our ability to complete our initial business combination, including risks arising from the uncertainty resulting from the COVID-19 pandemic;</w:t>
      </w:r>
    </w:p>
    <w:p>
      <w:pPr>
        <w:spacing w:after="0" w:line="248" w:lineRule="exact"/>
        <w:rPr>
          <w:rFonts w:ascii="Arial" w:cs="Arial" w:eastAsia="Arial" w:hAnsi="Arial"/>
          <w:sz w:val="16"/>
          <w:szCs w:val="16"/>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public shareholders’ ability to exercise redemption rights;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requirement that we complete our initial business combination within the completion window;</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possibility that NYSE may delist our securities from trading on its exchange;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being declared an investment company under the Investment Company Act;</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complying with changing laws and regulations;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performance of the prospective target business or businesses;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ability to select an appropriate target business or businesses;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pool of prospective target businesses available to us and the ability of our officers and directors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to generate a number of potential business combination opportunities;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6"/>
          <w:szCs w:val="16"/>
          <w:color w:val="auto"/>
        </w:rPr>
      </w:pPr>
      <w:r>
        <w:rPr>
          <w:rFonts w:ascii="Arial" w:cs="Arial" w:eastAsia="Arial" w:hAnsi="Arial"/>
          <w:sz w:val="16"/>
          <w:szCs w:val="16"/>
          <w:color w:val="231F20"/>
        </w:rPr>
        <w:t>the issuance of additional Class A common stock in connection with a business combination that may dilute the interest of our shareholders;</w:t>
      </w:r>
    </w:p>
    <w:p>
      <w:pPr>
        <w:spacing w:after="0" w:line="248" w:lineRule="exact"/>
        <w:rPr>
          <w:rFonts w:ascii="Arial" w:cs="Arial" w:eastAsia="Arial" w:hAnsi="Arial"/>
          <w:sz w:val="16"/>
          <w:szCs w:val="16"/>
          <w:color w:val="auto"/>
        </w:rPr>
      </w:pPr>
    </w:p>
    <w:p>
      <w:pPr>
        <w:ind w:left="324" w:right="360" w:hanging="324"/>
        <w:spacing w:after="0" w:line="277"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incentives to our sponsor, officers and directors to complete a business combination to avoid losing their entire investment in us if our initial business combination is not completed;</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officers and directors allocating their time to other businesses and potentially having conflicts of interest with our business or in approving our initial business combination;</w:t>
      </w:r>
    </w:p>
    <w:p>
      <w:pPr>
        <w:spacing w:after="0" w:line="170" w:lineRule="exact"/>
        <w:rPr>
          <w:rFonts w:ascii="Arial" w:cs="Arial" w:eastAsia="Arial" w:hAnsi="Arial"/>
          <w:sz w:val="18"/>
          <w:szCs w:val="18"/>
          <w:color w:val="auto"/>
        </w:rPr>
      </w:pPr>
    </w:p>
    <w:p>
      <w:pPr>
        <w:ind w:left="324" w:right="820" w:hanging="324"/>
        <w:spacing w:after="0" w:line="277"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ability to obtain additional financing to complete our initial business combination;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ability to amend the terms of warrants in a manner that may be adverse to the holders of public warrants;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ability to redeem your unexpired warrants prior to their exercise;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public securities’ potential liquidity and trading; and</w:t>
      </w:r>
    </w:p>
    <w:p>
      <w:pPr>
        <w:spacing w:after="0" w:line="225" w:lineRule="exact"/>
        <w:rPr>
          <w:rFonts w:ascii="Arial" w:cs="Arial" w:eastAsia="Arial" w:hAnsi="Arial"/>
          <w:sz w:val="18"/>
          <w:szCs w:val="18"/>
          <w:color w:val="auto"/>
        </w:rPr>
      </w:pPr>
    </w:p>
    <w:p>
      <w:pPr>
        <w:ind w:left="324" w:right="220" w:hanging="324"/>
        <w:spacing w:after="0" w:line="277"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provisions in our amended and restated certificate of incorporation and Delaware law that may have the effect of inhibiting a takeover of us and discouraging lawsuits against our directors and officers.</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Relating to Our Search for, and Consummation of or Inability to Consummate, an Initial Business Combination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231F20"/>
        </w:rPr>
        <w:t>We may not hold a stockholder vote to approve our initial business combination unless the business combination would require stockholder approval under applicable law or stock exchange listing requirements or if we decide to hold a stockholder vote for business or other reasons. For instance, the NYSE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However, except as required by applicable law or stock exchange rules,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consummate our initial business combination even if holders of a majority of our outstanding public shares do not approve of the business combination we consummate. Please see “Proposed Business — Stockholders may not have the ability to approve our initial business combination” for additional information.</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initial stockholders, officers and directors have agreed (and their permitted transferees will agree) to vote any founder shares and any public shares held by them in favor of our initial business combination. As a result, in addition to our initial stockholders’ founder shares, we would need 77,625,001, or 37.5%, of the 207,000,000 public shares sold in the IPO to be voted in favor of a transaction (assuming all issued and outstanding shares are voted) in order to have such initial business combination approved. We expect that our initial stockholders and their permitted transferees will own at least 20% of our outstanding shares of common stock at the time of any such stockholder vote. Accordingly, if we seek stockholder approval of our initial business combination, it is more likely that the necessary stockholder approval will be received than would be the case if our initial stockholders and their permitted transferees agreed to vote their founder shares in accordance with the majority of the votes cast by our public stockholders.</w:t>
      </w:r>
    </w:p>
    <w:p>
      <w:pPr>
        <w:spacing w:after="0" w:line="16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such business combination.</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231F20"/>
        </w:rPr>
        <w:t>At the time of your investment in us, you will not be provided with an opportunity to evaluate the specific merits or risks of any target businesses. Additionally, since our board of directors may complete a business combination without seeking stockholder approval, public stockholders may not have the right or opportunity to vote on the business combination.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231F20"/>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to be less than $5,000,001 (so that we do not then become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231F20"/>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results in the issuance of shares of Class A common stock on a greater than one-to-one basis upon conversion of the Class B common stock at the time of our initial business combination. In addition, the amount of deferred underwriting commissions payable to the underwriters is not required to be adjusted for any shares that are redeemed in connection with an initial business combination. The above considerations may limit our ability to complete the most desirable business combination available to us or optimize our capital structure.</w:t>
      </w:r>
    </w:p>
    <w:p>
      <w:pPr>
        <w:spacing w:after="0" w:line="17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231F20"/>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completion window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231F20"/>
        </w:rPr>
        <w:t>Any potential target business with which we enter into negotiations concerning a business combination will be aware that we must complete our initial business combination within the completion window.</w:t>
      </w:r>
    </w:p>
    <w:p>
      <w:pPr>
        <w:spacing w:after="0" w:line="170"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231F20"/>
        </w:rPr>
        <w:t>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5" w:name="page26"/>
    <w:bookmarkEnd w:id="25"/>
    <w:p>
      <w:pPr>
        <w:ind w:right="60"/>
        <w:spacing w:after="0" w:line="311"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completion window, in which case we would cease all operations except for the purpose of winding up and we would redeem our public shares and liquidate, in which case our public stockholders may receive only $10.00 per share, or less than such amount in certain circumstances, and our warrants will expire worthless.</w:t>
      </w:r>
    </w:p>
    <w:p>
      <w:pPr>
        <w:spacing w:after="0" w:line="14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sponsor, officers and directors have agreed that we must complete our initial business combination within the completion window.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18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(1)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receive only $10.00 per share, or less than $10.00 per share, on the redemption of their shares, and our warrants will expire worthless. Please see “</w:t>
      </w:r>
      <w:r>
        <w:rPr>
          <w:rFonts w:ascii="Arial" w:cs="Arial" w:eastAsia="Arial" w:hAnsi="Arial"/>
          <w:sz w:val="17"/>
          <w:szCs w:val="17"/>
          <w:i w:val="1"/>
          <w:iCs w:val="1"/>
          <w:color w:val="auto"/>
        </w:rPr>
        <w:t>If third parties bring claims against us, the proceeds held in the trust account could be reduced and the per share redemption amount received</w:t>
      </w:r>
      <w:r>
        <w:rPr>
          <w:rFonts w:ascii="Arial" w:cs="Arial" w:eastAsia="Arial" w:hAnsi="Arial"/>
          <w:sz w:val="17"/>
          <w:szCs w:val="17"/>
          <w:color w:val="auto"/>
        </w:rPr>
        <w:t xml:space="preserve"> </w:t>
      </w:r>
      <w:r>
        <w:rPr>
          <w:rFonts w:ascii="Arial" w:cs="Arial" w:eastAsia="Arial" w:hAnsi="Arial"/>
          <w:sz w:val="17"/>
          <w:szCs w:val="17"/>
          <w:i w:val="1"/>
          <w:iCs w:val="1"/>
          <w:color w:val="auto"/>
        </w:rPr>
        <w:t>by stockholders may be less than $10.00 per share</w:t>
      </w:r>
      <w:r>
        <w:rPr>
          <w:rFonts w:ascii="Arial" w:cs="Arial" w:eastAsia="Arial" w:hAnsi="Arial"/>
          <w:sz w:val="17"/>
          <w:szCs w:val="17"/>
          <w:color w:val="auto"/>
        </w:rPr>
        <w:t>” and other risk factors herein.</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the net proceeds of the IPO and the sale of the private placement warrants not being held in the trust account are insufficient, it could limit the amount available to fund our search for a target business or businesses and complete our initial business combination and we will depend on loans from our sponsor or management team to fund our search, to pay our taxes and to complete our initial business combination. If we are unable to obtain such loans, we may be unable to complete our initial business combination.</w:t>
      </w:r>
    </w:p>
    <w:p>
      <w:pPr>
        <w:spacing w:after="0" w:line="187" w:lineRule="exact"/>
        <w:rPr>
          <w:sz w:val="20"/>
          <w:szCs w:val="20"/>
          <w:color w:val="auto"/>
        </w:rPr>
      </w:pPr>
    </w:p>
    <w:p>
      <w:pPr>
        <w:ind w:right="40" w:firstLine="670"/>
        <w:spacing w:after="0" w:line="273" w:lineRule="auto"/>
        <w:rPr>
          <w:sz w:val="20"/>
          <w:szCs w:val="20"/>
          <w:color w:val="auto"/>
        </w:rPr>
      </w:pPr>
      <w:r>
        <w:rPr>
          <w:rFonts w:ascii="Arial" w:cs="Arial" w:eastAsia="Arial" w:hAnsi="Arial"/>
          <w:sz w:val="17"/>
          <w:szCs w:val="17"/>
          <w:color w:val="auto"/>
        </w:rPr>
        <w:t>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 $10.00 per share, or less in certain circumstances, and our warrants will expire worthless.</w:t>
      </w:r>
    </w:p>
    <w:p>
      <w:pPr>
        <w:spacing w:after="0" w:line="17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funds held in the trust account could bear a negative rate of interest, which could reduce the aggregate value of the assets held in the trust account such that the per share redemption amount received by public stockholders may be less than your anticipated per share redemption amount.</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231F20"/>
        </w:rPr>
        <w:t>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While short-term U.S. government treasury bills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not released to us, net of taxes payable. Negative interest rates could impact the per share redemption amount that may be received by public stockholders.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right="100"/>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any of their respective affiliates may elect to purchase shares or warrants from the public, which may influence a vote on a proposed business combination and reduce the public “float” of our common stock.</w:t>
      </w:r>
    </w:p>
    <w:p>
      <w:pPr>
        <w:spacing w:after="0" w:line="1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231F20"/>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Such a purchase may include a contractual acknowledgement that such public stockholder, although still the record holder of our shares is no longer the beneficial owner thereof and therefore agrees not to exercise its redemption rights.</w:t>
      </w:r>
    </w:p>
    <w:p>
      <w:pPr>
        <w:spacing w:after="0" w:line="192"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231F20"/>
        </w:rPr>
        <w:t>In the event that our sponsor, directors, officers, advisors or any of their respective affiliates purchase public shares in privately negotiated transactions from public stockholders who have already elected to exercise their redemption rights, such selling public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231F20"/>
        </w:rPr>
        <w:t>In addition, if such purchases are made, the public “float” of our Class A common stock and the number of beneficial holders of our securities may be reduced, possibly making it difficult to maintain or obtain the quotation, listing or trading of our securities on a national securities exchange.</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procedures, its shares may not be redeemed. You will not have any rights or interests in funds from the trust account, except under certain limited circumstances. To liquidate your investment, therefore, you may be forced to sell your public shares or warrants, potentially at a loss.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right="20" w:firstLine="648"/>
        <w:spacing w:after="0" w:line="287" w:lineRule="auto"/>
        <w:rPr>
          <w:sz w:val="20"/>
          <w:szCs w:val="20"/>
          <w:color w:val="auto"/>
        </w:rPr>
      </w:pPr>
      <w:r>
        <w:rPr>
          <w:rFonts w:ascii="Arial" w:cs="Arial" w:eastAsia="Arial" w:hAnsi="Arial"/>
          <w:sz w:val="16"/>
          <w:szCs w:val="16"/>
          <w:color w:val="231F20"/>
        </w:rPr>
        <w:t>Our public stockholders will be entitled to receive funds from the trust account only upon the earlier to occur of: (1) the completion of our initial business combination, and then only in connection with those shares of Class A common stock that such stockholder properly elected to redeem, subject to the limitations described herein;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and as further described herein. In addition, if we are unable to complete an initial business combination within the completion window for any reason, compliance with Delaware law may require that we submit a plan of dissolution to our then-existing stockholders for approval prior to the distribution of the proceeds held in our trust account. In that case, public stockholders may be forced to wait beyond the completion window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or less in certain circumstances, on our redemption of their stock, and our warrants will expire worthless.</w:t>
      </w:r>
    </w:p>
    <w:p>
      <w:pPr>
        <w:spacing w:after="0" w:line="14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231F20"/>
        </w:rPr>
        <w:t>We expect to encounter intense competition from other entities having a business objective similar to ours, including private investors (which may be individuals or investment partnerships), other blank check companies and other entities, domestic and international, including, without limitation, M. Klein and Company and our Strategic and Operating Partners,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the IPO and the sale of the private placement warrants,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w:t>
      </w:r>
    </w:p>
    <w:p>
      <w:pPr>
        <w:spacing w:after="0" w:line="18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231F20"/>
        </w:rPr>
        <w:t>This inherent competitive limitation gives others an advantage in pursuing the acquisition of certain target businesses. Furthermore, in the event we seek stockholder approval of our initial business combination and we are obligated to pay cash for public shares that are redeemed, it will potentially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the funds available to us outside of the trust account are insufficient to allow us to operate for at least the completion window, we may be unable to complete our initial business combination.</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231F20"/>
        </w:rPr>
        <w:t>The funds available to us outside of the trust account may not be sufficient to allow us to operate for at least the completion window, assuming that our initial business combination is not completed during that time. We expect to incur significant costs in pursuit of our acquisition plans.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firstLine="648"/>
        <w:spacing w:after="0" w:line="288" w:lineRule="auto"/>
        <w:rPr>
          <w:sz w:val="20"/>
          <w:szCs w:val="20"/>
          <w:color w:val="auto"/>
        </w:rPr>
      </w:pPr>
      <w:r>
        <w:rPr>
          <w:rFonts w:ascii="Arial" w:cs="Arial" w:eastAsia="Arial" w:hAnsi="Arial"/>
          <w:sz w:val="16"/>
          <w:szCs w:val="16"/>
          <w:color w:val="231F20"/>
        </w:rPr>
        <w:t>We believe that the funds available to us outside of the trust account, including permitted withdrawals and loans or additional investments from our sponsor, will be sufficient to allow us to operate for at least the completion window;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 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231F20"/>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8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 share redemption amount received by stockholders may be less than $10.00 per share.</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231F20"/>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completion window, or upon the exercise of a redemption right in connection with our initial business combination, we will be required to provide for payment of claims of creditors that were not waived that may be brought against us within the 10 years following redemption. Accordingly, the per share redemption amount received by public stockholders could be less than the per share amount initially held in the trust account, due to claims of such creditors.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firstLine="648"/>
        <w:spacing w:after="0" w:line="287" w:lineRule="auto"/>
        <w:rPr>
          <w:sz w:val="20"/>
          <w:szCs w:val="20"/>
          <w:color w:val="auto"/>
        </w:rPr>
      </w:pPr>
      <w:r>
        <w:rPr>
          <w:rFonts w:ascii="Arial" w:cs="Arial" w:eastAsia="Arial" w:hAnsi="Arial"/>
          <w:sz w:val="16"/>
          <w:szCs w:val="16"/>
          <w:color w:val="231F20"/>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the IPO against certain liabilities, including liabilities under the Securities Act. We have not independently verified whether our sponsor has sufficient funds to satisfy its indemnity obligations and we have not asked our sponsor to reserve for such indemnification obligations. We have not asked our sponsor to reserve for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independent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231F20"/>
        </w:rPr>
        <w:t>In the event that the proceeds in the trust account are reduced below the lesser of: (1) $10.00 per public share; or (2) the actual amount per share held in the trust account as of the date of the liquidation of the trust account, if less than $10.00 per share due to reductions in the value of the trust assets, in each case net of permitted withdrawals,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231F20"/>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 share amount that would otherwise be received by our stockholders in connection with our liquidation may be reduced.</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231F20"/>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amount that would otherwise be received by our public stockholders in connection with our liquidation would be reduced.</w:t>
      </w:r>
    </w:p>
    <w:p>
      <w:pPr>
        <w:spacing w:after="0" w:line="188" w:lineRule="exact"/>
        <w:rPr>
          <w:sz w:val="20"/>
          <w:szCs w:val="20"/>
          <w:color w:val="auto"/>
        </w:rPr>
      </w:pPr>
    </w:p>
    <w:p>
      <w:pPr>
        <w:ind w:right="880"/>
        <w:spacing w:after="0" w:line="381"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 without limitation, restrictions on the nature of our investments, and restrictions on the issuance of our securities, each of which may make it difficult for us to complete our business combination. In addition, we may have imposed upon us burdensome requirements, including, without limitation, registration as an investment company; adoption of a specific form of corporate structure; and reporting, record keeping, voting, proxy and disclosure requirements and other rules and regulations.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do not believe that our anticipated principal activities will subject us to the Investment Company Act. The proceeds held in the trust account may be invested by the trustee only in United States government treasury bills with a maturity of 180 days or less or in money market funds investing solely in United States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consummate a business combination. If we are unable to complete our initial business combination, our public stockholders may receive only approximately $10.00 per share on the liquidation of our trust account and our warrants will expire worthless.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231F20"/>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line="342" w:lineRule="auto"/>
        <w:rPr>
          <w:sz w:val="20"/>
          <w:szCs w:val="20"/>
          <w:color w:val="auto"/>
        </w:rPr>
      </w:pPr>
      <w:r>
        <w:rPr>
          <w:rFonts w:ascii="Arial" w:cs="Arial" w:eastAsia="Arial" w:hAnsi="Arial"/>
          <w:sz w:val="16"/>
          <w:szCs w:val="16"/>
          <w:b w:val="1"/>
          <w:bCs w:val="1"/>
          <w:i w:val="1"/>
          <w:iCs w:val="1"/>
          <w:color w:val="auto"/>
        </w:rPr>
        <w:t>Because we are neither limited to evaluating target businesses in a particular industry nor have we selected any specific target businesses with which to pursue our initial business combination, you will be unable to ascertain the merits or risks of any particular target business’s operations.</w:t>
      </w:r>
    </w:p>
    <w:p>
      <w:pPr>
        <w:spacing w:after="0" w:line="12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231F20"/>
        </w:rPr>
        <w:t>We may seek to complete a business combination with an operating company in any industry or sector. However,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231F20"/>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acquisition opportunities in acquisition targets that may be outside of our management’s areas of expertise.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231F20"/>
        </w:rPr>
        <w:t>We will consider a business combination in sectors which may be outside of our management’s areas of expertise if such business combination candidate is presented to us and we determine that such candidate offers an attractive acquisition opportunity for our company. In the event we elect to pursue an acquisition outside of the areas of our management’s expertise, our management’s expertise may not be directly applicable to its evaluation or operation, and the information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2" w:name="page33"/>
    <w:bookmarkEnd w:id="32"/>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intense competition and difficulties in obtaining and retaining key personnel.</w:t>
      </w:r>
    </w:p>
    <w:p>
      <w:pPr>
        <w:spacing w:after="0" w:line="184"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231F20"/>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231F20"/>
        </w:rPr>
        <w:t>Unless we complete our initial business combination with an affiliated entity, we are not required to obtain an opinion from an independent investment banking firm that is a member of FINRA or from an independent accounting firm that the price we are paying is fair to our stockholders from a financial point of view.</w:t>
      </w:r>
    </w:p>
    <w:p>
      <w:pPr>
        <w:spacing w:after="0" w:line="184"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231F20"/>
        </w:rPr>
        <w:t>In addition, if our board of directors is not able to determine the fair market value of the target business or businesses, in connection with the NYSE rules that require that an initial business combination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will obtain an opinion from an independent investment banking firm that is a member of FINRA or from an independent accounting firm with respect to the satisfaction of such criteria.</w:t>
      </w:r>
    </w:p>
    <w:p>
      <w:pPr>
        <w:spacing w:after="0" w:line="17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231F20"/>
        </w:rPr>
        <w:t>Other than the two circumstances described above, we are not required to obtain an opinion from an independent investment banking firm that is a member of FINRA or from an independent accounting firm.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71"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b w:val="1"/>
          <w:bCs w:val="1"/>
          <w:i w:val="1"/>
          <w:iCs w:val="1"/>
          <w:color w:val="auto"/>
        </w:rPr>
        <w:t>We may issue additional shares of Class A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described herein. Any such issuances would dilute the interest of our stockholders and likely present other risks.</w:t>
      </w:r>
    </w:p>
    <w:p>
      <w:pPr>
        <w:spacing w:after="0" w:line="15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amended and restated certificate of incorporation authorizes the issuance of up to 400,000,000 shares of Class A common stock, par value $0.0001 per share, and 100,000,000 shares of Class B common stock, par value $0.0001 per share and 1,000,000 shares of undesignated preferred stock, par value $0.0001 per share. There are 7,651,469 (excluding 199,348,531 shares subject to possible redemption) and 51,750,000 authorized but unissued shares of Class A and Class B common stock, respectively, available for issuance, which amount takes into account shares reserved for issuance upon exercise of outstanding warrants but not upon the conversion of the Class B common stock. Shares of Class B common stock are automatically convertible into shares of our Class A common stock at the time of our initial business combination, initially at a one-for-one ratio but subject to adjustment as set forth herein. There are no shares of preferred stock issued and outstanding.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3" w:name="page34"/>
    <w:bookmarkEnd w:id="33"/>
    <w:p>
      <w:pPr>
        <w:ind w:firstLine="648"/>
        <w:spacing w:after="0" w:line="290" w:lineRule="auto"/>
        <w:rPr>
          <w:sz w:val="20"/>
          <w:szCs w:val="20"/>
          <w:color w:val="auto"/>
        </w:rPr>
      </w:pPr>
      <w:r>
        <w:rPr>
          <w:rFonts w:ascii="Arial" w:cs="Arial" w:eastAsia="Arial" w:hAnsi="Arial"/>
          <w:sz w:val="16"/>
          <w:szCs w:val="16"/>
          <w:color w:val="auto"/>
        </w:rPr>
        <w:t>We may issue a substantial number of additional shares of Class A common stock, and may issue shares of preferred stock, in order to complete our initial business combination or under an employee incentive plan after completion of our initial business combination (although our amended and restated certificate of incorporation will provide that we may not issue additional securities that can vote on amendments to our amended and restated certificate of incorporation or on our initial business combination or that would entitle holders thereof to receive funds from the trust account). We may also issue shares upon conversion of the Class B common stock at a ratio greater than one-to-one at the time of our initial business combination as a result of the anti-dilution provisions described herein. However, our amended and restated certificate of incorporation will provide, among other things, that prior to our initial business combination, we may not issue additional shares of capital stock that would entitle the holders thereof to receive funds from the trust account or (2) vote on any initial business combination. The issuance of additional shares of common or preferred stock:</w:t>
      </w:r>
    </w:p>
    <w:p>
      <w:pPr>
        <w:spacing w:after="0" w:line="16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IPO;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231F20"/>
        </w:rPr>
      </w:pPr>
    </w:p>
    <w:p>
      <w:pPr>
        <w:ind w:left="980" w:right="120" w:hanging="324"/>
        <w:spacing w:after="0" w:line="263" w:lineRule="auto"/>
        <w:tabs>
          <w:tab w:leader="none" w:pos="9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could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231F20"/>
        </w:rPr>
      </w:pPr>
    </w:p>
    <w:p>
      <w:pPr>
        <w:ind w:left="980" w:hanging="324"/>
        <w:spacing w:after="0"/>
        <w:tabs>
          <w:tab w:leader="none" w:pos="9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may adversely affect prevailing market prices for our units, common stock and/or warrants.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initial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231F20"/>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78"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0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231F20"/>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231F20"/>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right="280"/>
        <w:spacing w:after="0" w:line="263" w:lineRule="auto"/>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231F20"/>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our initial business combination may collectively own a minority interest in the post business combination company, depending on valuations ascribed to the target and us in our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1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231F20"/>
        </w:rPr>
        <w:t>Our amended and restated certificate of incorporation does not provide a specified maximum redemption threshold, except that in no event will we redeem our public shares in an amount that would cause our net tangible assets to be less than $5,000,001 (such that we do not then become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common stock submitted for redemption will be returned to the holders thereof, and we instead may search for an alternate business combination.</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In order to effectuate an initial business combination, blank check companies have, in the recent past, amended various provisions of their charters and modified governing instruments, including their warrant agreements. We cannot assure you that we will not seek to amend our amended and restated certificate of incorporation or governing instruments, including our warrant agreement, in a manner that will make it easier for us to complete our initial business combination that some of our stockholders or warrant holders may not support.</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231F20"/>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We cannot assure you that we will not seek to amend our charter or governing instruments or extend the time to consummate an initial business combination in order to effectuate our initial business combination.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right="140"/>
        <w:spacing w:after="0" w:line="275" w:lineRule="auto"/>
        <w:rPr>
          <w:sz w:val="20"/>
          <w:szCs w:val="20"/>
          <w:color w:val="auto"/>
        </w:rPr>
      </w:pPr>
      <w:r>
        <w:rPr>
          <w:rFonts w:ascii="Arial" w:cs="Arial" w:eastAsia="Arial" w:hAnsi="Arial"/>
          <w:sz w:val="17"/>
          <w:szCs w:val="17"/>
          <w:b w:val="1"/>
          <w:bCs w:val="1"/>
          <w:i w:val="1"/>
          <w:iCs w:val="1"/>
          <w:color w:val="auto"/>
        </w:rPr>
        <w:t>Certain provisions of our amended and restated certificate of incorporation that relate to our pre-business combination activity (and corresponding provisions of the agreement governing the release of funds from our trust account) may be amended with the approval of holders of not less than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7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231F20"/>
        </w:rPr>
        <w:t>Our amended and restated certificate of incorporation will provide that any of its provisions (other than amendments relating to the appointment of directors, which require the approval by a majority of at least 90% of our common stock voting at a stockholder meeting)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 holders of 65% of our common stock. In all other instances, our amended and restated certificate of incorporation will provide that it may be amended by holders of a majority of our common stock, subject to applicable provisions of the DGCL, or applicable stock exchange rules. We may not issue additional securities that can vote on amendments to our amended and restated certificate of incorporation or on our initial business combination. Our initial stockholders, who will beneficially own 20% of our common stock,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will govern our pre-business combination behavior more easily than some other blank check companies, and this may increase our ability to complete our initial business combination with which you do not agree. Our stockholders may pursue remedies against us for any breach of our amended and restated certificate of incorporation.</w:t>
      </w:r>
    </w:p>
    <w:p>
      <w:pPr>
        <w:spacing w:after="0" w:line="18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231F20"/>
        </w:rPr>
        <w:t>Our sponsor, officers and directors have agreed, pursuant to a written agreement,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231F20"/>
        </w:rPr>
        <w:t>Although we believe that the net proceeds of the IPO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the IPO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(including from M. Klein and Company) or to abandon the proposed business combination. We cannot assure you that such financing will be available on acceptable terms, if at all. M. Klein and Company is not obligated to provide, or seek, any such financing or, except as expressly set forth herein, to provide any other services to us.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right="40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novel coronavirus (“COVID-19”) outbreak.</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231F20"/>
        </w:rPr>
        <w:t>On March 11, 2020, the World Health Organization officially declared the outbreak of the COVID-19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231F20"/>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231F20"/>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Legal proceedings in connection with the business combination, the outcomes of which are uncertain, could delay or prevent the completion of the business combination.</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March 3, 2021, Richard Hofman, a purported stockholder of ours, filed a complaint, individually and on behalf of other of our stockholders, in the Superior Court of the State of California against us, Lucid, and other unnamed defendants. The complaint alleges claims for fraud, negligent misrepresentation, and false advertising and unfair business practices in connection with allegedly false and misleading statements and omissions in our public filings, concerning the proposed merger between us and Lucid. The complaint seeks injunctive relief, as well as compensatory and punitive damages.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Additional lawsuits may be filed against us or our directors and officers in connection with the Transactions. Defending such additional lawsuits could require us to incur significant costs and draw the attention of our management team away from the Transactions. Further, the defense or settlement of any lawsuit or claim that remains unresolved at the time the Transactions are consummated may adversely affect the combined company's business, financial condition, results of operations and cash flows. Such legal proceedings could delay or prevent the business combination from becoming effective within the agreed upon timeframe.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231F20"/>
        </w:rPr>
        <w:t>Our units, Class A common stock and warrants are listed on the NYSE.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stock price levels. In general, we must maintain a minimum number of holders of our securities.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our stock price would generally be required to be at least $4 per share. We cannot assure you that we will be able to meet those initial listing requirements at that time.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7" w:name="page38"/>
    <w:bookmarkEnd w:id="37"/>
    <w:p>
      <w:pPr>
        <w:ind w:right="380" w:firstLine="648"/>
        <w:spacing w:after="0" w:line="263" w:lineRule="auto"/>
        <w:rPr>
          <w:sz w:val="20"/>
          <w:szCs w:val="20"/>
          <w:color w:val="auto"/>
        </w:rPr>
      </w:pPr>
      <w:r>
        <w:rPr>
          <w:rFonts w:ascii="Arial" w:cs="Arial" w:eastAsia="Arial" w:hAnsi="Arial"/>
          <w:sz w:val="18"/>
          <w:szCs w:val="18"/>
          <w:color w:val="auto"/>
        </w:rPr>
        <w:t>If the NYSE delists any of our securities from trading on its exchange and we are not able to list such securities on another national securities exchange, we expect such securities could be quoted on an over-the- 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reduced liquidity for our securities;</w:t>
      </w:r>
    </w:p>
    <w:p>
      <w:pPr>
        <w:spacing w:after="0" w:line="225" w:lineRule="exact"/>
        <w:rPr>
          <w:rFonts w:ascii="Arial" w:cs="Arial" w:eastAsia="Arial" w:hAnsi="Arial"/>
          <w:sz w:val="18"/>
          <w:szCs w:val="18"/>
          <w:color w:val="231F20"/>
        </w:rPr>
      </w:pPr>
    </w:p>
    <w:p>
      <w:pPr>
        <w:ind w:left="980" w:right="80" w:hanging="324"/>
        <w:spacing w:after="0" w:line="342" w:lineRule="auto"/>
        <w:tabs>
          <w:tab w:leader="none" w:pos="980" w:val="left"/>
        </w:tabs>
        <w:numPr>
          <w:ilvl w:val="0"/>
          <w:numId w:val="16"/>
        </w:numPr>
        <w:rPr>
          <w:rFonts w:ascii="Arial" w:cs="Arial" w:eastAsia="Arial" w:hAnsi="Arial"/>
          <w:sz w:val="16"/>
          <w:szCs w:val="16"/>
          <w:color w:val="231F20"/>
        </w:rPr>
      </w:pPr>
      <w:r>
        <w:rPr>
          <w:rFonts w:ascii="Arial" w:cs="Arial" w:eastAsia="Arial" w:hAnsi="Arial"/>
          <w:sz w:val="16"/>
          <w:szCs w:val="16"/>
          <w:color w:val="231F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23" w:lineRule="exact"/>
        <w:rPr>
          <w:rFonts w:ascii="Arial" w:cs="Arial" w:eastAsia="Arial" w:hAnsi="Arial"/>
          <w:sz w:val="16"/>
          <w:szCs w:val="16"/>
          <w:color w:val="231F20"/>
        </w:rPr>
      </w:pPr>
    </w:p>
    <w:p>
      <w:pPr>
        <w:ind w:left="980" w:right="420" w:hanging="324"/>
        <w:spacing w:after="0" w:line="277" w:lineRule="auto"/>
        <w:tabs>
          <w:tab w:leader="none" w:pos="9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 limited amount of news and analyst coverage; and a decreased ability to issue additional securities or obtain additional financing in the future.</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231F20"/>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the NYSE, our units, Class A common stock and warrants will qualify as covered securities under such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such statute and we would be subject to regulation in each state in which we offer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231F20"/>
        </w:rPr>
        <w:t>Since the net proceeds of the IPO and the sale of the private placement warrants are intended to be used to complete an initial business combination with a target business, we may be deemed to be a “blank check” company under the U.S. securities laws. However, because we have net tangible assets in excess of $5,000,000 and filed a Current Reports on Form 8-K, including an audited balance sheet of our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the IPO were subject to Rule 419, that rule would prohibit the release of any interest earned on funds held in the trust account to us unless and until the funds in the trust account were released to us in connection with our completion of our initial business combination.</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231F20"/>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the IPO, without our prior consent, which we refer to as the “Excess Shares.” However, our amended and restated certificate of incorporation does not restrict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the Excess Shares and, in order to dispose of such shares, would be required to sell your Excess Shares in open market transactions, potentially at a loss.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8" w:name="page39"/>
    <w:bookmarkEnd w:id="38"/>
    <w:p>
      <w:pPr>
        <w:ind w:right="480"/>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231F20"/>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24th month from the closing of the IPO in the event we do not complete our initial business combination and, therefore, we do not intend to comply with the foregoing procedures.</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231F20"/>
        </w:rPr>
        <w:t>Because we do not intend to comply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consultants,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1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we consummate our initial business combination and you will not be entitled to any of the corporate protections provided by such a meeting.</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231F20"/>
        </w:rPr>
        <w:t>We may not hold an annual meeting of stockholders until after we consummate our initial business combination (unless required by the NYSE) and thus may not be in compliance with Section 211(b) of the DGCL, which requires an annual meeting of stockholders be held for the purposes of electing directors in accordance with a company’s bylaws unless such election is made by written consent in lieu of such a meeting. Therefore, if our stockholders want us to hold an annual meeting prior to our consummation of our initial business combination, they may attempt to force us to hold one by submitting an application to the Delaware Court of Chancery in accordance with Section 211(c) of the DGCL. Moreover, our Class B stockholders will be entitled to elect all of our directors prior to the completion of our initial business combination and may elect to do so by written consent without a meeting.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 w:name="page40"/>
    <w:bookmarkEnd w:id="39"/>
    <w:p>
      <w:pPr>
        <w:jc w:val="both"/>
        <w:ind w:right="80"/>
        <w:spacing w:after="0" w:line="311" w:lineRule="auto"/>
        <w:rPr>
          <w:sz w:val="20"/>
          <w:szCs w:val="20"/>
          <w:color w:val="auto"/>
        </w:rPr>
      </w:pPr>
      <w:r>
        <w:rPr>
          <w:rFonts w:ascii="Arial" w:cs="Arial" w:eastAsia="Arial" w:hAnsi="Arial"/>
          <w:sz w:val="16"/>
          <w:szCs w:val="16"/>
          <w:b w:val="1"/>
          <w:bCs w:val="1"/>
          <w:i w:val="1"/>
          <w:i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14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231F20"/>
        </w:rPr>
        <w:t>We are not registering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17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Class A common stock.</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231F20"/>
        </w:rPr>
        <w:t>Pursuant to an agreement entered into concurrently with the issuance and sale of the securities in the IPO, our initial stockholders and their permitted transferees can demand that we register the resale of their founder shares after those shares convert to shares of our Class A common stock at the time of our initial business combination. In addition, our sponsor and its permitted transferees can demand that we register the resale of the private placement warrants and the shares of Class A common stock issuable upon exercise of the private placement warrants, and holders of warrants that may be issued upon conversion of working capital loans may demand that we register the resale of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common stock owned by our initial stockholders or their permitted transferees, the private placement warrants owned by our sponsor or warrants issued in connection with working capital loans are registered for resale.</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0" w:name="page41"/>
    <w:bookmarkEnd w:id="40"/>
    <w:p>
      <w:pPr>
        <w:ind w:right="24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no commitments as of the date of this annual report to issue any notes or other debt securities, or to otherwise incur outstanding debt following the IPO,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980" w:right="7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231F20"/>
        </w:rPr>
      </w:pPr>
    </w:p>
    <w:p>
      <w:pPr>
        <w:ind w:left="980" w:hanging="324"/>
        <w:spacing w:after="0"/>
        <w:tabs>
          <w:tab w:leader="none" w:pos="9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our immediate payment of all principal and accrued interest, if any, if the debt is payable on demand;</w:t>
      </w:r>
    </w:p>
    <w:p>
      <w:pPr>
        <w:spacing w:after="0" w:line="225" w:lineRule="exact"/>
        <w:rPr>
          <w:rFonts w:ascii="Arial" w:cs="Arial" w:eastAsia="Arial" w:hAnsi="Arial"/>
          <w:sz w:val="18"/>
          <w:szCs w:val="18"/>
          <w:color w:val="231F20"/>
        </w:rPr>
      </w:pPr>
    </w:p>
    <w:p>
      <w:pPr>
        <w:ind w:left="980" w:right="180" w:hanging="324"/>
        <w:spacing w:after="0" w:line="277" w:lineRule="auto"/>
        <w:tabs>
          <w:tab w:leader="none" w:pos="9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our inability to obtain necessary additional financing if the debt contains covenants restricting our ability to obtain such financing while the debt security is outstanding;</w:t>
      </w:r>
    </w:p>
    <w:p>
      <w:pPr>
        <w:spacing w:after="0" w:line="170" w:lineRule="exact"/>
        <w:rPr>
          <w:rFonts w:ascii="Arial" w:cs="Arial" w:eastAsia="Arial" w:hAnsi="Arial"/>
          <w:sz w:val="18"/>
          <w:szCs w:val="18"/>
          <w:color w:val="231F20"/>
        </w:rPr>
      </w:pPr>
    </w:p>
    <w:p>
      <w:pPr>
        <w:ind w:left="980" w:hanging="324"/>
        <w:spacing w:after="0"/>
        <w:tabs>
          <w:tab w:leader="none" w:pos="9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our inability to pay dividends on our common stock;</w:t>
      </w:r>
    </w:p>
    <w:p>
      <w:pPr>
        <w:spacing w:after="0" w:line="225" w:lineRule="exact"/>
        <w:rPr>
          <w:rFonts w:ascii="Arial" w:cs="Arial" w:eastAsia="Arial" w:hAnsi="Arial"/>
          <w:sz w:val="18"/>
          <w:szCs w:val="18"/>
          <w:color w:val="231F20"/>
        </w:rPr>
      </w:pPr>
    </w:p>
    <w:p>
      <w:pPr>
        <w:ind w:left="980" w:right="180" w:hanging="324"/>
        <w:spacing w:after="0" w:line="308" w:lineRule="auto"/>
        <w:tabs>
          <w:tab w:leader="none" w:pos="98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146" w:lineRule="exact"/>
        <w:rPr>
          <w:rFonts w:ascii="Arial" w:cs="Arial" w:eastAsia="Arial" w:hAnsi="Arial"/>
          <w:sz w:val="17"/>
          <w:szCs w:val="17"/>
          <w:color w:val="231F20"/>
        </w:rPr>
      </w:pPr>
    </w:p>
    <w:p>
      <w:pPr>
        <w:ind w:left="980" w:hanging="324"/>
        <w:spacing w:after="0"/>
        <w:tabs>
          <w:tab w:leader="none" w:pos="9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231F20"/>
        </w:rPr>
      </w:pPr>
    </w:p>
    <w:p>
      <w:pPr>
        <w:ind w:left="980" w:right="380" w:hanging="324"/>
        <w:spacing w:after="0" w:line="311" w:lineRule="auto"/>
        <w:tabs>
          <w:tab w:leader="none" w:pos="98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increased vulnerability to adverse changes in general economic, industry and competitive conditions and adverse changes in government regulation; and 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4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 and may exert a substantial influence on actions requiring a stockholder vote, potentially in a manner that you do not support.</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231F20"/>
        </w:rPr>
        <w:t>Our initial stockholders own 20% of our outstanding common stock. In addition, the founder shares, all of which are held by our initial stockholders, entitle the holders to elect all of our directors prior to the consummation of our initial business combination. Holders of our public shares will have no right to vote on the election of directors during such time. These provisions of our amended and restated certificate of incorporation may only be amended by a majority of at least 90% of our common stock voting at a stockholder meeting. As a result, you will not have any influence over the election of directors prior to our initial business combination.</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influence over these actions. Accordingly, our initial stockholders will exert significant influence over actions requiring a stockholder vote.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1" w:name="page42"/>
    <w:bookmarkEnd w:id="41"/>
    <w:p>
      <w:pPr>
        <w:ind w:right="60"/>
        <w:spacing w:after="0" w:line="277" w:lineRule="auto"/>
        <w:rPr>
          <w:sz w:val="20"/>
          <w:szCs w:val="20"/>
          <w:color w:val="auto"/>
        </w:rPr>
      </w:pPr>
      <w:r>
        <w:rPr>
          <w:rFonts w:ascii="Arial" w:cs="Arial" w:eastAsia="Arial" w:hAnsi="Arial"/>
          <w:sz w:val="18"/>
          <w:szCs w:val="18"/>
          <w:b w:val="1"/>
          <w:bCs w:val="1"/>
          <w:i w:val="1"/>
          <w:iCs w:val="1"/>
          <w:color w:val="auto"/>
        </w:rPr>
        <w:t>Our sponsor contributed $25,000, or approximately $0.001 per founder share, and, accordingly, you will experience immediate and substantial dilution from the purchase of our Class A common stock.</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231F20"/>
        </w:rPr>
        <w:t>Our sponsor acquired the founder shares at a nominal price, significantly contributing to the dilution of holders of our Class A common stock. This dilution would increase to the extent that the anti-dilution provisions of the Class B common stock result in the issuance of Class A shares on a greater than one-to-one basis upon conversion of the Class B common stock at the time of our initial business combination and would become exacerbated to the extent that public stockholders seek redemptions from the trust.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6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warrants could be converted into cash or stock (at a ratio different than initially provided), the exercise period could be shortened and the number of shares of our Class A common stock purchasable upon exercise of a warrant could be decreased, all without your approval.</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231F20"/>
        </w:rPr>
        <w:t xml:space="preserve">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 </w:t>
      </w:r>
      <w:r>
        <w:rPr>
          <w:rFonts w:ascii="Arial" w:cs="Arial" w:eastAsia="Arial" w:hAnsi="Arial"/>
          <w:sz w:val="16"/>
          <w:szCs w:val="16"/>
          <w:color w:val="000000"/>
        </w:rPr>
        <w:t>Accordingly, we may amend the terms of the public warrants in a manner adverse to a</w:t>
      </w:r>
      <w:r>
        <w:rPr>
          <w:rFonts w:ascii="Arial" w:cs="Arial" w:eastAsia="Arial" w:hAnsi="Arial"/>
          <w:sz w:val="16"/>
          <w:szCs w:val="16"/>
          <w:color w:val="231F20"/>
        </w:rPr>
        <w:t xml:space="preserve"> </w:t>
      </w:r>
      <w:r>
        <w:rPr>
          <w:rFonts w:ascii="Arial" w:cs="Arial" w:eastAsia="Arial" w:hAnsi="Arial"/>
          <w:sz w:val="16"/>
          <w:szCs w:val="16"/>
          <w:color w:val="000000"/>
        </w:rPr>
        <w:t>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 Our initial stockholders may purchase public warrants with the intention of reducing the number of public warrants outstanding or to vote such warrants on any matters submitted to warrantholders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231F20"/>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common stock and make it more difficult to effectuate our initial business combination.</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issued warrants to purchase 41,400,000 shares of our Class A common stock at a price of $11.50 per whole share (subject to adjustment as provided herein), as part of the units offered in the IPO. Simultaneously with the closing of the IPO, we also issued in a private placement an aggregate of 42,850,000 private placement warrants, each exercisable to purchase one share of Class A common stock at a price of $11.50 per share, subject to adjustment as provided herein. Our initial stockholders currently hold 51,750,000 founder shares. The founder shares are convertible into shares of Class A common stock on a one-for-one basis, subject to adjustment as set forth herein.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w:t>
      </w:r>
    </w:p>
    <w:p>
      <w:pPr>
        <w:spacing w:after="0" w:line="17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 the extent we issue shares of Class A common stock to effectuate a business transaction, the potential for the issuance of a substantial number of additional shares of Class A common stock upon exercise of these warrants or conversion rights could make us a less attractive acquisition vehicle to a target business. Any such issuance will increase the number of outstanding shares of our Class A common stock and reduce the value of the Class A common stock issued to complete the business transaction. Therefore, our warrants and founder shares may make it more difficult to effectuate a business combination or increase the cost of acquiring the target business.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private placement warrants are identical to the warrants sold as part of the units in the IPO except that, so long as they are held by our sponsor or its permitted transferees: (1) they will not be redeemable by us; (2) they (including the Class A common stock issuable upon exercise of these warrants) may not, subject to certain limited exceptions, be transferred, assigned or sold by our sponsor until 30 days after the completion of our initial business combination; (3) they may be exercised by the holders on a cashless basis; and (4) the holders thereof (including with respect to the shares of common stock issuable upon exercise of these warrants) are entitled to registration rights.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231F20"/>
        </w:rPr>
        <w:t>The federal proxy rules require that a proxy statement with respect to a vote on a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w:t>
      </w:r>
    </w:p>
    <w:p>
      <w:pPr>
        <w:spacing w:after="0" w:line="16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231F20"/>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3" w:name="page44"/>
    <w:bookmarkEnd w:id="43"/>
    <w:p>
      <w:pPr>
        <w:ind w:right="660"/>
        <w:spacing w:after="0" w:line="308"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231F20"/>
        </w:rPr>
        <w:t>Our amended and restated certificate of incorporation will contain provisions that may discourage unsolicited takeover proposals that stockholders may consider to be in their best interests. These provisions include three-year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231F20"/>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Management Team</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231F20"/>
        </w:rPr>
        <w:t>Our officers and directors are not required to, and will not, commit their full time to our affairs, which may result in a conflict of interest in allocating their time between our operations and our search for a business combination and their other responsibilities. We do not intend to have any full-time employees prior to the completion of our business combination. Each of our officers and directors is engaged in several other business endeavors for which he or she may be entitled to substantial compensation and our officers and directors are not obligated to contribute any specific number of hours per week to our affairs.</w:t>
      </w:r>
    </w:p>
    <w:p>
      <w:pPr>
        <w:spacing w:after="0" w:line="188"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231F20"/>
        </w:rPr>
        <w:t>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w:t>
      </w:r>
    </w:p>
    <w:p>
      <w:pPr>
        <w:spacing w:after="0" w:line="149"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231F20"/>
        </w:rPr>
        <w:t>Mr. August is the Founder and CEO of OHA and acts as a strategic advisor to its clients. Mr. August has a fiduciary duty to OHA. As a result, Mr. August may have a duty to offer acquisition opportunities to clients of OHA. Mr. August will have no duty to offer acquisition opportunities to the Company unless presented to him solely in his capacity as a director of the Company.</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231F20"/>
        </w:rPr>
        <w:t>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231F20"/>
        </w:rPr>
        <w:t>Our operations are dependent upon a relatively small group of individuals. We believe that our success depends on the continued service of our officers and directors, at least until we have completed our initial business combination. We do not have an employment agreement with, or key-man insurance on the life of any of our other directors or officers. The unexpected loss of the services of one or more of our directors or officers could have a detrimental effect on us.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 combination business.</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231F20"/>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we do not currently expect that any of them will do so.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231F20"/>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cause our key personnel to have conflicts of interest in determining whether to proceed with a particular business combination. However, we do not expect that any of our key personnel will remain with us after the completion of our initial business combination.</w:t>
      </w:r>
    </w:p>
    <w:p>
      <w:pPr>
        <w:spacing w:after="0" w:line="15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231F20"/>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as we do not expect that any of our key personnel will remain with us after the completion of our initial business combination. The determination as to whether any of our key personnel will remain with us will be made at the time of our initial business combination.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right="280"/>
        <w:spacing w:after="0" w:line="342"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24"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231F20"/>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w:t>
      </w:r>
    </w:p>
    <w:p>
      <w:pPr>
        <w:spacing w:after="0" w:line="16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231F20"/>
        </w:rPr>
        <w:t>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a stockholder or warrant holder following our initial business combination could suffer a reduction in the value of their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Such stockholders or warrant holders are unlikely to have a remedy for such reduction in value.</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231F20"/>
        </w:rPr>
        <w:t>The officers and directors of an initial business combination candidate may resign upon completion of our initial business combination. The departure of a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acquisition candidate’s management team will remain associated with the initial business combination candidate following our initial business combination, it is possible that members of the management of an acquisition candidate will not wish to remain in place. As a result, we may need to reconstitute the management team of the post-transaction company in connection with our initial business combination, which may adversely impact our ability to complete an initial business combination in a timely manner or at all.</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231F20"/>
        </w:rPr>
        <w:t>Until we consummate our initial business combination, we intend to engage in the business of identifying and combining with one or more businesses. Our sponsor and officers and directors are, or may in the future become, affiliated with entities (such as operating companies or investment vehicles) that are engaged in a similar business. We do not have employment contracts with our officers and directors that will limit their ability to work at other businesses.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V, Churchill Capital Corp VI and Churchill Capital Corp VII, special purpose acquisition corporations that completed their initial public offerings in August 2020, December 2020, February 2021 and February 2021, respectively. Churchill Capital Corp V, Churchill Capital Corp VI and Churchill Capital Corp VII, like us, may pursue initial business combination targets in any businesses or industries and have until August 3, 2022, December 18, 2022, February 17, 2023 and February 17, 2023, respectively, to do so (absent an extension in accordance with their charters). Any such companies, including Churchill Capital Corp V, Churchill Capital Corp VI and Churchill Capital Corp VII may present additional conflicts of interest in pursuing an acquisition target. M. Klein and Company, Mr. Klein and the Operating Partners are also actively engaged in AltC Acquisition Corp., a special purpose acquisition corporation that is in the process of completing its initial public offering as of the date of this filing and may present additional conflicts of interest in pursuing an acquisition target.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right="120" w:firstLine="648"/>
        <w:spacing w:after="0" w:line="284" w:lineRule="auto"/>
        <w:rPr>
          <w:sz w:val="20"/>
          <w:szCs w:val="20"/>
          <w:color w:val="auto"/>
        </w:rPr>
      </w:pPr>
      <w:r>
        <w:rPr>
          <w:rFonts w:ascii="Arial" w:cs="Arial" w:eastAsia="Arial" w:hAnsi="Arial"/>
          <w:sz w:val="16"/>
          <w:szCs w:val="16"/>
          <w:color w:val="231F20"/>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w:t>
      </w:r>
    </w:p>
    <w:p>
      <w:pPr>
        <w:spacing w:after="0" w:line="1" w:lineRule="exact"/>
        <w:rPr>
          <w:sz w:val="20"/>
          <w:szCs w:val="20"/>
          <w:color w:val="auto"/>
        </w:rPr>
      </w:pPr>
    </w:p>
    <w:p>
      <w:pPr>
        <w:ind w:right="40" w:firstLine="8"/>
        <w:spacing w:after="0" w:line="260" w:lineRule="auto"/>
        <w:tabs>
          <w:tab w:leader="none" w:pos="265"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231F20"/>
        </w:rPr>
        <w:t>In addition, none of the Operating Partners are officers or directors of our company and therefore owe us no fiduciary duties as such. While we expect that they will assist us in identifying business combination targets, they have no obligation to do so and may devote a substantial portion of their business time to activities unrelated to us. Each Operating Partner may have fiduciary, contractual or other obligations or duties to other organizations to present business combination opportunities to such other organizations rather than to us. Accordingly, if any Operating Partner becomes aware of a business combination opportunity which is suitable for one or more entities to which he or she has fiduciary, contractual or other obligations or duties, he or she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231F20"/>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M. Klein and Company, our sponsor or our directors or officers.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6"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231F20"/>
        </w:rPr>
        <w:t>In particular, affiliates of our sponsor, our directors and our officers have invested, and may in the future invest, in a broad array of sectors, including those in which our company may invest. As a result, there may be substantial overlap between companies that would be a suitable business combination for us and companies that would make an attractive target for such other affiliates.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M. Klein and Company, our sponsor, officers or directors which may raise potential conflicts of interest.</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231F20"/>
        </w:rPr>
        <w:t>In light of the involvement of our sponsor, officers and directors with other businesses, we may decide to acquire one or more businesses affiliated with or competitive with M. Klein and Company, our sponsor, officers and directors, and their respective affiliates.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that is a member of FINRA or from an independent accounting firm, regarding the fairness to our stockholders from a financial point of view of a business combination with one or more domestic or international businesses affiliated with M. Klein and Company, our sponsor, officers or directors, potential conflicts of interest still may exist and, as a result, the terms of the business combination may not be as advantageous to our public stockholders as they would be absent any conflicts of interest.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right="100"/>
        <w:spacing w:after="0" w:line="263" w:lineRule="auto"/>
        <w:rPr>
          <w:sz w:val="20"/>
          <w:szCs w:val="20"/>
          <w:color w:val="auto"/>
        </w:rPr>
      </w:pPr>
      <w:r>
        <w:rPr>
          <w:rFonts w:ascii="Arial" w:cs="Arial" w:eastAsia="Arial" w:hAnsi="Arial"/>
          <w:sz w:val="18"/>
          <w:szCs w:val="18"/>
          <w:b w:val="1"/>
          <w:bCs w:val="1"/>
          <w:i w:val="1"/>
          <w:iCs w:val="1"/>
          <w:color w:val="auto"/>
        </w:rPr>
        <w:t>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231F20"/>
        </w:rPr>
        <w:t>We may engage M. Klein and Company, or another affiliate of our sponsor, as a financial advisor in connection with our initial business combination and pay such affiliate a customary financial advisory fee in an amount that constitutes a market standard financial advisory fee for comparable transactions. Pursuant to any such engagement, the affiliate may earn its fee upon closing of the initial business combination. The payment of such fee would likely be conditioned upon the completion of the initial business combination. Therefore, our sponsor may have additional financial interests in the completion of the initial business combination. These financial interests may influence the advice any such affiliate provides us as our financial advisor, which advice would contribute to our decision on whether to pursue a business combination with any particular target.</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Since our initial stockholders will lose their entire investment in us if our initial business combination is not completed (other than with respect to any public shares they may hold), a conflict of interest may arise in determining whether a particular business combination target is appropriate for our initial business combination.</w:t>
      </w:r>
    </w:p>
    <w:p>
      <w:pPr>
        <w:spacing w:after="0" w:line="18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May 2020, our sponsor purchased an aggregate of 21,562,500 shares of our founder shares for an aggregate purchase price of $25,000, or approximately $0.001 per share. Our Class B common stock will automatically convert into shares of Class A common stock, on a one-for-one basis, upon the completion of a business combination.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completion of the IPO.</w:t>
      </w:r>
    </w:p>
    <w:p>
      <w:pPr>
        <w:spacing w:after="0" w:line="18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In addition, our sponsor purchased an aggregate of 42,850,000 private placement warrants for a purchase price of $42,850,000, or $1.00 per warrant, that will also be worthless if we do not complete our initial business combination. Each private placement warrant entitles the holder thereof to purchase one share of our Class A common stock at a price of $11.50 per share, subject to adjustment as provided herein.</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founder shares are identical to the shares of Class A common stock included in the units being sold in the IPO, except that: (1) only holders of the founder shares have the right to vote on the election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8" w:name="page49"/>
    <w:bookmarkEnd w:id="48"/>
    <w:p>
      <w:pPr>
        <w:ind w:right="100" w:firstLine="648"/>
        <w:spacing w:after="0" w:line="263" w:lineRule="auto"/>
        <w:rPr>
          <w:sz w:val="20"/>
          <w:szCs w:val="20"/>
          <w:color w:val="auto"/>
        </w:rPr>
      </w:pPr>
      <w:r>
        <w:rPr>
          <w:rFonts w:ascii="Arial" w:cs="Arial" w:eastAsia="Arial" w:hAnsi="Arial"/>
          <w:sz w:val="18"/>
          <w:szCs w:val="18"/>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for completing our initial business combination nears.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231F20"/>
        </w:rPr>
        <w:t>In recent months, 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231F20"/>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231F20"/>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our management team pursues a company with operations or opportunities outside of the United States for our initial business combination, we may face additional burdens in connection with investigating, agreeing to and completing such combination, and if we effect such initial business combination, we would be subject to a variety of additional risks that may negatively impact our operations.</w:t>
      </w:r>
    </w:p>
    <w:p>
      <w:pPr>
        <w:spacing w:after="0" w:line="16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231F20"/>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980" w:right="540" w:hanging="324"/>
        <w:spacing w:after="0" w:line="277" w:lineRule="auto"/>
        <w:tabs>
          <w:tab w:leader="none" w:pos="9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costs and difficulties inherent in managing cross-border business operations and complying with commercial and legal requirements of overseas markets;</w:t>
      </w:r>
    </w:p>
    <w:p>
      <w:pPr>
        <w:spacing w:after="0" w:line="170" w:lineRule="exact"/>
        <w:rPr>
          <w:rFonts w:ascii="Arial" w:cs="Arial" w:eastAsia="Arial" w:hAnsi="Arial"/>
          <w:sz w:val="18"/>
          <w:szCs w:val="18"/>
          <w:color w:val="231F20"/>
        </w:rPr>
      </w:pPr>
    </w:p>
    <w:p>
      <w:pPr>
        <w:ind w:left="980" w:hanging="324"/>
        <w:spacing w:after="0"/>
        <w:tabs>
          <w:tab w:leader="none" w:pos="9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rules and regulations regarding currency redemption;</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complex corporate withholding taxes on individuals;</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laws governing the manner in which future business combinations may be effected;</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tariffs and trade barriers;</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regulations related to customs and import/export matters;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longer payment cycles;</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tax consequences;</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currency fluctuations and exchange controls;</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rates of inflation;</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challenges in collecting accounts receivable;</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cultural and language differences;</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employment regulations;</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crime, strikes, riots, civil disturbances, terrorist attacks, natural disasters and wars;</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deterioration of political relations with the United States;</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obligatory military service by personnel; and government appropriation of assets.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231F20"/>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Past performance by M. Klein and Company and members of our management team or our Strategic and Operating Partners may not be indicative of future performance of an investment in us.</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231F20"/>
        </w:rPr>
        <w:t>Information regarding performance by, or businesses associated with, M. Klein and Company and other members of our management team or our Strategic and Operating Partners is presented for informational purposes only. Any past experience and performance, including related to acquisitions, of M. Klein and Company and members of our management team or our Strategic and Operating Partners is not a guarantee either: (1) that we will be able to successfully identify a suitable candidate for our initial business combination; or (2) of any results with respect to any initial business combination we may consummate. You should not rely on the historical record and performance of M. Klein and Company and members of our management team or our Strategic and Operating Partners as indicative of the future performance of an investment in us or the returns we will, or are likely to, generate going forward. An investment in us is not an investment in M. Klein and Company or our Strategic and Operating Partners.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Certain agreements related to the IPO may be amended without stockholder approval.</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231F20"/>
        </w:rPr>
        <w:t>Certain agreements, including the underwriting agreement relating to this offering, the letter agreement among us and our sponsor, officers and directors, and the registration rights agreement among us and our initial stockholders, may be amended without stockholder approval. These agreements contain various provisions that our public stockholders might deem to be material. While we do not expect our board to approve any amendment to any of these agreements prior to our initial business combination, it may be possible that our board, in exercising its business judgment and subject to its fiduciary duties, chooses to approve one or more amendments to any such agreement in connection with the consummation of our initial business combination. Any such amendments would not require approval from our stockholders, may result in the completion of our initial business combination that may not otherwise have been possible, and may have an adverse effect on the value of an investment in our securities.</w:t>
      </w:r>
    </w:p>
    <w:p>
      <w:pPr>
        <w:spacing w:after="0" w:line="16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231F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 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231F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231F20"/>
        </w:rPr>
        <w:t>Our amended and restated certificate of incorporation will require,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This provision may have the effect of discouraging lawsuits against our directors and officers.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currently maintain our executive offices at 640 Fifth Avenue, 12th Floor, New York, NY 10019. The cost for this space is included in the $50,000 per month fee that we will pay an affiliate of our sponsor for office space, administrative and support services.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3, 2021, Richard Hofman, a purported stockholder of us, filed a complaint, individually and on behalf of other of our stockholders, in the Superior Court of the State of California against us, Lucid, and other unnamed defendants. The complaint alleges claims for fraud, negligent misrepresentation, and false advertising and unfair business practices in connection with allegedly false and misleading statements and omissions in our public filings, concerning the proposed merger between us and Lucid. The complaint seeks injunctive relief, as well as compensatory and punitive damages. On March 8, 2021, plaintiff filed an ex parte application for a temporary restraining order and preliminary injunction, which the Company opposed and the court denied on March 10, 2021.</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units, Class A common stock and warrants are traded on the NYSE under the symbols “CCIV.U”, “CCIV” and “CCIV WS”,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there are a larger number of beneficial owners, at February 28, 2021, there was one holder of record of our units, one holder of record of our separately traded common stock and two holders of record of our separately traded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our initial business combination, our ability to declare dividends may be limited by restrictive covenants we may agree to in connection therewith.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May 2020, our sponsor purchased an aggregate of 21,562,500 shares of our “founder shares for an aggregate purchase price of $25,000, or approximately $0.001 per share. Our Class B common stock will automatically convert into shares of Class A common stock, on a one-for-one basis, upon the completion of a business combination.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completion of the IPO.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3" w:name="page54"/>
    <w:bookmarkEnd w:id="53"/>
    <w:p>
      <w:pPr>
        <w:ind w:right="160" w:firstLine="648"/>
        <w:spacing w:after="0" w:line="259" w:lineRule="auto"/>
        <w:rPr>
          <w:sz w:val="20"/>
          <w:szCs w:val="20"/>
          <w:color w:val="auto"/>
        </w:rPr>
      </w:pPr>
      <w:r>
        <w:rPr>
          <w:rFonts w:ascii="Arial" w:cs="Arial" w:eastAsia="Arial" w:hAnsi="Arial"/>
          <w:sz w:val="18"/>
          <w:szCs w:val="18"/>
          <w:color w:val="auto"/>
        </w:rPr>
        <w:t>On August 3, 2020, we completed our IPO of 207,000,000 units at a price of $10.00 per unit, generating gross proceeds of $2,070,000,000. Each unit consists of one of the Company’s shares of Class A common stock, par value $0.0001 per share, and one-fifth of one warrant. Each whole warrant entitles the holder thereof to purchase one share of Class A common stock at a price of $11.50 per share, subject to certain adjustments. Following the closing of the IPO, an aggregate of $2,070,000,000 was placed in the trust account.</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incurred $109,714,885 of offering costs in connection with the IPO, inclusive of $72,450,000 of deferred underwriting commissions payable to the underwriters from the amounts held in the trust account solely in the event the Company completes a business combination. There has been no material change in the planned use of proceeds from the IPO as described in our final prospectus dated July 30, 2020, which was filed with the SEC.</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Concurrently with the completion of the IPO, our sponsor purchased an aggregate of 42,850,000 warrants at a price of $1.00 per warrant, or $42,850,000 in the aggregate. An aggregate of $2,070,000,000 from the proceeds of the IPO and the private placement warrants was placed in a trust account such that the trust account held $2,070,000,000 at the time of closing of the IPO. Each whole private placement warrant entitles the holder thereof to purchase one share of Class A common stock at a price of $11.50 per share, subject to certain adjustments.</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the relevant data for our business as of December 31, 2020 and should be read with our financial statements, which are included in this 10-K: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For the period</w:t>
            </w:r>
          </w:p>
        </w:tc>
      </w:tr>
      <w:tr>
        <w:trPr>
          <w:trHeight w:val="216"/>
        </w:trPr>
        <w:tc>
          <w:tcPr>
            <w:tcW w:w="46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r>
      <w:tr>
        <w:trPr>
          <w:trHeight w:val="216"/>
        </w:trPr>
        <w:tc>
          <w:tcPr>
            <w:tcW w:w="46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April 30, 2020</w:t>
            </w:r>
          </w:p>
        </w:tc>
      </w:tr>
      <w:tr>
        <w:trPr>
          <w:trHeight w:val="216"/>
        </w:trPr>
        <w:tc>
          <w:tcPr>
            <w:tcW w:w="46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(inception) through</w:t>
            </w:r>
          </w:p>
        </w:tc>
      </w:tr>
      <w:tr>
        <w:trPr>
          <w:trHeight w:val="234"/>
        </w:trPr>
        <w:tc>
          <w:tcPr>
            <w:tcW w:w="46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2020</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 Income Statement Data:</w:t>
            </w: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Loss from operations</w:t>
            </w:r>
          </w:p>
        </w:tc>
        <w:tc>
          <w:tcPr>
            <w:tcW w:w="4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(2,976,423)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(2,521,839)</w:t>
            </w:r>
          </w:p>
        </w:tc>
      </w:tr>
      <w:tr>
        <w:trPr>
          <w:trHeight w:val="414"/>
        </w:trPr>
        <w:tc>
          <w:tcPr>
            <w:tcW w:w="46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660" w:type="dxa"/>
            <w:vAlign w:val="bottom"/>
            <w:tcBorders>
              <w:bottom w:val="single" w:sz="8" w:color="CCEEFF"/>
            </w:tcBorders>
          </w:tcPr>
          <w:p>
            <w:pPr>
              <w:spacing w:after="0"/>
              <w:rPr>
                <w:sz w:val="20"/>
                <w:szCs w:val="20"/>
                <w:color w:val="auto"/>
              </w:rPr>
            </w:pPr>
          </w:p>
        </w:tc>
        <w:tc>
          <w:tcPr>
            <w:tcW w:w="4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Cash</w:t>
            </w:r>
          </w:p>
        </w:tc>
        <w:tc>
          <w:tcPr>
            <w:tcW w:w="4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3,592,857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2,070,086,006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assets</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2,074,616,649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73,978,373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1,995,638,270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5,000,006</w:t>
            </w:r>
          </w:p>
        </w:tc>
      </w:tr>
      <w:tr>
        <w:trPr>
          <w:trHeight w:val="648"/>
        </w:trPr>
        <w:tc>
          <w:tcPr>
            <w:tcW w:w="46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jc w:val="right"/>
              <w:ind w:right="35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blank check company formed under the laws of the State of Delaware for the purpose of effecting a merger, capital stock exchange, asset acquisition, stock purchase, reorganization or other similar business combination with one or more businesses. We intend to effectuate our Business Combination using cash from the proceeds of the Initial Public Offering and the sale of the Private Placement Warrants, our capital stock, debt or a combination of cash, stock and debt.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raise capital or to complete our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22, 2021, we entered into a Merger Agreement with Merger Sub and Atieva, relating to a proposed business combination transaction between us and Atieva.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 (the “Merger” and, together with the other transactions contemplated by the Merger Agreement, the “Transactions”).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aggregate consideration to be paid to the shareholders of Atieva will be equal to (a) $11,750,000,000 plus (b) (i) all cash and cash equivalents of Atieva and its subsidiaries less (ii) all indebtedness for borrowed money of Atieva and its subsidiaries, in each case as of two business days prior to the closing date (the “Equity Value”) and will be paid entirely in shares of Class A common stock, par value $0.0001 per share, of the Company (the “Class A Common Stock”) in an amount equal to $10.00 per share (the “Merger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the effective time of the Merger:</w:t>
      </w:r>
    </w:p>
    <w:p>
      <w:pPr>
        <w:spacing w:after="0" w:line="225" w:lineRule="exact"/>
        <w:rPr>
          <w:sz w:val="20"/>
          <w:szCs w:val="20"/>
          <w:color w:val="auto"/>
        </w:rPr>
      </w:pPr>
    </w:p>
    <w:p>
      <w:pPr>
        <w:jc w:val="both"/>
        <w:ind w:left="660" w:hanging="328"/>
        <w:spacing w:after="0" w:line="27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each share of capital stock of Atieva (the “Atieva Shares”) will be cancelled and automatically deemed for all purposes to represent the right to receive, in the aggregate, the Merger Consideration. All share incentive plan or similar equity-based compensation plans maintained for employees of Atieva will be assumed by the Company and all outstanding options to purchase Atieva Shares (each, a “Atieva Option”) and each restricted stock unit award (“RSU”) with respect to Atieva Shares (each, a “Atieva RSU”) will be assumed by the Company as described below. For purposes of the following paragraph, the “Exchange Ratio” means the Equity Value per share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$10.00.</w:t>
      </w:r>
    </w:p>
    <w:p>
      <w:pPr>
        <w:spacing w:after="0" w:line="176"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Atieva Option will become an option to purchase shares of Class A Common Stock (each, an “Assumed Option”), on the same terms and conditions (including applicable vesting, exercise and expiration provisions) as applied to the Atieva Option immediately prior to the effective time of the Merger, except that (i) the number of shares of Class A Common Stock subject to such Assumed Option shall equal the product of</w:t>
      </w:r>
    </w:p>
    <w:p>
      <w:pPr>
        <w:spacing w:after="0" w:line="2" w:lineRule="exact"/>
        <w:rPr>
          <w:rFonts w:ascii="Arial" w:cs="Arial" w:eastAsia="Arial" w:hAnsi="Arial"/>
          <w:sz w:val="16"/>
          <w:szCs w:val="16"/>
          <w:color w:val="auto"/>
        </w:rPr>
      </w:pPr>
    </w:p>
    <w:p>
      <w:pPr>
        <w:jc w:val="both"/>
        <w:ind w:left="660" w:hanging="4"/>
        <w:spacing w:after="0" w:line="253" w:lineRule="auto"/>
        <w:tabs>
          <w:tab w:leader="none" w:pos="9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number of Atieva Shares that were subject to the option immediately prior to the effective time of the Merger, multiplied by (y) the Exchange Ratio, rounded down to the nearest whole share, and (B) the per-share exercise price shall equal the quotient of (1) the exercise price per Atieva Share at which such option was exercisable immediately prior to the effective time of the Merger, divided by (2) the Exchange Ratio, rounded up to the nearest whole cent.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left="660" w:hanging="328"/>
        <w:spacing w:after="0" w:line="28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Atieva RSU, will be assumed by the Company and become an RSU with respect to shares of Class A Common Stock (each, an “Assumed RSU”) on the same terms and conditions (including applicable vesting provisions) as applied to each Atieva RSU immediately prior to the effective time of the Merger, except that the number of shares of Class A Common Stock subject to such Assumed RSU Award will be equal the product of (x) the number of Atieva Shares that were subject to such RSU immediately prior to the effective time of the Merger, multiplied by</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(y) the Exchange Ratio, rounded down to the nearest whole share.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20, 2021, we entered into a transactional support agreement with a service provider, pursuant to which the service provider agreed to render certain financial advisory and capital markets advisory services for a potential Business Combination. We agreed to pay the service provider a fee of</w:t>
      </w:r>
    </w:p>
    <w:p>
      <w:pPr>
        <w:ind w:firstLine="8"/>
        <w:spacing w:after="0" w:line="260" w:lineRule="auto"/>
        <w:tabs>
          <w:tab w:leader="none" w:pos="2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$6,000,000 is payable upon the consummation of a Business Combination (ii) $500,000 is payable upon consummation of the financing (iii) out-of-pocket expenses not to exceed $125,000 without prior approval.</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22, 2021, we entered into a convertible promissory note with the Sponsor pursuant to which the Sponsor agreed to loan us up to an aggregate principal amount of $1,500,000 (the “Note”). The Note is non-interest bearing and payable on the earlier of (i) the date of which we consummate a Business Combination or (ii) the date that the winding up of the Company. If we do not consummate a Business Combination, we may use a portion of any funds held outside the Trust Account to repay the Promissory Note; however, no proceeds from the Trust Account may be used for such repayment. Up to $1,500,000 of the Note may be converted into warrants at a price of $1.00 per warrant at the option of the Sponsor. The warrants would be identical to the Private Placement Warrants. We borrowed an aggregate of $1,500,000 on February 22,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neither engaged in any operations nor generated any revenues to date. Our only activities through December 31, 2020 were organizational activities, those necessary to prepare for the Initial Public Offering, identifying a target for our Business Combination, and activities in connection with the proposed acquisition of Atieva.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period from April 30, 2020 (inception) through December 31, 2020, we had a net loss of $2,521,839, which consists of operating costs of $2,976,423 and a provision for income taxes of $81,422 offset by interest income on marketable securities held in the Trust Account of $531,361 and an unrealized gain on marketable securities held in our Trust Account of $4,645.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common stock by the Sponsor and loans from our Sponsor.</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3, 2020, we consummated the Initial Public Offering of 207,000,000 Units, which includes the full exercise by the underwriters of the over-allotment option, at $10.00 per unit, generating gross proceeds of $2,070,000,000. Simultaneously with the closing of the Initial Public Offering, we consummated the sale of 42,850,000 Private Placement Warrants to the Sponsor at a price of $1.00 per warrant, generating gross proceeds of $42,850,000.</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$2,070,000,000 was placed in the Trust Account. We incurred $109,714,885 in transaction costs, including $36,403,600 of underwriting fees, $72,450,000 of deferred underwriting fees and $861,285 of other costs.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period from April 30, 2020 (inception) through December 31, 2020, cash used in operating activities was $2,467,258. Net loss of $2,521,839 was affected by interest earned on marketable securities held in the Trust Account of $531,361, unrealized gain of on marketable securities held in our Trust Account $4,645 and changes in operating assets and liabilities, which provided $590,587 of cash from operating activities.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8"/>
          <w:szCs w:val="18"/>
          <w:color w:val="auto"/>
        </w:rPr>
        <w:t>As of December 31, 2020, we had cash and marketable securities held in the trust account of $2,070,086,006. We intend to use substantially all of the funds held in the Trust Account, including any amounts representing interest earned on the Trust Account (less permitted withdrawals, deferred underwriting commissions and income taxes payable), to complete our Business Combination. We may withdraw interest for working capital requirement and to pay franchise and income taxes. During the period ended December 31, 2020, we withdrew $450,000 of interest earned on the Trust Account for working capital purpose.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cash of $3,592,857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the initial stockholders or their affiliates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monitor the adequacy of our working capital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consummation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an affiliate of the Sponsor a monthly fee of $50,000 for office space, administrative and support services to the Company. We began incurring these fees on July 30, 2020 and will continue to incur these fees monthly until the earlier of the completion of the Business Combination and our liquidation.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are entitled to a deferred fee of $72,450,000 in the aggregate. The deferred fee will be waived by the underwriters in the event that we do not complete a Business Combination, subject to the terms of the underwriting agreement. The underwriters waived the upfront underwriting discount on 19,982,000 Units, resulting in a reduction of the upfront underwriting discount of $3,996,400. In addition, the underwriters reimbursed us an aggregate of $1,000,000 for costs incurred in connection with the Initial Public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shares of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Class A common stock subject to possible redemption is presented as temporary equity, outside of the stockholders’ equity section of our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apply the two-class method in calculating earnings per share. Net income (loss) per common share, basic and diluted for Class A common stock subject to possible redemption is calculated by dividing the interest income earned on the Trust Account, net of applicable taxes, if any, by the weighted average number of shares of Class A common stock subject to possible redemption outstanding for the period. Net income (loss) per common share, basic and diluted for non-redeemable common stock is calculated by dividing net loss less income attributable to Class A common stock subject to possible redemption, by the weighted average number of shares of non-redeemable common stock outstanding for the period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15 of this Form 10-K and is included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660"/>
              <w:spacing w:after="0"/>
              <w:rPr>
                <w:sz w:val="20"/>
                <w:szCs w:val="20"/>
                <w:color w:val="auto"/>
              </w:rPr>
            </w:pPr>
            <w:r>
              <w:rPr>
                <w:rFonts w:ascii="Arial" w:cs="Arial" w:eastAsia="Arial" w:hAnsi="Arial"/>
                <w:sz w:val="18"/>
                <w:szCs w:val="18"/>
                <w:color w:val="auto"/>
                <w:w w:val="94"/>
              </w:rPr>
              <w:t>Our current directors and executive officers are as follows: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4"/>
                <w:szCs w:val="24"/>
                <w:color w:val="auto"/>
              </w:rPr>
            </w:pPr>
          </w:p>
        </w:tc>
        <w:tc>
          <w:tcPr>
            <w:tcW w:w="504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Title</w:t>
            </w:r>
          </w:p>
        </w:tc>
      </w:tr>
      <w:tr>
        <w:trPr>
          <w:trHeight w:val="195"/>
        </w:trPr>
        <w:tc>
          <w:tcPr>
            <w:tcW w:w="5080" w:type="dxa"/>
            <w:vAlign w:val="bottom"/>
          </w:tcPr>
          <w:p>
            <w:pPr>
              <w:spacing w:after="0" w:line="195" w:lineRule="exact"/>
              <w:rPr>
                <w:sz w:val="20"/>
                <w:szCs w:val="20"/>
                <w:color w:val="auto"/>
              </w:rPr>
            </w:pPr>
            <w:r>
              <w:rPr>
                <w:rFonts w:ascii="Arial" w:cs="Arial" w:eastAsia="Arial" w:hAnsi="Arial"/>
                <w:sz w:val="18"/>
                <w:szCs w:val="18"/>
                <w:color w:val="auto"/>
              </w:rPr>
              <w:t>Michael Klein</w:t>
            </w:r>
          </w:p>
        </w:tc>
        <w:tc>
          <w:tcPr>
            <w:tcW w:w="220" w:type="dxa"/>
            <w:vAlign w:val="bottom"/>
          </w:tcPr>
          <w:p>
            <w:pPr>
              <w:spacing w:after="0"/>
              <w:rPr>
                <w:sz w:val="16"/>
                <w:szCs w:val="16"/>
                <w:color w:val="auto"/>
              </w:rPr>
            </w:pPr>
          </w:p>
        </w:tc>
        <w:tc>
          <w:tcPr>
            <w:tcW w:w="680" w:type="dxa"/>
            <w:vAlign w:val="bottom"/>
          </w:tcPr>
          <w:p>
            <w:pPr>
              <w:jc w:val="center"/>
              <w:spacing w:after="0" w:line="195" w:lineRule="exact"/>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w w:val="98"/>
              </w:rPr>
              <w:t>Chief Executive Officer, President and Chairman of the Board of</w:t>
            </w:r>
          </w:p>
        </w:tc>
      </w:t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Jay Taragin</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Glenn R. August</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William J. Bynum</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Bonnie Jonas</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Mark Klein</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Malcolm S. McDermid</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Karen G. Mills</w:t>
            </w:r>
          </w:p>
        </w:tc>
        <w:tc>
          <w:tcPr>
            <w:tcW w:w="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b w:val="1"/>
          <w:bCs w:val="1"/>
          <w:i w:val="1"/>
          <w:iCs w:val="1"/>
          <w:color w:val="auto"/>
        </w:rPr>
        <w:t xml:space="preserve">Michael Klein </w:t>
      </w:r>
      <w:r>
        <w:rPr>
          <w:rFonts w:ascii="Arial" w:cs="Arial" w:eastAsia="Arial" w:hAnsi="Arial"/>
          <w:sz w:val="17"/>
          <w:szCs w:val="17"/>
          <w:color w:val="auto"/>
        </w:rPr>
        <w:t>is our Chief Executive Officer, President and the Chairman of our Board of Directors. Mr. Klein is also the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Chairman of the Board of Directors of Churchill Capital Corp II, a blank check company whose sponsor is an affiliate of M. Klein and Company, LLC, Chief Executive Officer, President and Chairman of the Board of Directors of Churchill Capital Corp V, a blank check company whose sponsor is an affiliate of M. Klein and Company, LLC, Chief Executive Officer, President and Chairman of the Board of Directors of Churchill Capital Corp VII, a blank check company whose sponsor is an affiliate of M. Klein and Company, LLC and Chief Executive Officer, President and Chairman of the Board of Directors of AltC Acquisition Corp., a blank check company whose sponsor is an affiliate of M. Klein and Company. Mr. Klein is currently a Director of Credit Suisse Group AG and Credit Suisse AG. Mr. Klein was the co-founder and Chairman of Churchill Capital Corp, a blank check company formed in 2018. Churchill Capital Corp merged with Clarivate Analytics in May 2019. Mr. Klein was also the founder, Chief Executive Officer, President and Chairman of the Board of Directors of Churchill Capital Corp III, a blank check company formed in 2019. Churchill Capital Corp III merged with MultiPlan, Inc. in October 2020, and Mr. Klein currently serves on the board of directors of MultiPlan, Inc. Mr. Klein is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30-year career, including more than two decades at Citi and its predecessors, during which he initiated and executed strategic advisory transactions. He began his career as an investment banker in the M&amp;A Advisory Group at Salomon Smith Barney and subsequently became Chairman and Co-Chief Executive Officer of Citi Markets and Banking, with responsibilities for global corporate and investment banking and Global Transaction Services across Citi. Mr. Klein is a graduate of The Wharton School of the University of Pennsylvania, where he earned his Bachelors of Science in Economics with concentrations in finance and accounting. Mr. Klein was selected to serve on the board of directors due to his significant investment banking and advisory experience.</w:t>
      </w:r>
    </w:p>
    <w:p>
      <w:pPr>
        <w:spacing w:after="0" w:line="19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Jay Taragin </w:t>
      </w:r>
      <w:r>
        <w:rPr>
          <w:rFonts w:ascii="Arial" w:cs="Arial" w:eastAsia="Arial" w:hAnsi="Arial"/>
          <w:sz w:val="16"/>
          <w:szCs w:val="16"/>
          <w:color w:val="auto"/>
        </w:rPr>
        <w:t>is our Chief Financial Officer since February 2021. Mr. Taragin is also the Chief Financial Officer of Churchill Capital Corp V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2020, Chief Financial Officer of Churchill Capital Corp VI since December 2020, Chief Financial Officer of Churchill VII since December 2020, Chief Financial Officer of AltC Acquisition Corp. since March 2021 and Chief Financial Officer of M. Klein and Company which he joined in May 2019. Prior to joining M. Klein and Company, Mr. Taragin served as the US Scotiabank Chief Financial Officer from 2013 to 2017. Prior to Scotiabank,</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Mr. Taragin held a Chief Operating and Financial Officer role from 2009 to 2012 at Fundcore Finance Group LLC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Glenn R. August </w:t>
      </w:r>
      <w:r>
        <w:rPr>
          <w:rFonts w:ascii="Arial" w:cs="Arial" w:eastAsia="Arial" w:hAnsi="Arial"/>
          <w:sz w:val="17"/>
          <w:szCs w:val="17"/>
          <w:color w:val="auto"/>
        </w:rPr>
        <w:t>is a Director and is also a Director of Churchill Capital Corp II, Churchill Capital Corp V, Churchill Capital Corp VI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Churchill Capital Corp VII. Mr. August is the Founder, Senior Partner and Chief Executive Officer of Oak Hill Advisors. In addition, he serves as global head of the firm’s distressed investment business. Mr. August has played leadership roles in numerous restructurings and served on numerous public and private company boards since 1987. Since 1996, he co-founded each of Oak Hill Advisors’ funds, where he serves as Managing Partner. He co-founded the predecessor firm to Oak Hill Advisors in 1987 and took over responsibility for its credit and distressed investment activities in 1990. Mr. August earned a Bachelor of Science degree from Cornell University and an M.B.A. from Harvard Business School, where he was a Baker Scholar. Mr. August was selected to serve on our Board of Directors due to his significant financial and leadership experience.</w:t>
      </w:r>
    </w:p>
    <w:p>
      <w:pPr>
        <w:spacing w:after="0" w:line="17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b w:val="1"/>
          <w:bCs w:val="1"/>
          <w:i w:val="1"/>
          <w:iCs w:val="1"/>
          <w:color w:val="auto"/>
        </w:rPr>
        <w:t xml:space="preserve">William J. Bynum </w:t>
      </w:r>
      <w:r>
        <w:rPr>
          <w:rFonts w:ascii="Arial" w:cs="Arial" w:eastAsia="Arial" w:hAnsi="Arial"/>
          <w:sz w:val="17"/>
          <w:szCs w:val="17"/>
          <w:color w:val="auto"/>
        </w:rPr>
        <w:t>is a Director and also a Director of Churchill Capital Corp V. He is the Chief Executive Officer of HOPE (Hope Enterprise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Hope Credit Union and Hope Policy Institute), a family of organizations founded by him in 1994 that provides financial services; leverages private, public and philanthropic resources; and engages in policy analysis to fulfill its mission of strengthening communities, building assets, and improving lives in economically distressed parts of Alabama, Arkansas, Louisiana, Mississippi and Tennessee. Mr. Bynum serves on the boards of the Aspen Institute, NAACP Legal Defense Fund, Prosperity Now, and William Winter Institute for Racial Reconciliation. He previously chaired the Treasury Department’s Community Development Advisory Board and the Consumer Financial Protection Bureau Consumer Advisory Board. Mr. Bynum is a graduate of the University of North Carolina at Chapel Hill, and has completed executive coursework at the Harvard Business School. Mr. Bynum was selected to serve on our Board of Directors due to his significant financial and leadership experience.</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b w:val="1"/>
          <w:bCs w:val="1"/>
          <w:i w:val="1"/>
          <w:iCs w:val="1"/>
          <w:color w:val="auto"/>
        </w:rPr>
        <w:t xml:space="preserve">Bonnie Jonas </w:t>
      </w:r>
      <w:r>
        <w:rPr>
          <w:rFonts w:ascii="Arial" w:cs="Arial" w:eastAsia="Arial" w:hAnsi="Arial"/>
          <w:sz w:val="16"/>
          <w:szCs w:val="16"/>
          <w:color w:val="auto"/>
        </w:rPr>
        <w:t>is a Director and a Director of Churchill Capital Corp VI and Churchill Capital Corp VII. She is the cofounder of Pallas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LLC (“Pallas Global”), a company that provides independent monitoring and consulting services to corporations and organizations. Prior to co-founding Pallas Global, Ms. Jonas served for 18 years as an Assistant United States Attorney in the U.S. Attorney's Office for the Southern District of New York (the “SDNY”). Ms. Jonas's most recent position with the SDNY was as Deputy Chief of the Criminal Division, from 2013 to 2016. She also served as the SDNY's Financial Fraud Coordinator for President Obama's Financial Fraud Enforcement Task Force and as Co-Chief of the General Crimes Unit. Ms. Jonas was an attorney with the law firm Paul, Weiss, Rifkind, Wharton &amp; Garrison LLP and a law clerk for the Honorable Reena Raggi of the U.S. District Court in the Eastern District of New York. Earlier in her career, Ms. Jonas worked as a consultant at Peterson Consulting, where she evaluated settlement amounts in connection with pending asbestos litigation. Ms. Jonas is a graduate of the Wharton School at the University of Pennsylvania and Columbia Law School. Ms. Jonas was selected to serve on our Board of Directors due to her significant leadership and legal experience.</w:t>
      </w:r>
    </w:p>
    <w:p>
      <w:pPr>
        <w:spacing w:after="0" w:line="166"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6"/>
          <w:szCs w:val="16"/>
          <w:b w:val="1"/>
          <w:bCs w:val="1"/>
          <w:i w:val="1"/>
          <w:iCs w:val="1"/>
          <w:color w:val="auto"/>
        </w:rPr>
        <w:t xml:space="preserve">Mark Klein </w:t>
      </w:r>
      <w:r>
        <w:rPr>
          <w:rFonts w:ascii="Arial" w:cs="Arial" w:eastAsia="Arial" w:hAnsi="Arial"/>
          <w:sz w:val="16"/>
          <w:szCs w:val="16"/>
          <w:color w:val="auto"/>
        </w:rPr>
        <w:t>is a Director and also a Director of Churchill Capital Corp II, Churchill Capital IV, Churchill Capital Corp V, Churchill Capital Corp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 and Churchill Capital Corp VII. He is the President and Chief Executive Officer of Sutter Rock Capital, and has been a director of Sutter Rock Capital since 2011. Since 2010, Mr. Klein has served as a Managing Member and Majority Partner of M. Klein and Company, LLC. Mr. Klein also serves on the Board of Directors for Atlantic Alliance Partnership Corp. and has served as an investment adviser at B. Riley Wealth Management since April 2012.</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Mr. Klein was a Director of National Holding Corporations from 2011 to 2014, where he also served as Chief Executive Officer and Co- Chairman from March 2013 to December 2014. He served as a director of New University Holdings Corp., from its inception in 2010 through August 2011, when New University Holdings Corp. merged with ePals, Inc. In addition, from April 2010 until May 2011, Mr. Klein served as the Chief Executive Officer and President and a Director of 57th Street General Acquisition Corp. until it completed a merger with Crumbs Bake Shop. Subsequently, Mr. Klein served as a member of the Board of Directors of Crumbs from May 2011 to March 2014. Mr. Klein has a Bachelor’s degree, with high distinction, in Business Administration from Emory University and an MBA from the J. L. Kellogg School of Management, Northwestern University. Mr. Klein was selected to serve on our Board of Directors due to his significant financial and leadership experience.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right="80" w:firstLine="648"/>
        <w:spacing w:after="0" w:line="254" w:lineRule="auto"/>
        <w:rPr>
          <w:sz w:val="20"/>
          <w:szCs w:val="20"/>
          <w:color w:val="auto"/>
        </w:rPr>
      </w:pPr>
      <w:r>
        <w:rPr>
          <w:rFonts w:ascii="Arial" w:cs="Arial" w:eastAsia="Arial" w:hAnsi="Arial"/>
          <w:sz w:val="18"/>
          <w:szCs w:val="18"/>
          <w:b w:val="1"/>
          <w:bCs w:val="1"/>
          <w:i w:val="1"/>
          <w:iCs w:val="1"/>
          <w:color w:val="auto"/>
        </w:rPr>
        <w:t xml:space="preserve">Malcolm S. McDermid </w:t>
      </w:r>
      <w:r>
        <w:rPr>
          <w:rFonts w:ascii="Arial" w:cs="Arial" w:eastAsia="Arial" w:hAnsi="Arial"/>
          <w:sz w:val="18"/>
          <w:szCs w:val="18"/>
          <w:color w:val="auto"/>
        </w:rPr>
        <w:t>is a Director and also a Director of Churchill Capital Corp II, Churchill Capital Corp VI and Churchill Capital Corp VII.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was previously a Director of Churchill Capital Corp. Mr. McDermid is also a Managing Director with Emerson Collective, where he has led Emerson Collective's venture capital investing efforts since August 2017. He was previously a Partner with Andreessen Horowitz, a venture capital firm based in Menlo Park, California from March 2013 to July 2017. Prior to Andreessen Horowitz, Mr. McDermid was a Director with Stifel Nicolaus, formerly Thomas Weisel Partners, a technology focused investment bank in San Francisco. He began his career at Citigroup as a financial analyst. Mr. McDermid received a Bachelor of Arts degree in Computer Science and Quantitative Economics from Tufts University and a Master of Arts in Law and Diplomacy from the Fletcher School at Tufts University. Mr. McDermid was selected to serve on our Board of Directors due to his significant financial and leadership experience.</w:t>
      </w:r>
    </w:p>
    <w:p>
      <w:pPr>
        <w:spacing w:after="0" w:line="19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b w:val="1"/>
          <w:bCs w:val="1"/>
          <w:i w:val="1"/>
          <w:iCs w:val="1"/>
          <w:color w:val="auto"/>
        </w:rPr>
        <w:t xml:space="preserve">Karen G. Mills </w:t>
      </w:r>
      <w:r>
        <w:rPr>
          <w:rFonts w:ascii="Arial" w:cs="Arial" w:eastAsia="Arial" w:hAnsi="Arial"/>
          <w:sz w:val="17"/>
          <w:szCs w:val="17"/>
          <w:color w:val="auto"/>
        </w:rPr>
        <w:t>is a Director and also a Director of Churchill Capital Corp II, Churchill Capital Corp V, Churchill Capital Corp VI and Churchill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Corp VII. Ms. Mills is also a Senior Fellow at the Harvard Business School since January 2014, focusing on economic policy, U.S. competitiveness, entrepreneurship and innovation. Ms. Mills was a member of President Barack Obama's Cabinet, serving as the Administrator of the U.S. Small Business Administration from April 2009 to August 2013. Ms. Mills is the President of MMP Group since October 1993, which invests in financial services, consumer products and technology-enabled solutions businesses. Ms. Mills is Vice Chair of the immigration services company Envoy Global since September 2014. She also serves as Chair of the Advisory Committee for the Private Capital Research Institute since March 2017. Ms. Mills holds an A.B. degree in Economics from Harvard University, Magna Cum Laude, and earned an M.B.A. from Harvard Business School. Ms. Mills was selected to serve on our Board of Directors due to her significant financial and leadership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board of directors consists of seven members. Holders of our founder shares will have the right to elect all of our directors prior to consummation of our initial business combination and holders of our public shares will not have the right to vote on the election of directors during such time. These provisions of our amended and restated certificate of incorporation may only be amended if approved by a majority of at least 90% of our common stock voting at a stockholder meeting. Approval of our initial business combination will require the affirmative vote of a majority of our board directors, including the two director nominees of our sponsor. Our board of directors is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Glenn R. August and Malcolm S. McDermid, will expire at our first annual meeting of stockholders. The term of office of the second class of directors, consisting of Mark Klein and Karen G. Mills, will expire at the second annual meeting of stockholders. The term of office of the third class of directors, consisting of William J. Bynum, Bonnie Jonas and Michael Klein, will expire at the third annual meeting of stockholders. We may not hold an annual meeting of stockholders until after we consummate our initial business combination.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founder shares.</w:t>
      </w:r>
    </w:p>
    <w:p>
      <w:pPr>
        <w:spacing w:after="0" w:line="186"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will provide that our officers may consist of a Chief Executive Officer, a President, a Chief Financial Officer, Vice Presidents, a Secretary, Assistant Secretaries, a Treasurer, Assistant Treasurers and such other offices as may be determined by the board of directors.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rules of the NYSE require that a majority of our board of directors be independent within one year of our IPO. Our board has determined that each of Glenn R. August, William J. Bynum, Bonnie Jonas, Malcolm S. McDermid and Karen G. Mills is an independent director under applicable SEC and NYSE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None of our officers or directors have received any compensation for services rendered to us. Our sponsor, officers, directors and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consummation of our initial business combination should be a determining factor in our decision to proceed with any potential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board of directors has three standing committees: an audit committee, a compensation committee and a nominating and corporate governance committee. Both our audit committee and our compensation committee are composed solely of independent directors. Subject to phase-in rules, the rules of NYSE and Rule 10A-3 of the Exchange Act require that the audit committee of a listed company be comprised solely of independent directors, and the rules of NYSE require that the compensation committee and the nominating and corporate governance committee of a listed company be comprised solely of independent directors. Each committee operates under a charter that was approved by our board and has the composition and responsibilities described below. The charter of each committee is available on our website.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members of our audit committee are Glenn R. August and Karen G. Mills, and Karen G. Mills serves as chairman of the audit committee. Each member of the audit committee is financially literate and our board of directors has determined that qualifies as an “audit committee financial expert” as defined in applicable SEC rules and has accounting or related financial management expertise. We have adopted an audit committee charter, which details the purpose and principal functions of the audit committee, including:</w:t>
      </w:r>
    </w:p>
    <w:p>
      <w:pPr>
        <w:spacing w:after="0" w:line="187" w:lineRule="exact"/>
        <w:rPr>
          <w:sz w:val="20"/>
          <w:szCs w:val="20"/>
          <w:color w:val="auto"/>
        </w:rPr>
      </w:pPr>
    </w:p>
    <w:p>
      <w:pPr>
        <w:ind w:left="980" w:right="240" w:hanging="324"/>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left="980" w:right="40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6" w:lineRule="exact"/>
        <w:rPr>
          <w:rFonts w:ascii="Arial" w:cs="Arial" w:eastAsia="Arial" w:hAnsi="Arial"/>
          <w:sz w:val="18"/>
          <w:szCs w:val="18"/>
          <w:color w:val="auto"/>
        </w:rPr>
      </w:pPr>
    </w:p>
    <w:p>
      <w:pPr>
        <w:ind w:left="980" w:right="62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“Item 7. Management’s Discussion and Analysis of Financial Condition and Results of Operations”;</w:t>
      </w:r>
    </w:p>
    <w:p>
      <w:pPr>
        <w:spacing w:after="0" w:line="183"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980" w:right="120" w:hanging="324"/>
        <w:spacing w:after="0" w:line="279"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is governed by a charter that complies with the rules of the NYSE.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members of our Compensation Committee are Glenn R. August, Malcolm S. McDermid and Karen G. Mills, and Karen G. Mills serves as chairman of the compensation committee.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adopted a compensation committee charter, which details the purpose and responsibility of the compensation committee, including:</w:t>
      </w:r>
    </w:p>
    <w:p>
      <w:pPr>
        <w:spacing w:after="0" w:line="248" w:lineRule="exact"/>
        <w:rPr>
          <w:sz w:val="20"/>
          <w:szCs w:val="20"/>
          <w:color w:val="auto"/>
        </w:rPr>
      </w:pPr>
    </w:p>
    <w:p>
      <w:pPr>
        <w:ind w:left="980" w:right="16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(or approving, if such authority is so delegated by our board of directors) the compensation, and any incentive-compensation and equity-based plans that are subject to board approval of all of our other officers;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4" w:name="page65"/>
    <w:bookmarkEnd w:id="64"/>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The charter complies with the rules of the NYSE.</w:t>
      </w:r>
    </w:p>
    <w:p>
      <w:pPr>
        <w:spacing w:after="0" w:line="184"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members of our nominating and corporate governance committee are Glenn R. August, Malcolm S. McDermid and Karen G. Mills, and Karen G. Mills serves as chair of the nominating and corporate governance committee.</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adopted a nominating and corporate governance committee charter, which details the purpose and responsibilities of the nominating and corporate governance committee, including:</w:t>
      </w:r>
    </w:p>
    <w:p>
      <w:pPr>
        <w:spacing w:after="0" w:line="170" w:lineRule="exact"/>
        <w:rPr>
          <w:sz w:val="20"/>
          <w:szCs w:val="20"/>
          <w:color w:val="auto"/>
        </w:rPr>
      </w:pPr>
    </w:p>
    <w:p>
      <w:pPr>
        <w:ind w:left="98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 The charter complies with the rules of the NYSE.</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16(a) of the Securities Exchange Act of 1934, as amended, requires our officers, directors and persons who beneficially own more than ten percent of our common stock to file reports of ownership and changes in ownership with the SEC. These reporting persons are also required to furnish us with copies of all Section 16(a) forms they file. Based solely upon a review of such forms, we believe that during the period from April 30, 2020 (inception) through December 31, 2020, there were no delinquent filers.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adopted a Code of Ethics applicable to our directors, officers and employees.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You will be able to review these documents by accessing our public filings at the SEC’s website at www.sec.gov. In addition, a copy of the Code of Ethics will be provided without charge upon request from us. We intend to disclose any amendments to or waivers of certain provisions of our Code of Ethics in a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“Item 1. Business</w:t>
      </w:r>
    </w:p>
    <w:p>
      <w:pPr>
        <w:spacing w:after="0" w:line="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Sourcing of Potential Business Combination Targets”). These conflicts may not be resolved in our favor and a potential target business may be presented to another entity prior to its presentation to us.</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M. Klein and Company, or policies applicable to M. Klein and Company, will materially affect our ability to complete our initial business combination.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w:t>
      </w:r>
    </w:p>
    <w:p>
      <w:pPr>
        <w:spacing w:after="0" w:line="18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sponsor, officers and directors may participate in the formation of, or become an officer or director of, any other blank check company prior to completion of our initial business combination. Potential investors should also be aware of the following other potential conflicts of interest:</w:t>
      </w:r>
    </w:p>
    <w:p>
      <w:pPr>
        <w:spacing w:after="0" w:line="146" w:lineRule="exact"/>
        <w:rPr>
          <w:sz w:val="20"/>
          <w:szCs w:val="20"/>
          <w:color w:val="auto"/>
        </w:rPr>
      </w:pPr>
    </w:p>
    <w:p>
      <w:pPr>
        <w:ind w:left="980" w:right="36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 (including the activities of M. Klein and Company).</w:t>
      </w:r>
    </w:p>
    <w:p>
      <w:pPr>
        <w:spacing w:after="0" w:line="170" w:lineRule="exact"/>
        <w:rPr>
          <w:rFonts w:ascii="Arial" w:cs="Arial" w:eastAsia="Arial" w:hAnsi="Arial"/>
          <w:sz w:val="18"/>
          <w:szCs w:val="18"/>
          <w:color w:val="auto"/>
        </w:rPr>
      </w:pPr>
    </w:p>
    <w:p>
      <w:pPr>
        <w:jc w:val="both"/>
        <w:ind w:left="980" w:right="200" w:hanging="324"/>
        <w:spacing w:after="0" w:line="286"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324" w:hanging="324"/>
        <w:spacing w:after="0" w:line="267" w:lineRule="auto"/>
        <w:tabs>
          <w:tab w:leader="none" w:pos="3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redemption rights with respect to any founder shares held by them if we fail to consummate our initial business combination within the completion window. However, if our initial stockholders or any of our officers, directors or affiliates acquire public shares in or after the IPO, they will be entitled to liquidating distributions from the trust account with respect to such public shares if we fail to consummate our initial business combination within the completion window.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stockholders until the earlier of: (1) one year after the completion of our initial business combination; and (2) the date on which we consummate a liquidation, merger, stock exchange, reorganization or other similar transaction after our initial business combination that results in all of our public stockholders having the right to exchange their shares of common stock for cash, securities or other property. Notwithstanding the foregoing, if the closing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shares of common stock underlying such warrants, will not be transferable, assignable or salable by our sponsor until 30 days after the completion of our initial business combination. Since our sponsor, officers and directors may directly or indirectly own common stock and warrants, our officers and directors may have a conflict of interest in determining whether a particular target business is an appropriate business with which to effectuate our initial business combination.</w:t>
      </w:r>
    </w:p>
    <w:p>
      <w:pPr>
        <w:spacing w:after="0" w:line="188" w:lineRule="exact"/>
        <w:rPr>
          <w:rFonts w:ascii="Arial" w:cs="Arial" w:eastAsia="Arial" w:hAnsi="Arial"/>
          <w:sz w:val="17"/>
          <w:szCs w:val="17"/>
          <w:color w:val="auto"/>
        </w:rPr>
      </w:pPr>
    </w:p>
    <w:p>
      <w:pPr>
        <w:ind w:left="324" w:right="20" w:hanging="324"/>
        <w:spacing w:after="0" w:line="286" w:lineRule="auto"/>
        <w:tabs>
          <w:tab w:leader="none" w:pos="3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65" w:lineRule="exact"/>
        <w:rPr>
          <w:rFonts w:ascii="Arial" w:cs="Arial" w:eastAsia="Arial" w:hAnsi="Arial"/>
          <w:sz w:val="17"/>
          <w:szCs w:val="17"/>
          <w:color w:val="auto"/>
        </w:rPr>
      </w:pPr>
    </w:p>
    <w:p>
      <w:pPr>
        <w:ind w:left="324" w:hanging="324"/>
        <w:spacing w:after="0" w:line="342" w:lineRule="auto"/>
        <w:tabs>
          <w:tab w:leader="none" w:pos="3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key personnel may have a conflict of interest with respect to evaluating a particular business combination if the retention or resignation of any such key personnel was included by a target business as a condition to any agreement with respect to our initial business combination.</w:t>
      </w:r>
    </w:p>
    <w:p>
      <w:pPr>
        <w:spacing w:after="0" w:line="123" w:lineRule="exact"/>
        <w:rPr>
          <w:rFonts w:ascii="Arial" w:cs="Arial" w:eastAsia="Arial" w:hAnsi="Arial"/>
          <w:sz w:val="16"/>
          <w:szCs w:val="16"/>
          <w:color w:val="auto"/>
        </w:rPr>
      </w:pPr>
    </w:p>
    <w:p>
      <w:pPr>
        <w:ind w:left="324" w:right="140" w:hanging="324"/>
        <w:spacing w:after="0" w:line="257" w:lineRule="auto"/>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 See “Item 1A. Risk Factors — We may engage an affiliate of our sponsor who may be entitled to earn an advisory fee upon the completion of an initial business combination. Its financial interest in the completion of the business combination may influence the advice it provides the Company.”</w:t>
      </w:r>
    </w:p>
    <w:p>
      <w:pPr>
        <w:spacing w:after="0" w:line="187"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conflicts described above may not be resolved in our favor.</w:t>
      </w:r>
    </w:p>
    <w:p>
      <w:pPr>
        <w:spacing w:after="0" w:line="225" w:lineRule="exact"/>
        <w:rPr>
          <w:rFonts w:ascii="Arial" w:cs="Arial" w:eastAsia="Arial" w:hAnsi="Arial"/>
          <w:sz w:val="18"/>
          <w:szCs w:val="18"/>
          <w:color w:val="auto"/>
        </w:rPr>
      </w:pPr>
    </w:p>
    <w:p>
      <w:pPr>
        <w:ind w:left="324" w:right="580" w:hanging="324"/>
        <w:spacing w:after="0" w:line="277" w:lineRule="auto"/>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7" w:name="page68"/>
    <w:bookmarkEnd w:id="67"/>
    <w:p>
      <w:pPr>
        <w:ind w:right="40" w:firstLine="648"/>
        <w:spacing w:after="0" w:line="293" w:lineRule="auto"/>
        <w:rPr>
          <w:sz w:val="20"/>
          <w:szCs w:val="20"/>
          <w:color w:val="auto"/>
        </w:rPr>
      </w:pPr>
      <w:r>
        <w:rPr>
          <w:rFonts w:ascii="Arial" w:cs="Arial" w:eastAsia="Arial" w:hAnsi="Arial"/>
          <w:sz w:val="16"/>
          <w:szCs w:val="16"/>
          <w:color w:val="auto"/>
        </w:rPr>
        <w:t>Accordingly, as a result of multiple business affiliations, our officers and directors have similar legal obligations and duties relating to presenting business opportunities meeting the above-listed criteria to multiple entities. Furthermore, our amended and restated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and there will not be any expectancy that any of our directors or officers will offer any such corporate opportunity of which he or she may become aware to us. Below is a table summarizing the entities to which our officers, directors and director nominees currently have fiduciary duties or contractual obligations that may present a conflict of interest: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Name of Individual</w:t>
            </w:r>
          </w:p>
        </w:tc>
        <w:tc>
          <w:tcPr>
            <w:tcW w:w="220" w:type="dxa"/>
            <w:vAlign w:val="bottom"/>
          </w:tcPr>
          <w:p>
            <w:pPr>
              <w:spacing w:after="0"/>
              <w:rPr>
                <w:sz w:val="20"/>
                <w:szCs w:val="20"/>
                <w:color w:val="auto"/>
              </w:rPr>
            </w:pPr>
          </w:p>
        </w:tc>
        <w:tc>
          <w:tcPr>
            <w:tcW w:w="27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Entity Name</w:t>
            </w:r>
          </w:p>
        </w:tc>
        <w:tc>
          <w:tcPr>
            <w:tcW w:w="240" w:type="dxa"/>
            <w:vAlign w:val="bottom"/>
          </w:tcPr>
          <w:p>
            <w:pPr>
              <w:spacing w:after="0"/>
              <w:rPr>
                <w:sz w:val="20"/>
                <w:szCs w:val="20"/>
                <w:color w:val="auto"/>
              </w:rPr>
            </w:pPr>
          </w:p>
        </w:tc>
        <w:tc>
          <w:tcPr>
            <w:tcW w:w="26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Entity’s Business</w:t>
            </w:r>
          </w:p>
        </w:tc>
        <w:tc>
          <w:tcPr>
            <w:tcW w:w="220" w:type="dxa"/>
            <w:vAlign w:val="bottom"/>
          </w:tcPr>
          <w:p>
            <w:pPr>
              <w:spacing w:after="0"/>
              <w:rPr>
                <w:sz w:val="20"/>
                <w:szCs w:val="20"/>
                <w:color w:val="auto"/>
              </w:rPr>
            </w:pPr>
          </w:p>
        </w:tc>
        <w:tc>
          <w:tcPr>
            <w:tcW w:w="26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Affiliation</w:t>
            </w:r>
          </w:p>
        </w:tc>
      </w:tr>
      <w:tr>
        <w:trPr>
          <w:trHeight w:val="195"/>
        </w:trPr>
        <w:tc>
          <w:tcPr>
            <w:tcW w:w="2500" w:type="dxa"/>
            <w:vAlign w:val="bottom"/>
          </w:tcPr>
          <w:p>
            <w:pPr>
              <w:spacing w:after="0" w:line="195" w:lineRule="exact"/>
              <w:rPr>
                <w:sz w:val="20"/>
                <w:szCs w:val="20"/>
                <w:color w:val="auto"/>
              </w:rPr>
            </w:pPr>
            <w:r>
              <w:rPr>
                <w:rFonts w:ascii="Arial" w:cs="Arial" w:eastAsia="Arial" w:hAnsi="Arial"/>
                <w:sz w:val="18"/>
                <w:szCs w:val="18"/>
                <w:color w:val="auto"/>
              </w:rPr>
              <w:t>Michael Klein</w:t>
            </w:r>
          </w:p>
        </w:tc>
        <w:tc>
          <w:tcPr>
            <w:tcW w:w="220" w:type="dxa"/>
            <w:vAlign w:val="bottom"/>
          </w:tcPr>
          <w:p>
            <w:pPr>
              <w:spacing w:after="0"/>
              <w:rPr>
                <w:sz w:val="16"/>
                <w:szCs w:val="16"/>
                <w:color w:val="auto"/>
              </w:rPr>
            </w:pPr>
          </w:p>
        </w:tc>
        <w:tc>
          <w:tcPr>
            <w:tcW w:w="2700" w:type="dxa"/>
            <w:vAlign w:val="bottom"/>
          </w:tcPr>
          <w:p>
            <w:pPr>
              <w:spacing w:after="0" w:line="195" w:lineRule="exact"/>
              <w:rPr>
                <w:sz w:val="20"/>
                <w:szCs w:val="20"/>
                <w:color w:val="auto"/>
              </w:rPr>
            </w:pPr>
            <w:r>
              <w:rPr>
                <w:rFonts w:ascii="Arial" w:cs="Arial" w:eastAsia="Arial" w:hAnsi="Arial"/>
                <w:sz w:val="18"/>
                <w:szCs w:val="18"/>
                <w:color w:val="auto"/>
              </w:rPr>
              <w:t>M. Klein and Company</w:t>
            </w:r>
          </w:p>
        </w:tc>
        <w:tc>
          <w:tcPr>
            <w:tcW w:w="24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Strategic advice</w:t>
            </w:r>
          </w:p>
        </w:tc>
        <w:tc>
          <w:tcPr>
            <w:tcW w:w="22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Founder and Managing Member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Credit Suisse Group AG</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Financial services</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Credit Suisse AG</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Financial services</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8"/>
              </w:rPr>
              <w:t>Chief Executive Officer, President</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8"/>
              </w:rPr>
              <w:t>Chief Executive Officer, President</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MultiPlan, Inc.</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Healthcare cost management</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solutions</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8"/>
              </w:rPr>
              <w:t>Chief Executive Officer, President</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8"/>
              </w:rPr>
              <w:t>Chief Executive Officer, President</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AltC Acquisition Corp.</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8"/>
              </w:rPr>
              <w:t>Chief Executive Officer, President</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Jay Taragin</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M. Klein and Company</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Strategic advice</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AltC Acquisition Corp.</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Glenn R. August</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Oak Hill Advisors</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Investment</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6"/>
              </w:rPr>
              <w:t>Founder, Senior Partner and Chief</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Executive Officer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William J. Bynum</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HOPE</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Financial services</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Bonnie Jonas</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Pallas Global Group</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Monitoring and consulting</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Co-Founder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Mark Klein</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M. Klein and Company</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Strategic advice</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Managing Member and Majority</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Partner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Sutter Rock Capital</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Investment</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w w:val="92"/>
              </w:rPr>
              <w:t>Chief Executive Officer and 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8"/>
              </w:rPr>
              <w:t>Atlantic Alliance Partnership Corp.</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Malcolm S. McDermid</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Emerson Collective</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Investment</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Managing 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Karen G. Mills</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MMP Group</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Private equity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President</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Envoy Global</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Immigration services</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II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w:t>
            </w: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25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Churchill Capital Corp VII</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Blank check company</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648"/>
        </w:trPr>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253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8" w:name="page69"/>
    <w:bookmarkEnd w:id="68"/>
    <w:p>
      <w:pPr>
        <w:ind w:right="60" w:firstLine="648"/>
        <w:spacing w:after="0" w:line="275" w:lineRule="auto"/>
        <w:rPr>
          <w:sz w:val="20"/>
          <w:szCs w:val="20"/>
          <w:color w:val="auto"/>
        </w:rPr>
      </w:pPr>
      <w:r>
        <w:rPr>
          <w:rFonts w:ascii="Arial" w:cs="Arial" w:eastAsia="Arial" w:hAnsi="Arial"/>
          <w:sz w:val="17"/>
          <w:szCs w:val="17"/>
          <w:color w:val="auto"/>
        </w:rPr>
        <w:t>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“Item 1. Business — Sourcing of Potential Business Combination Targets”). These conflicts may not be resolved in our favor and a potential target business may be presented to another entity prior to its presentation to us.</w:t>
      </w:r>
    </w:p>
    <w:p>
      <w:pPr>
        <w:spacing w:after="0" w:line="17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M. Klein and Company, or policies applicable to M. Klein and Company, will materially affect our ability to complete our initial business combination.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w:t>
      </w:r>
    </w:p>
    <w:p>
      <w:pPr>
        <w:spacing w:after="0" w:line="188"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M. Klein and Company, our sponsor, officers or directors. In the event we seek to complete our initial business combination with a business that is affiliated with M. Klein and Company, our sponsor, officers or directors, we, or a committee of independent and 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1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our sponsor or any of its affiliates (including M. Klein and Company)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9" w:name="page70"/>
    <w:bookmarkEnd w:id="69"/>
    <w:p>
      <w:pPr>
        <w:ind w:right="100" w:firstLine="648"/>
        <w:spacing w:after="0" w:line="286" w:lineRule="auto"/>
        <w:rPr>
          <w:sz w:val="20"/>
          <w:szCs w:val="20"/>
          <w:color w:val="auto"/>
        </w:rPr>
      </w:pPr>
      <w:r>
        <w:rPr>
          <w:rFonts w:ascii="Arial" w:cs="Arial" w:eastAsia="Arial" w:hAnsi="Arial"/>
          <w:sz w:val="17"/>
          <w:szCs w:val="17"/>
          <w:color w:val="auto"/>
        </w:rPr>
        <w:t>In the event that we submit our initial business combination to our public stockholders for a vote, our initial stockholders, officers and directors have agreed to vote any founder shares and any public shares held by them in favor of our initial business combination, and our officers and directors have also agreed to vote public shares purchased by them (if any) during or after the IPO in favor of our initial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amended and restated certificate of incorporation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stockholders for breaches of their fiduciary duty as directors, except to the extent such exemption from liability or limitation thereof is not permitted by the DGCL.</w:t>
      </w:r>
    </w:p>
    <w:p>
      <w:pPr>
        <w:spacing w:after="0" w:line="187"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We entered into agreements with our officers and directors to provide contractual indemnification in addition to the indemnification provided for in our amended and restated certificate of incorporation. Our bylaws also permit us to maintain insurance on behalf of any officer, director or employee for any liability arising out of his or her actions, regardless of whether Delaware law would permit such indemnification.</w:t>
      </w:r>
    </w:p>
    <w:p>
      <w:pPr>
        <w:spacing w:after="0" w:line="165"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We obtained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0"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connection with the IPO, we have undertaken that 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We pay monthly recurring expenses of $50,000 to an affiliate of our sponsor for office space, administrative and support services. Upon completion of the initial business combination or our liquidation, the Company will cease paying these monthly fees. Accordingly, in the event the consummation of the initial business combination takes the maximum 27 months, an affiliate of the sponsor will be paid a total of $1,350,000 ($50,000 per month) for office space, administrative and support services and will be entitled to be reimbursed for any out-of-pocket expenses.</w:t>
      </w:r>
    </w:p>
    <w:p>
      <w:pPr>
        <w:spacing w:after="0" w:line="17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Our sponsor, executive officers, directors, or any of their respective affiliates, are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directors and our or their affiliates.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right="160" w:firstLine="648"/>
        <w:spacing w:after="0" w:line="255" w:lineRule="auto"/>
        <w:rPr>
          <w:sz w:val="20"/>
          <w:szCs w:val="20"/>
          <w:color w:val="auto"/>
        </w:rPr>
      </w:pPr>
      <w:r>
        <w:rPr>
          <w:rFonts w:ascii="Arial" w:cs="Arial" w:eastAsia="Arial" w:hAnsi="Arial"/>
          <w:sz w:val="18"/>
          <w:szCs w:val="18"/>
          <w:color w:val="auto"/>
        </w:rPr>
        <w:t>After the completion of our business combination, directors or members of our management team who remain with us may be paid consulting, management or other fees from the combined company. All of these fees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executive officers will be determined by a compensation committee constituted solely by independent directors.</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the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the date of this annual report, by:</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warrants are not exercisable within 60 days of the date of this annual report.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0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8300" w:type="dxa"/>
            <w:vAlign w:val="bottom"/>
            <w:vMerge w:val="restart"/>
          </w:tcPr>
          <w:p>
            <w:pPr>
              <w:spacing w:after="0"/>
              <w:rPr>
                <w:sz w:val="20"/>
                <w:szCs w:val="20"/>
                <w:color w:val="auto"/>
              </w:rPr>
            </w:pPr>
            <w:r>
              <w:rPr>
                <w:rFonts w:ascii="Arial" w:cs="Arial" w:eastAsia="Arial" w:hAnsi="Arial"/>
                <w:sz w:val="18"/>
                <w:szCs w:val="18"/>
                <w:color w:val="auto"/>
              </w:rPr>
              <w:t>Name and Address of Beneficial Owner</w:t>
            </w:r>
            <w:r>
              <w:rPr>
                <w:rFonts w:ascii="Arial" w:cs="Arial" w:eastAsia="Arial" w:hAnsi="Arial"/>
                <w:sz w:val="29"/>
                <w:szCs w:val="29"/>
                <w:color w:val="auto"/>
                <w:vertAlign w:val="superscript"/>
              </w:rPr>
              <w:t>(1)</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8300" w:type="dxa"/>
            <w:vAlign w:val="bottom"/>
            <w:tcBorders>
              <w:bottom w:val="single" w:sz="8" w:color="CCEEFF"/>
            </w:tcBorders>
            <w:vMerge w:val="continue"/>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Owned</w:t>
            </w:r>
            <w:r>
              <w:rPr>
                <w:rFonts w:ascii="Arial" w:cs="Arial" w:eastAsia="Arial" w:hAnsi="Arial"/>
                <w:sz w:val="29"/>
                <w:szCs w:val="29"/>
                <w:b w:val="1"/>
                <w:bCs w:val="1"/>
                <w:color w:val="auto"/>
                <w:w w:val="88"/>
                <w:vertAlign w:val="superscript"/>
              </w:rPr>
              <w:t>(2)</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83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Churchill Sponsor IV LLC</w:t>
            </w:r>
            <w:r>
              <w:rPr>
                <w:rFonts w:ascii="Arial" w:cs="Arial" w:eastAsia="Arial" w:hAnsi="Arial"/>
                <w:sz w:val="27"/>
                <w:szCs w:val="27"/>
                <w:color w:val="auto"/>
                <w:vertAlign w:val="superscript"/>
              </w:rPr>
              <w:t>(2)(3)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51,750,000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8300" w:type="dxa"/>
            <w:vAlign w:val="bottom"/>
          </w:tcPr>
          <w:p>
            <w:pPr>
              <w:spacing w:after="0" w:line="256" w:lineRule="exact"/>
              <w:rPr>
                <w:sz w:val="20"/>
                <w:szCs w:val="20"/>
                <w:color w:val="auto"/>
              </w:rPr>
            </w:pPr>
            <w:r>
              <w:rPr>
                <w:rFonts w:ascii="Arial" w:cs="Arial" w:eastAsia="Arial" w:hAnsi="Arial"/>
                <w:sz w:val="18"/>
                <w:szCs w:val="18"/>
                <w:color w:val="auto"/>
              </w:rPr>
              <w:t>Michael Klein</w:t>
            </w:r>
            <w:r>
              <w:rPr>
                <w:rFonts w:ascii="Arial" w:cs="Arial" w:eastAsia="Arial" w:hAnsi="Arial"/>
                <w:sz w:val="29"/>
                <w:szCs w:val="29"/>
                <w:color w:val="auto"/>
                <w:vertAlign w:val="superscript"/>
              </w:rPr>
              <w:t>(3)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51,750,000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Jay Taragin</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Glenn R. August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William J. Bynum</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Bonnie Jonas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Mark Klein</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Malcolm S. McDermid</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Karen G. Mills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00" w:type="dxa"/>
            <w:vAlign w:val="bottom"/>
          </w:tcPr>
          <w:p>
            <w:pPr>
              <w:spacing w:after="0" w:line="256" w:lineRule="exact"/>
              <w:rPr>
                <w:sz w:val="20"/>
                <w:szCs w:val="20"/>
                <w:color w:val="auto"/>
              </w:rPr>
            </w:pPr>
            <w:r>
              <w:rPr>
                <w:rFonts w:ascii="Arial" w:cs="Arial" w:eastAsia="Arial" w:hAnsi="Arial"/>
                <w:sz w:val="18"/>
                <w:szCs w:val="18"/>
                <w:color w:val="auto"/>
              </w:rPr>
              <w:t>Magnetar Financial LLC</w:t>
            </w:r>
            <w:r>
              <w:rPr>
                <w:rFonts w:ascii="Arial" w:cs="Arial" w:eastAsia="Arial" w:hAnsi="Arial"/>
                <w:sz w:val="29"/>
                <w:szCs w:val="29"/>
                <w:color w:val="auto"/>
                <w:vertAlign w:val="superscript"/>
              </w:rPr>
              <w:t>(4)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17,892,000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Glazer Capital, LLC</w:t>
            </w:r>
            <w:r>
              <w:rPr>
                <w:rFonts w:ascii="Arial" w:cs="Arial" w:eastAsia="Arial" w:hAnsi="Arial"/>
                <w:sz w:val="29"/>
                <w:szCs w:val="29"/>
                <w:color w:val="auto"/>
                <w:vertAlign w:val="superscript"/>
              </w:rPr>
              <w:t>(5)</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12,313,947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6"/>
        </w:trPr>
        <w:tc>
          <w:tcPr>
            <w:tcW w:w="8300" w:type="dxa"/>
            <w:vAlign w:val="bottom"/>
          </w:tcPr>
          <w:p>
            <w:pPr>
              <w:spacing w:after="0" w:line="256" w:lineRule="exact"/>
              <w:rPr>
                <w:sz w:val="20"/>
                <w:szCs w:val="20"/>
                <w:color w:val="auto"/>
              </w:rPr>
            </w:pPr>
            <w:r>
              <w:rPr>
                <w:rFonts w:ascii="Arial" w:cs="Arial" w:eastAsia="Arial" w:hAnsi="Arial"/>
                <w:sz w:val="18"/>
                <w:szCs w:val="18"/>
                <w:color w:val="auto"/>
              </w:rPr>
              <w:t>Aristeia Capital, L.L.C.</w:t>
            </w:r>
            <w:r>
              <w:rPr>
                <w:rFonts w:ascii="Arial" w:cs="Arial" w:eastAsia="Arial" w:hAnsi="Arial"/>
                <w:sz w:val="29"/>
                <w:szCs w:val="29"/>
                <w:color w:val="auto"/>
                <w:vertAlign w:val="superscript"/>
              </w:rPr>
              <w:t>(6)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11,190,850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51,750,000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0"/>
          <w:szCs w:val="20"/>
          <w:color w:val="auto"/>
        </w:rPr>
      </w:pPr>
    </w:p>
    <w:p>
      <w:pPr>
        <w:ind w:left="340" w:right="22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Churchill Capital Corp IV, 640 Fifth Avenue, 12th Floor, New York, NY 10019.</w:t>
      </w:r>
    </w:p>
    <w:p>
      <w:pPr>
        <w:spacing w:after="0" w:line="170"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Interests shown consist solely of shares of Class B common stock which are referred to herein as founder shares. Such shares will automatically convert into shares of Class A common stock at the time of our initial business combination on a one-for-one basis, subject to adjustment, as described in our registration statement.</w:t>
      </w:r>
    </w:p>
    <w:p>
      <w:pPr>
        <w:spacing w:after="0" w:line="183"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Michael Klein is the controlling stockholder of M. Klein Associates, Inc., which is the managing member of Churchill Sponsor IV LLC. The shares beneficially owned by Churchill Sponsor IV LLC may also be deemed to be beneficially owned by Mr. Klein.</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solely upon the Schedule 13G filed by Magnetar Financial LLC, Magnetar Capital Partners LP, Supernova Management LLC and Alec N. Litowitz with the SEC on February 12, 2021. Beneficial ownership of these shares is shared with Magnetar Capital Partners LP, Supernova Management LLC and Alec N. Litowitz.</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solely upon the Schedule 13G filed by Glazer Capital, LLC, a Delaware limited liability company, on February 16, 2021. Paul J. Glazer, a United States citizen, serves as Managing Member of Glazer Capital, LLC. Beneficial ownership of these shares is shared with Paul J. Glazer.</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solely upon the Schedule 13G filed by Aristeia Capital, L.L.C., a Delaware limited liability company, on February 16,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73" w:gutter="0" w:footer="0" w:header="0"/>
        </w:sectPr>
      </w:pPr>
    </w:p>
    <w:bookmarkStart w:id="71" w:name="page72"/>
    <w:bookmarkEnd w:id="71"/>
    <w:p>
      <w:pPr>
        <w:ind w:right="20" w:firstLine="648"/>
        <w:spacing w:after="0" w:line="279" w:lineRule="auto"/>
        <w:rPr>
          <w:sz w:val="20"/>
          <w:szCs w:val="20"/>
          <w:color w:val="auto"/>
        </w:rPr>
      </w:pPr>
      <w:r>
        <w:rPr>
          <w:rFonts w:ascii="Arial" w:cs="Arial" w:eastAsia="Arial" w:hAnsi="Arial"/>
          <w:sz w:val="17"/>
          <w:szCs w:val="17"/>
          <w:color w:val="auto"/>
        </w:rPr>
        <w:t>Our sponsor beneficially own 20.0% of the issued and outstanding shares of our common stock. Our sponsor will have the right to elect all of our directors prior to the consummation of our initial business combination as a result of holding all of the founder shares. In addition, because of this ownership block, our initial stockholders may be able to effectively influence the outcome of all matters requiring approval by our stockholders, including amendments to our amended and restated certificate of incorporation and approval of significant corporate transactions.</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May 2020, our sponsor purchased an aggregate of 21,562,500 shares of our founder shares for an aggregate purchase price of $25,000, or approximately $0.001 per share. Our Class B common stock will automatically convert into shares of Class A common stock, on a one-for-one basis, upon the completion of a business combination.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completion of the IPO.</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Concurrently with the completion of the IPO, our sponsor purchased an aggregate of 42,850,000 warrants at a price of $1.00 per warrant, or $42,850,000 in the aggregate. An aggregate of $2,070,000,000 from the proceeds of the IPO and the private placement warrants was placed in a trust account such that the trust account held $2,070,000,000 at the time of closing of the IPO. Each whole private placement warrant entitles the holder thereof to purchase one share of Class A common stock at a price of $11.50 per share, subject to certain adjustments.</w:t>
      </w:r>
    </w:p>
    <w:p>
      <w:pPr>
        <w:spacing w:after="0" w:line="17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Our sponsor and our executive officers and directors are deemed to be our “promoters” as such term is defined under the federal securities laws. See “Item 13. Certain Relationships and Related Transactions, and Director Independence” below for additional information regarding our relationships with our promoters.</w:t>
      </w:r>
    </w:p>
    <w:p>
      <w:pPr>
        <w:spacing w:after="0" w:line="180"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May 2020, our sponsor purchased an aggregate of 21,562,500 shares of our “founder shares for an aggregate purchase price of $25,000, or approximately $0.001 per share. Our Class B common stock will automatically convert into shares of Class A common stock, on a one-for-one basis, upon the completion of a business combination.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On July 30, 2020, we effected a stock dividend of 0.20 of a share of Class B common stock for each outstanding share of Class B common stock, resulting in our initial stockholders holding an aggregate of 51,750,000 founder shares. The number of founder shares issued was determined based on the expectation that the founder shares would represent 20% of the outstanding shares of common stock upon completion of the IPO.</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72" w:name="page73"/>
    <w:bookmarkEnd w:id="72"/>
    <w:p>
      <w:pPr>
        <w:ind w:right="20" w:firstLine="648"/>
        <w:spacing w:after="0" w:line="296" w:lineRule="auto"/>
        <w:rPr>
          <w:sz w:val="20"/>
          <w:szCs w:val="20"/>
          <w:color w:val="auto"/>
        </w:rPr>
      </w:pPr>
      <w:r>
        <w:rPr>
          <w:rFonts w:ascii="Arial" w:cs="Arial" w:eastAsia="Arial" w:hAnsi="Arial"/>
          <w:sz w:val="16"/>
          <w:szCs w:val="16"/>
          <w:color w:val="auto"/>
        </w:rPr>
        <w:t>Our sponsor purchased 42,850,000 private placement warrants for a purchase price of $1.00 per warrant in a private placement that occurred simultaneously with the closing of the IPO. As such, our sponsor’s interest in the IPO is valued at $42,850,000. Each private placement warrant entitles the holder thereof to purchase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our sponsor until 30 days after the completion of our initial business combination.</w:t>
      </w:r>
    </w:p>
    <w:p>
      <w:pPr>
        <w:spacing w:after="0" w:line="16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Michael Klein, Jay Taragin, Glenn R. August, William J. Bynum, Bonnie Jonas, Mark Klein, Malcolm S. McDermid and Karen G. Mills, each of whom is a director of the company, each has an indirect economic interest in the founder shares and private placement warrants purchased by our sponsor as a result of his or her membership interest in our sponsor.</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described in “Item 1. Business — Sourcing of Potential Business Combination Targets” and “Item 10. Directors, Executive Officers and Corporate Governance — Conflicts of Interest.”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Our officers and directors currently have other relevant fiduciary, contractual or other obligations or duties that may take priority over their duties to us.</w:t>
      </w:r>
    </w:p>
    <w:p>
      <w:pPr>
        <w:spacing w:after="0" w:line="192"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Our sponsor loaned us an aggregate of $600,000 to cover expenses related to the IPO pursuant to a promissory note. The loan was non-interest bearing, unsecured and due on the earlier of December 31, 2020 or the closing of the IPO. We repaid the promissory note on August 3, 2020.</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entered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 Accordingly, in the event the consummation of our initial business combination takes the maximum 27 months, an affiliate of our sponsor will be paid a total of $1,350,000 ($50,000 per month) for office space, administrative and support services and will be entitled to be reimbursed for any out-of-pocket expenses.</w:t>
      </w:r>
    </w:p>
    <w:p>
      <w:pPr>
        <w:spacing w:after="0" w:line="188"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17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3" w:name="page74"/>
    <w:bookmarkEnd w:id="73"/>
    <w:p>
      <w:pPr>
        <w:ind w:right="80" w:firstLine="648"/>
        <w:spacing w:after="0" w:line="296" w:lineRule="auto"/>
        <w:rPr>
          <w:sz w:val="20"/>
          <w:szCs w:val="20"/>
          <w:color w:val="auto"/>
        </w:rPr>
      </w:pPr>
      <w:r>
        <w:rPr>
          <w:rFonts w:ascii="Arial" w:cs="Arial" w:eastAsia="Arial" w:hAnsi="Arial"/>
          <w:sz w:val="16"/>
          <w:szCs w:val="16"/>
          <w:color w:val="auto"/>
        </w:rPr>
        <w:t>After our initial business combination, members of our management team who remain with us, if any,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officer and director compensation.</w:t>
      </w:r>
    </w:p>
    <w:p>
      <w:pPr>
        <w:spacing w:after="0" w:line="16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have entered into a registration rights agreement with respect to the founder shares, private placement warrants and warrants issued upon conversion of working capital loans (if any). 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dated as of July 29, 2020, requiring us to register such securities for resale (in the case of the founder shares, only after conversion to shares of Class A common stock).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(i) in the case of the founder shares, on the earlier of (A) one year after the completion of our initial business combination and (B) subsequent to our initial business combination, (x) if the last reported sale price of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stock exchange, reorganization or other similar transaction that results in all of our public stockholders having the right to exchange their shares of Class A common stock for cash, securities or other property, and (2) in the case of the private placement warrants and the respective shares of Class A common stock underlying such warrants, 30 days after the completion of our initial business combination. We will bear the expenses incurred in connection with the filing of any such registration statements.</w:t>
      </w:r>
    </w:p>
    <w:p>
      <w:pPr>
        <w:spacing w:after="0" w:line="17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had not yet adopted a formal policy for the review, approval or ratification of related party transactions as of the completion of the IPO. Accordingly, the transactions discussed above (other than the engagement of the Klein Group) were not reviewed, approved or ratified in accordance with any such policy.</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Since the completion of the IPO, we have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includes any financial transaction, arrangement or relationship (including any indebtedness or guarantee of indebtedness) involving the company.</w:t>
      </w:r>
    </w:p>
    <w:p>
      <w:pPr>
        <w:spacing w:after="0" w:line="18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addition, our audit committee, pursuant to a written charter,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will be required to approve a related party transaction. Our audit committee will review on a quarterly basis all payments that were made by us to our sponsor, officers or directors, or our or any of their affiliates.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4" w:name="page75"/>
    <w:bookmarkEnd w:id="74"/>
    <w:p>
      <w:pPr>
        <w:ind w:right="60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which is a member of FINRA or an independent accounting firm that our initial business combination is fair to our company from a financial point of view. There will be no finder’s fees, reimbursement, consulting fee, monies in respect of any payment of a loan or other compensation paid by us to our sponsor, officers or directors or our or any of their respective affiliates, for services rendered to us prior to or in connection with the completion of our initial business combination (regardless of the type of transaction that it is). However, the following payments will be, or have been, made to our sponsor, officers or directors, or our or their affiliates, and, if made prior to our initial business combination will be made from (i) funds held outside the trust account or (ii) permitted withdrawals:</w:t>
      </w:r>
    </w:p>
    <w:p>
      <w:pPr>
        <w:spacing w:after="0" w:line="178"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repayment of $600,000 in loans made to us by our sponsor to cover offering-related and organizational expenses;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 to an affiliate of our sponsor of a total of $50,000 per month, for up to 27 months, for office space, administrative and support services;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36" w:lineRule="exact"/>
        <w:rPr>
          <w:rFonts w:ascii="Arial" w:cs="Arial" w:eastAsia="Arial" w:hAnsi="Arial"/>
          <w:sz w:val="17"/>
          <w:szCs w:val="17"/>
          <w:color w:val="auto"/>
        </w:rPr>
      </w:pPr>
    </w:p>
    <w:p>
      <w:pPr>
        <w:ind w:left="980" w:right="60" w:hanging="324"/>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an affiliate of our sponsor or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of the post-business combination entity at a price of $1.00 per warrant at the option of the lender.</w:t>
      </w:r>
    </w:p>
    <w:p>
      <w:pPr>
        <w:spacing w:after="0" w:line="18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These payments may be funded using the net proceeds of the IPO and the sale of the private placement warrants not held in the trust account or, upon completion of the initial business combination, from any amounts remaining from the proceeds of the trust account released to us in connection therewith.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rules of the NYSE require that a majority of our board of directors be independent within one year of our IPO. An “independent director” is defined generally as a person that, in the opinion of the company’s board of directors, has no material relationship with the listed company (either directly or as a partner, shareholder or officer of an organization that has a relationship with the company). We have “independent directors” as defined in the NYSE rules and applicable SEC rules. Our board has determined that each or Glenn R. August, William J. Bynum, Bonnie Jonas, Malcolm S. McDermid and Karen G. Mills is an independent director under applicable SEC and NYSE rules. Our independent directors will have regularly scheduled meetings at which only independent directors are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fees paid or to be paid to Marcum LLP, or Marcum, for services rendered.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billed for professional services rendered for the audit of our year-end financial statements and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Marcum in connection with regulatory filings. The aggregate fees billed by Marcum for professional services rendered for the audit of our annual financial statements, review of the financial information included in our Forms 10-Q for the respective periods and other required filings with the SEC for the period from April 30, 2020 (inception) through December 31, 2020 totaled $93,040. The above amounts include interim procedures and audit fees, as well as attendance at audit committee meetings.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spacing w:after="0" w:line="279"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Audit-related services consist of fees billed for assurance and related services that are reasonably related to performance of the audit or</w:t>
      </w:r>
      <w:r>
        <w:rPr>
          <w:rFonts w:ascii="Arial" w:cs="Arial" w:eastAsia="Arial" w:hAnsi="Arial"/>
          <w:sz w:val="17"/>
          <w:szCs w:val="17"/>
          <w:i w:val="1"/>
          <w:iCs w:val="1"/>
          <w:color w:val="auto"/>
        </w:rPr>
        <w:t xml:space="preserve"> </w:t>
      </w:r>
      <w:r>
        <w:rPr>
          <w:rFonts w:ascii="Arial" w:cs="Arial" w:eastAsia="Arial" w:hAnsi="Arial"/>
          <w:sz w:val="17"/>
          <w:szCs w:val="17"/>
          <w:color w:val="auto"/>
        </w:rPr>
        <w:t>review of our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period from April 30, 2020 (inception) through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We did not pay Marcum for tax planning and tax advice for the period from April 30, 2020 (inception) through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 did not pay Marcum for other services for the period from April 30, 2020 (inception) through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Financial Statements: See “Index to Financial Statements” at “Item 8. Financial Statements and Supplementary Data” herein.</w:t>
      </w:r>
    </w:p>
    <w:p>
      <w:pPr>
        <w:spacing w:after="0" w:line="225"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for the reason that the information is included in the financial statements or the notes thereto or that they are not required or are not applicable.</w:t>
      </w:r>
    </w:p>
    <w:p>
      <w:pPr>
        <w:spacing w:after="0" w:line="170"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Exhibits: The exhibits listed in the accompanying index to exhibits are filed or incorporated by reference as part of this annual report on Form 10-K.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gridSpan w:val="19"/>
          </w:tcPr>
          <w:p>
            <w:pPr>
              <w:ind w:left="1540"/>
              <w:spacing w:after="0"/>
              <w:rPr>
                <w:sz w:val="20"/>
                <w:szCs w:val="20"/>
                <w:color w:val="auto"/>
              </w:rPr>
            </w:pPr>
            <w:r>
              <w:rPr>
                <w:rFonts w:ascii="Arial" w:cs="Arial" w:eastAsia="Arial" w:hAnsi="Arial"/>
                <w:sz w:val="18"/>
                <w:szCs w:val="18"/>
                <w:b w:val="1"/>
                <w:bCs w:val="1"/>
                <w:color w:val="auto"/>
              </w:rPr>
              <w:t>Description</w:t>
            </w:r>
          </w:p>
        </w:tc>
      </w:tr>
      <w:tr>
        <w:trPr>
          <w:trHeight w:val="263"/>
        </w:trPr>
        <w:tc>
          <w:tcPr>
            <w:tcW w:w="1140" w:type="dxa"/>
            <w:vAlign w:val="bottom"/>
          </w:tcPr>
          <w:p>
            <w:pPr>
              <w:jc w:val="center"/>
              <w:spacing w:after="0"/>
              <w:rPr>
                <w:rFonts w:ascii="Arial" w:cs="Arial" w:eastAsia="Arial" w:hAnsi="Arial"/>
                <w:sz w:val="18"/>
                <w:szCs w:val="18"/>
                <w:u w:val="single" w:color="auto"/>
                <w:color w:val="0000EE"/>
                <w:w w:val="87"/>
              </w:rPr>
            </w:pPr>
            <w:hyperlink r:id="rId86">
              <w:r>
                <w:rPr>
                  <w:rFonts w:ascii="Arial" w:cs="Arial" w:eastAsia="Arial" w:hAnsi="Arial"/>
                  <w:sz w:val="18"/>
                  <w:szCs w:val="18"/>
                  <w:u w:val="single" w:color="auto"/>
                  <w:color w:val="0000EE"/>
                  <w:w w:val="87"/>
                </w:rPr>
                <w:t>2.1</w:t>
              </w:r>
            </w:hyperlink>
          </w:p>
        </w:tc>
        <w:tc>
          <w:tcPr>
            <w:tcW w:w="220" w:type="dxa"/>
            <w:vAlign w:val="bottom"/>
          </w:tcPr>
          <w:p>
            <w:pPr>
              <w:spacing w:after="0"/>
              <w:rPr>
                <w:sz w:val="22"/>
                <w:szCs w:val="22"/>
                <w:color w:val="auto"/>
              </w:rPr>
            </w:pPr>
          </w:p>
        </w:tc>
        <w:tc>
          <w:tcPr>
            <w:tcW w:w="9380" w:type="dxa"/>
            <w:vAlign w:val="bottom"/>
            <w:tcBorders>
              <w:bottom w:val="single" w:sz="8" w:color="0000EE"/>
            </w:tcBorders>
            <w:gridSpan w:val="12"/>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Agreement and Plan of Merger, dated as of February 22, 2021, by and among Churchill Capital Corp IV, Air Merger Sub, Inc. and</w:t>
              </w:r>
            </w:hyperlink>
          </w:p>
        </w:tc>
        <w:tc>
          <w:tcPr>
            <w:tcW w:w="500" w:type="dxa"/>
            <w:vAlign w:val="bottom"/>
            <w:gridSpan w:val="12"/>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Atieva, Inc. (incorporated by reference to the Exhibit 2.1 filed with the Company’s current report on Form 8-K filed by the Registrant 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February 22, 2021).</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140" w:type="dxa"/>
            <w:vAlign w:val="bottom"/>
          </w:tcPr>
          <w:p>
            <w:pPr>
              <w:jc w:val="center"/>
              <w:spacing w:after="0"/>
              <w:rPr>
                <w:rFonts w:ascii="Arial" w:cs="Arial" w:eastAsia="Arial" w:hAnsi="Arial"/>
                <w:sz w:val="18"/>
                <w:szCs w:val="18"/>
                <w:u w:val="single" w:color="auto"/>
                <w:color w:val="0000EE"/>
                <w:w w:val="87"/>
              </w:rPr>
            </w:pPr>
            <w:hyperlink r:id="rId87">
              <w:r>
                <w:rPr>
                  <w:rFonts w:ascii="Arial" w:cs="Arial" w:eastAsia="Arial" w:hAnsi="Arial"/>
                  <w:sz w:val="18"/>
                  <w:szCs w:val="18"/>
                  <w:u w:val="single" w:color="auto"/>
                  <w:color w:val="0000EE"/>
                  <w:w w:val="87"/>
                </w:rPr>
                <w:t>3.1</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6"/>
              </w:rPr>
            </w:pPr>
            <w:hyperlink r:id="rId87">
              <w:r>
                <w:rPr>
                  <w:rFonts w:ascii="Arial" w:cs="Arial" w:eastAsia="Arial" w:hAnsi="Arial"/>
                  <w:sz w:val="18"/>
                  <w:szCs w:val="18"/>
                  <w:color w:val="0000EE"/>
                  <w:w w:val="96"/>
                </w:rPr>
                <w:t>Amended and Restated Certificate of Incorporation (incorporated by reference to Exhibit 3.2 filed with the Company's registration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statement on Form S-1 filed by the Registrant on July 14, 2020).</w:t>
              </w:r>
            </w:hyperlink>
          </w:p>
        </w:tc>
        <w:tc>
          <w:tcPr>
            <w:tcW w:w="500" w:type="dxa"/>
            <w:vAlign w:val="bottom"/>
            <w:gridSpan w:val="1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140" w:type="dxa"/>
            <w:vAlign w:val="bottom"/>
          </w:tcPr>
          <w:p>
            <w:pPr>
              <w:jc w:val="center"/>
              <w:spacing w:after="0"/>
              <w:rPr>
                <w:rFonts w:ascii="Arial" w:cs="Arial" w:eastAsia="Arial" w:hAnsi="Arial"/>
                <w:sz w:val="18"/>
                <w:szCs w:val="18"/>
                <w:u w:val="single" w:color="auto"/>
                <w:color w:val="0000EE"/>
                <w:w w:val="87"/>
              </w:rPr>
            </w:pPr>
            <w:hyperlink r:id="rId88">
              <w:r>
                <w:rPr>
                  <w:rFonts w:ascii="Arial" w:cs="Arial" w:eastAsia="Arial" w:hAnsi="Arial"/>
                  <w:sz w:val="18"/>
                  <w:szCs w:val="18"/>
                  <w:u w:val="single" w:color="auto"/>
                  <w:color w:val="0000EE"/>
                  <w:w w:val="87"/>
                </w:rPr>
                <w:t>3.2</w:t>
              </w:r>
            </w:hyperlink>
          </w:p>
        </w:tc>
        <w:tc>
          <w:tcPr>
            <w:tcW w:w="220" w:type="dxa"/>
            <w:vAlign w:val="bottom"/>
          </w:tcPr>
          <w:p>
            <w:pPr>
              <w:spacing w:after="0"/>
              <w:rPr>
                <w:sz w:val="24"/>
                <w:szCs w:val="24"/>
                <w:color w:val="auto"/>
              </w:rPr>
            </w:pPr>
          </w:p>
        </w:tc>
        <w:tc>
          <w:tcPr>
            <w:tcW w:w="9820" w:type="dxa"/>
            <w:vAlign w:val="bottom"/>
            <w:tcBorders>
              <w:bottom w:val="single" w:sz="8" w:color="0000EE"/>
            </w:tcBorders>
            <w:gridSpan w:val="21"/>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Bylaws (incorporated by reference to Exhibit 3.3 filed with the Company’s registration statement on Form S-1 filed by the Registrant on</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July 14, 2020).</w:t>
              </w:r>
            </w:hyperlink>
          </w:p>
        </w:tc>
        <w:tc>
          <w:tcPr>
            <w:tcW w:w="8800" w:type="dxa"/>
            <w:vAlign w:val="bottom"/>
            <w:gridSpan w:val="22"/>
          </w:tcPr>
          <w:p>
            <w:pPr>
              <w:spacing w:after="0"/>
              <w:rPr>
                <w:sz w:val="17"/>
                <w:szCs w:val="17"/>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87"/>
              </w:rPr>
            </w:pPr>
            <w:hyperlink r:id="rId89">
              <w:r>
                <w:rPr>
                  <w:rFonts w:ascii="Arial" w:cs="Arial" w:eastAsia="Arial" w:hAnsi="Arial"/>
                  <w:sz w:val="18"/>
                  <w:szCs w:val="18"/>
                  <w:u w:val="single" w:color="auto"/>
                  <w:color w:val="0000EE"/>
                  <w:w w:val="87"/>
                </w:rPr>
                <w:t>4.1</w:t>
              </w:r>
            </w:hyperlink>
          </w:p>
        </w:tc>
        <w:tc>
          <w:tcPr>
            <w:tcW w:w="220" w:type="dxa"/>
            <w:vAlign w:val="bottom"/>
          </w:tcPr>
          <w:p>
            <w:pPr>
              <w:spacing w:after="0"/>
              <w:rPr>
                <w:sz w:val="24"/>
                <w:szCs w:val="24"/>
                <w:color w:val="auto"/>
              </w:rPr>
            </w:pPr>
          </w:p>
        </w:tc>
        <w:tc>
          <w:tcPr>
            <w:tcW w:w="9560" w:type="dxa"/>
            <w:vAlign w:val="bottom"/>
            <w:tcBorders>
              <w:bottom w:val="single" w:sz="8" w:color="0000EE"/>
            </w:tcBorders>
            <w:gridSpan w:val="15"/>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Specimen Unit Certificate (incorporated by reference to the Exhibit 4.1 filed with the Company’s registration statement on Form S-1</w:t>
              </w:r>
            </w:hyperlink>
          </w:p>
        </w:tc>
        <w:tc>
          <w:tcPr>
            <w:tcW w:w="32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filed by the Registrant on July 14, 2020).</w:t>
              </w:r>
            </w:hyperlink>
          </w:p>
        </w:tc>
        <w:tc>
          <w:tcPr>
            <w:tcW w:w="6920" w:type="dxa"/>
            <w:vAlign w:val="bottom"/>
            <w:gridSpan w:val="19"/>
          </w:tcPr>
          <w:p>
            <w:pPr>
              <w:spacing w:after="0"/>
              <w:rPr>
                <w:sz w:val="17"/>
                <w:szCs w:val="17"/>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87"/>
              </w:rPr>
            </w:pPr>
            <w:hyperlink r:id="rId90">
              <w:r>
                <w:rPr>
                  <w:rFonts w:ascii="Arial" w:cs="Arial" w:eastAsia="Arial" w:hAnsi="Arial"/>
                  <w:sz w:val="18"/>
                  <w:szCs w:val="18"/>
                  <w:u w:val="single" w:color="auto"/>
                  <w:color w:val="0000EE"/>
                  <w:w w:val="87"/>
                </w:rPr>
                <w:t>4.2</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7"/>
              </w:rPr>
            </w:pPr>
            <w:hyperlink r:id="rId90">
              <w:r>
                <w:rPr>
                  <w:rFonts w:ascii="Arial" w:cs="Arial" w:eastAsia="Arial" w:hAnsi="Arial"/>
                  <w:sz w:val="18"/>
                  <w:szCs w:val="18"/>
                  <w:color w:val="0000EE"/>
                  <w:w w:val="97"/>
                </w:rPr>
                <w:t>Specimen Class A Common Stock Certificate (incorporated by reference to the Exhibit 4.2 filed with the Company’s registration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statement on Form S-1 filed by the Registrant on July 14, 2020).</w:t>
              </w:r>
            </w:hyperlink>
          </w:p>
        </w:tc>
        <w:tc>
          <w:tcPr>
            <w:tcW w:w="620" w:type="dxa"/>
            <w:vAlign w:val="bottom"/>
            <w:gridSpan w:val="1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87"/>
              </w:rPr>
            </w:pPr>
            <w:hyperlink r:id="rId91">
              <w:r>
                <w:rPr>
                  <w:rFonts w:ascii="Arial" w:cs="Arial" w:eastAsia="Arial" w:hAnsi="Arial"/>
                  <w:sz w:val="18"/>
                  <w:szCs w:val="18"/>
                  <w:u w:val="single" w:color="auto"/>
                  <w:color w:val="0000EE"/>
                  <w:w w:val="87"/>
                </w:rPr>
                <w:t>4.3</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Specimen Warrant Certificate (incorporated by reference to the Exhibit 4.3 filed with the Company’s registration statement on Form S-1</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filed by the Registrant on July 14, 2020).</w:t>
              </w:r>
            </w:hyperlink>
          </w:p>
        </w:tc>
        <w:tc>
          <w:tcPr>
            <w:tcW w:w="6840" w:type="dxa"/>
            <w:vAlign w:val="bottom"/>
            <w:tcBorders>
              <w:top w:val="single" w:sz="8" w:color="0000EE"/>
            </w:tcBorders>
            <w:gridSpan w:val="15"/>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87"/>
              </w:rPr>
            </w:pPr>
            <w:hyperlink r:id="rId92">
              <w:r>
                <w:rPr>
                  <w:rFonts w:ascii="Arial" w:cs="Arial" w:eastAsia="Arial" w:hAnsi="Arial"/>
                  <w:sz w:val="18"/>
                  <w:szCs w:val="18"/>
                  <w:u w:val="single" w:color="auto"/>
                  <w:color w:val="0000EE"/>
                  <w:w w:val="87"/>
                </w:rPr>
                <w:t>4.4</w:t>
              </w:r>
            </w:hyperlink>
          </w:p>
        </w:tc>
        <w:tc>
          <w:tcPr>
            <w:tcW w:w="220" w:type="dxa"/>
            <w:vAlign w:val="bottom"/>
          </w:tcPr>
          <w:p>
            <w:pPr>
              <w:spacing w:after="0"/>
              <w:rPr>
                <w:sz w:val="24"/>
                <w:szCs w:val="24"/>
                <w:color w:val="auto"/>
              </w:rPr>
            </w:pPr>
          </w:p>
        </w:tc>
        <w:tc>
          <w:tcPr>
            <w:tcW w:w="9540" w:type="dxa"/>
            <w:vAlign w:val="bottom"/>
            <w:tcBorders>
              <w:bottom w:val="single" w:sz="8" w:color="0000EE"/>
            </w:tcBorders>
            <w:gridSpan w:val="14"/>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Warrant Agreement, dated July 29, 2020, between Continental Stock Transfer &amp; Trust Company and the Registrant (incorporated by</w:t>
              </w:r>
            </w:hyperlink>
          </w:p>
        </w:tc>
        <w:tc>
          <w:tcPr>
            <w:tcW w:w="340" w:type="dxa"/>
            <w:vAlign w:val="bottom"/>
            <w:gridSpan w:val="10"/>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4"/>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reference to the Exhibit 4.1 filed with the Company’s current report on Form 8-K filed by the Registrant on August 4, 2020).</w:t>
              </w:r>
            </w:hyperlink>
          </w:p>
        </w:tc>
      </w:tr>
      <w:tr>
        <w:trPr>
          <w:trHeight w:val="270"/>
        </w:trPr>
        <w:tc>
          <w:tcPr>
            <w:tcW w:w="1140" w:type="dxa"/>
            <w:vAlign w:val="bottom"/>
          </w:tcPr>
          <w:p>
            <w:pPr>
              <w:jc w:val="center"/>
              <w:spacing w:after="0"/>
              <w:rPr>
                <w:rFonts w:ascii="Arial" w:cs="Arial" w:eastAsia="Arial" w:hAnsi="Arial"/>
                <w:sz w:val="18"/>
                <w:szCs w:val="18"/>
                <w:u w:val="single" w:color="auto"/>
                <w:color w:val="0000EE"/>
                <w:w w:val="91"/>
              </w:rPr>
            </w:pPr>
            <w:hyperlink r:id="rId93">
              <w:r>
                <w:rPr>
                  <w:rFonts w:ascii="Arial" w:cs="Arial" w:eastAsia="Arial" w:hAnsi="Arial"/>
                  <w:sz w:val="18"/>
                  <w:szCs w:val="18"/>
                  <w:u w:val="single" w:color="auto"/>
                  <w:color w:val="0000EE"/>
                  <w:w w:val="91"/>
                </w:rPr>
                <w:t>10.1</w:t>
              </w:r>
            </w:hyperlink>
          </w:p>
        </w:tc>
        <w:tc>
          <w:tcPr>
            <w:tcW w:w="220" w:type="dxa"/>
            <w:vAlign w:val="bottom"/>
          </w:tcPr>
          <w:p>
            <w:pPr>
              <w:spacing w:after="0"/>
              <w:rPr>
                <w:sz w:val="23"/>
                <w:szCs w:val="23"/>
                <w:color w:val="auto"/>
              </w:rPr>
            </w:pPr>
          </w:p>
        </w:tc>
        <w:tc>
          <w:tcPr>
            <w:tcW w:w="9880" w:type="dxa"/>
            <w:vAlign w:val="bottom"/>
            <w:gridSpan w:val="24"/>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Promissory Note, dated May 13, 2020, issued to Churchill Sponsor IV LLC (incorporated by reference to the Exhibit 10.1 filed with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Company’s registration statement on Form S-1 filed by the Registrant on July 14, 2020).</w:t>
              </w:r>
            </w:hyperlink>
          </w:p>
        </w:tc>
        <w:tc>
          <w:tcPr>
            <w:tcW w:w="10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16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91"/>
              </w:rPr>
            </w:pPr>
            <w:hyperlink r:id="rId94">
              <w:r>
                <w:rPr>
                  <w:rFonts w:ascii="Arial" w:cs="Arial" w:eastAsia="Arial" w:hAnsi="Arial"/>
                  <w:sz w:val="18"/>
                  <w:szCs w:val="18"/>
                  <w:u w:val="single" w:color="auto"/>
                  <w:color w:val="0000EE"/>
                  <w:w w:val="91"/>
                </w:rPr>
                <w:t>10.2</w:t>
              </w:r>
            </w:hyperlink>
          </w:p>
        </w:tc>
        <w:tc>
          <w:tcPr>
            <w:tcW w:w="220" w:type="dxa"/>
            <w:vAlign w:val="bottom"/>
          </w:tcPr>
          <w:p>
            <w:pPr>
              <w:spacing w:after="0"/>
              <w:rPr>
                <w:sz w:val="24"/>
                <w:szCs w:val="24"/>
                <w:color w:val="auto"/>
              </w:rPr>
            </w:pPr>
          </w:p>
        </w:tc>
        <w:tc>
          <w:tcPr>
            <w:tcW w:w="9760" w:type="dxa"/>
            <w:vAlign w:val="bottom"/>
            <w:tcBorders>
              <w:bottom w:val="single" w:sz="8" w:color="0000EE"/>
            </w:tcBorders>
            <w:gridSpan w:val="18"/>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Letter Agreement, dated July 29, 2020, among the Registrant and its officers, directors and Churchill Sponsor IV LLC (incorporated by</w:t>
              </w:r>
            </w:hyperlink>
          </w:p>
        </w:tc>
        <w:tc>
          <w:tcPr>
            <w:tcW w:w="120" w:type="dxa"/>
            <w:vAlign w:val="bottom"/>
            <w:gridSpan w:val="6"/>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4"/>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reference to the Exhibit 10.1 filed with the Company’s current report on Form 8-K filed by the Registrant on August 4, 2020).</w:t>
              </w:r>
            </w:hyperlink>
          </w:p>
        </w:tc>
      </w:tr>
      <w:tr>
        <w:trPr>
          <w:trHeight w:val="270"/>
        </w:trPr>
        <w:tc>
          <w:tcPr>
            <w:tcW w:w="1140" w:type="dxa"/>
            <w:vAlign w:val="bottom"/>
          </w:tcPr>
          <w:p>
            <w:pPr>
              <w:jc w:val="center"/>
              <w:spacing w:after="0"/>
              <w:rPr>
                <w:rFonts w:ascii="Arial" w:cs="Arial" w:eastAsia="Arial" w:hAnsi="Arial"/>
                <w:sz w:val="18"/>
                <w:szCs w:val="18"/>
                <w:u w:val="single" w:color="auto"/>
                <w:color w:val="0000EE"/>
                <w:w w:val="91"/>
              </w:rPr>
            </w:pPr>
            <w:hyperlink r:id="rId95">
              <w:r>
                <w:rPr>
                  <w:rFonts w:ascii="Arial" w:cs="Arial" w:eastAsia="Arial" w:hAnsi="Arial"/>
                  <w:sz w:val="18"/>
                  <w:szCs w:val="18"/>
                  <w:u w:val="single" w:color="auto"/>
                  <w:color w:val="0000EE"/>
                  <w:w w:val="91"/>
                </w:rPr>
                <w:t>10.3</w:t>
              </w:r>
            </w:hyperlink>
          </w:p>
        </w:tc>
        <w:tc>
          <w:tcPr>
            <w:tcW w:w="220" w:type="dxa"/>
            <w:vAlign w:val="bottom"/>
          </w:tcPr>
          <w:p>
            <w:pPr>
              <w:spacing w:after="0"/>
              <w:rPr>
                <w:sz w:val="23"/>
                <w:szCs w:val="23"/>
                <w:color w:val="auto"/>
              </w:rPr>
            </w:pPr>
          </w:p>
        </w:tc>
        <w:tc>
          <w:tcPr>
            <w:tcW w:w="9140" w:type="dxa"/>
            <w:vAlign w:val="bottom"/>
            <w:tcBorders>
              <w:bottom w:val="single" w:sz="8" w:color="0000EE"/>
            </w:tcBorders>
            <w:gridSpan w:val="10"/>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Investment Management Trust Agreement, dated July 29, 2020, between Continental Stock Transfer &amp; Trust Company and the</w:t>
              </w:r>
            </w:hyperlink>
          </w:p>
        </w:tc>
        <w:tc>
          <w:tcPr>
            <w:tcW w:w="740" w:type="dxa"/>
            <w:vAlign w:val="bottom"/>
            <w:gridSpan w:val="14"/>
          </w:tcPr>
          <w:p>
            <w:pPr>
              <w:spacing w:after="0"/>
              <w:rPr>
                <w:sz w:val="23"/>
                <w:szCs w:val="23"/>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Registrant (incorporated by reference to the Exhibit 10.2 filed with the Company’s current report on Form 8-K filed by the Registrant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August 4,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91"/>
              </w:rPr>
            </w:pPr>
            <w:hyperlink r:id="rId96">
              <w:r>
                <w:rPr>
                  <w:rFonts w:ascii="Arial" w:cs="Arial" w:eastAsia="Arial" w:hAnsi="Arial"/>
                  <w:sz w:val="18"/>
                  <w:szCs w:val="18"/>
                  <w:u w:val="single" w:color="auto"/>
                  <w:color w:val="0000EE"/>
                  <w:w w:val="91"/>
                </w:rPr>
                <w:t>10.4</w:t>
              </w:r>
            </w:hyperlink>
          </w:p>
        </w:tc>
        <w:tc>
          <w:tcPr>
            <w:tcW w:w="220" w:type="dxa"/>
            <w:vAlign w:val="bottom"/>
          </w:tcPr>
          <w:p>
            <w:pPr>
              <w:spacing w:after="0"/>
              <w:rPr>
                <w:sz w:val="24"/>
                <w:szCs w:val="24"/>
                <w:color w:val="auto"/>
              </w:rPr>
            </w:pPr>
          </w:p>
        </w:tc>
        <w:tc>
          <w:tcPr>
            <w:tcW w:w="9620" w:type="dxa"/>
            <w:vAlign w:val="bottom"/>
            <w:tcBorders>
              <w:bottom w:val="single" w:sz="8" w:color="0000EE"/>
            </w:tcBorders>
            <w:gridSpan w:val="16"/>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Registration Rights Agreement, dated July 29, 2020 among the Registrant and certain securityholders named therein (incorporated by</w:t>
              </w:r>
            </w:hyperlink>
          </w:p>
        </w:tc>
        <w:tc>
          <w:tcPr>
            <w:tcW w:w="260" w:type="dxa"/>
            <w:vAlign w:val="bottom"/>
            <w:gridSpan w:val="8"/>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4"/>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reference to the Exhibit 10.3 filed with the Company’s current report on Form 8-K filed by the Registrant on August 4, 2020).</w:t>
              </w:r>
            </w:hyperlink>
          </w:p>
        </w:tc>
      </w:tr>
      <w:tr>
        <w:trPr>
          <w:trHeight w:val="270"/>
        </w:trPr>
        <w:tc>
          <w:tcPr>
            <w:tcW w:w="1140" w:type="dxa"/>
            <w:vAlign w:val="bottom"/>
          </w:tcPr>
          <w:p>
            <w:pPr>
              <w:jc w:val="center"/>
              <w:spacing w:after="0"/>
              <w:rPr>
                <w:rFonts w:ascii="Arial" w:cs="Arial" w:eastAsia="Arial" w:hAnsi="Arial"/>
                <w:sz w:val="18"/>
                <w:szCs w:val="18"/>
                <w:u w:val="single" w:color="auto"/>
                <w:color w:val="0000EE"/>
                <w:w w:val="91"/>
              </w:rPr>
            </w:pPr>
            <w:hyperlink r:id="rId97">
              <w:r>
                <w:rPr>
                  <w:rFonts w:ascii="Arial" w:cs="Arial" w:eastAsia="Arial" w:hAnsi="Arial"/>
                  <w:sz w:val="18"/>
                  <w:szCs w:val="18"/>
                  <w:u w:val="single" w:color="auto"/>
                  <w:color w:val="0000EE"/>
                  <w:w w:val="91"/>
                </w:rPr>
                <w:t>10.5</w:t>
              </w:r>
            </w:hyperlink>
          </w:p>
        </w:tc>
        <w:tc>
          <w:tcPr>
            <w:tcW w:w="220" w:type="dxa"/>
            <w:vAlign w:val="bottom"/>
          </w:tcPr>
          <w:p>
            <w:pPr>
              <w:spacing w:after="0"/>
              <w:rPr>
                <w:sz w:val="23"/>
                <w:szCs w:val="23"/>
                <w:color w:val="auto"/>
              </w:rPr>
            </w:pPr>
          </w:p>
        </w:tc>
        <w:tc>
          <w:tcPr>
            <w:tcW w:w="9680" w:type="dxa"/>
            <w:vAlign w:val="bottom"/>
            <w:tcBorders>
              <w:bottom w:val="single" w:sz="8" w:color="0000EE"/>
            </w:tcBorders>
            <w:gridSpan w:val="17"/>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Subscription Agreement, dated May 13, 2020, between the Registrant and the Sponsor (incorporated by reference to Exhibit 10.5 filed</w:t>
              </w:r>
            </w:hyperlink>
          </w:p>
        </w:tc>
        <w:tc>
          <w:tcPr>
            <w:tcW w:w="200" w:type="dxa"/>
            <w:vAlign w:val="bottom"/>
            <w:gridSpan w:val="7"/>
          </w:tcPr>
          <w:p>
            <w:pPr>
              <w:spacing w:after="0"/>
              <w:rPr>
                <w:sz w:val="23"/>
                <w:szCs w:val="23"/>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with the Company’s registration statement on Form S-1 filed by the Registrant on July 14, 2020).</w:t>
              </w:r>
            </w:hyperlink>
          </w:p>
        </w:tc>
        <w:tc>
          <w:tcPr>
            <w:tcW w:w="2880" w:type="dxa"/>
            <w:vAlign w:val="bottom"/>
            <w:gridSpan w:val="16"/>
          </w:tcPr>
          <w:p>
            <w:pPr>
              <w:spacing w:after="0"/>
              <w:rPr>
                <w:sz w:val="17"/>
                <w:szCs w:val="17"/>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91"/>
              </w:rPr>
            </w:pPr>
            <w:hyperlink r:id="rId98">
              <w:r>
                <w:rPr>
                  <w:rFonts w:ascii="Arial" w:cs="Arial" w:eastAsia="Arial" w:hAnsi="Arial"/>
                  <w:sz w:val="18"/>
                  <w:szCs w:val="18"/>
                  <w:u w:val="single" w:color="auto"/>
                  <w:color w:val="0000EE"/>
                  <w:w w:val="91"/>
                </w:rPr>
                <w:t>10.6</w:t>
              </w:r>
            </w:hyperlink>
          </w:p>
        </w:tc>
        <w:tc>
          <w:tcPr>
            <w:tcW w:w="220" w:type="dxa"/>
            <w:vAlign w:val="bottom"/>
          </w:tcPr>
          <w:p>
            <w:pPr>
              <w:spacing w:after="0"/>
              <w:rPr>
                <w:sz w:val="24"/>
                <w:szCs w:val="24"/>
                <w:color w:val="auto"/>
              </w:rPr>
            </w:pPr>
          </w:p>
        </w:tc>
        <w:tc>
          <w:tcPr>
            <w:tcW w:w="9060" w:type="dxa"/>
            <w:vAlign w:val="bottom"/>
            <w:tcBorders>
              <w:bottom w:val="single" w:sz="8" w:color="0000EE"/>
            </w:tcBorders>
            <w:gridSpan w:val="9"/>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Private Placement Warrants Purchase Agreement, dated July 29, 2020, between the Registrant and Churchill Sponsor IV LLC</w:t>
              </w:r>
            </w:hyperlink>
          </w:p>
        </w:tc>
        <w:tc>
          <w:tcPr>
            <w:tcW w:w="82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w w:val="95"/>
              </w:rPr>
            </w:pPr>
            <w:hyperlink r:id="rId98">
              <w:r>
                <w:rPr>
                  <w:rFonts w:ascii="Arial" w:cs="Arial" w:eastAsia="Arial" w:hAnsi="Arial"/>
                  <w:sz w:val="18"/>
                  <w:szCs w:val="18"/>
                  <w:color w:val="0000EE"/>
                  <w:w w:val="95"/>
                </w:rPr>
                <w:t>(incorporated by reference to Exhibit 10.4 filed with the Company’s current report on Form 8-K filed by the Registrant on August 4,</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300" w:type="dxa"/>
            <w:vAlign w:val="bottom"/>
            <w:gridSpan w:val="3"/>
          </w:tcPr>
          <w:p>
            <w:pPr>
              <w:ind w:left="220"/>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2020).</w:t>
              </w:r>
            </w:hyperlink>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5"/>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color w:val="auto"/>
              </w:rPr>
              <w:t>74</w:t>
            </w:r>
          </w:p>
        </w:tc>
        <w:tc>
          <w:tcPr>
            <w:tcW w:w="1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gridSpan w:val="20"/>
          </w:tcPr>
          <w:p>
            <w:pPr>
              <w:ind w:left="1200"/>
              <w:spacing w:after="0"/>
              <w:rPr>
                <w:sz w:val="20"/>
                <w:szCs w:val="20"/>
                <w:color w:val="auto"/>
              </w:rPr>
            </w:pPr>
            <w:r>
              <w:rPr>
                <w:rFonts w:ascii="Arial" w:cs="Arial" w:eastAsia="Arial" w:hAnsi="Arial"/>
                <w:sz w:val="18"/>
                <w:szCs w:val="18"/>
                <w:b w:val="1"/>
                <w:bCs w:val="1"/>
                <w:color w:val="auto"/>
              </w:rPr>
              <w:t>Description</w:t>
            </w:r>
          </w:p>
        </w:tc>
      </w:tr>
      <w:tr>
        <w:trPr>
          <w:trHeight w:val="263"/>
        </w:trPr>
        <w:tc>
          <w:tcPr>
            <w:tcW w:w="1140" w:type="dxa"/>
            <w:vAlign w:val="bottom"/>
          </w:tcPr>
          <w:p>
            <w:pPr>
              <w:jc w:val="center"/>
              <w:spacing w:after="0"/>
              <w:rPr>
                <w:rFonts w:ascii="Arial" w:cs="Arial" w:eastAsia="Arial" w:hAnsi="Arial"/>
                <w:sz w:val="18"/>
                <w:szCs w:val="18"/>
                <w:u w:val="single" w:color="auto"/>
                <w:color w:val="0000EE"/>
                <w:w w:val="91"/>
              </w:rPr>
            </w:pPr>
            <w:hyperlink r:id="rId99">
              <w:r>
                <w:rPr>
                  <w:rFonts w:ascii="Arial" w:cs="Arial" w:eastAsia="Arial" w:hAnsi="Arial"/>
                  <w:sz w:val="18"/>
                  <w:szCs w:val="18"/>
                  <w:u w:val="single" w:color="auto"/>
                  <w:color w:val="0000EE"/>
                  <w:w w:val="91"/>
                </w:rPr>
                <w:t>10.7</w:t>
              </w:r>
            </w:hyperlink>
          </w:p>
        </w:tc>
        <w:tc>
          <w:tcPr>
            <w:tcW w:w="220" w:type="dxa"/>
            <w:vAlign w:val="bottom"/>
          </w:tcPr>
          <w:p>
            <w:pPr>
              <w:spacing w:after="0"/>
              <w:rPr>
                <w:sz w:val="22"/>
                <w:szCs w:val="22"/>
                <w:color w:val="auto"/>
              </w:rPr>
            </w:pPr>
          </w:p>
        </w:tc>
        <w:tc>
          <w:tcPr>
            <w:tcW w:w="9700" w:type="dxa"/>
            <w:vAlign w:val="bottom"/>
            <w:tcBorders>
              <w:bottom w:val="single" w:sz="8" w:color="0000EE"/>
            </w:tcBorders>
            <w:gridSpan w:val="19"/>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Indemnity Agreement, dated July 29, 2020, between the Registrant and Michael Klein (incorporated by reference to Exhibit 10.5 filed</w:t>
              </w:r>
            </w:hyperlink>
          </w:p>
        </w:tc>
        <w:tc>
          <w:tcPr>
            <w:tcW w:w="180" w:type="dxa"/>
            <w:vAlign w:val="bottom"/>
            <w:gridSpan w:val="5"/>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with the Company’s current report on Form 8-K filed by the Registrant on August 4,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40" w:type="dxa"/>
            <w:vAlign w:val="bottom"/>
          </w:tcPr>
          <w:p>
            <w:pPr>
              <w:jc w:val="center"/>
              <w:spacing w:after="0"/>
              <w:rPr>
                <w:rFonts w:ascii="Arial" w:cs="Arial" w:eastAsia="Arial" w:hAnsi="Arial"/>
                <w:sz w:val="18"/>
                <w:szCs w:val="18"/>
                <w:u w:val="single" w:color="auto"/>
                <w:color w:val="0000EE"/>
                <w:w w:val="91"/>
              </w:rPr>
            </w:pPr>
            <w:hyperlink r:id="rId100">
              <w:r>
                <w:rPr>
                  <w:rFonts w:ascii="Arial" w:cs="Arial" w:eastAsia="Arial" w:hAnsi="Arial"/>
                  <w:sz w:val="18"/>
                  <w:szCs w:val="18"/>
                  <w:u w:val="single" w:color="auto"/>
                  <w:color w:val="0000EE"/>
                  <w:w w:val="91"/>
                </w:rPr>
                <w:t>10.8</w:t>
              </w:r>
            </w:hyperlink>
          </w:p>
        </w:tc>
        <w:tc>
          <w:tcPr>
            <w:tcW w:w="220" w:type="dxa"/>
            <w:vAlign w:val="bottom"/>
          </w:tcPr>
          <w:p>
            <w:pPr>
              <w:spacing w:after="0"/>
              <w:rPr>
                <w:sz w:val="24"/>
                <w:szCs w:val="24"/>
                <w:color w:val="auto"/>
              </w:rPr>
            </w:pPr>
          </w:p>
        </w:tc>
        <w:tc>
          <w:tcPr>
            <w:tcW w:w="9820" w:type="dxa"/>
            <w:vAlign w:val="bottom"/>
            <w:tcBorders>
              <w:bottom w:val="single" w:sz="8" w:color="0000EE"/>
            </w:tcBorders>
            <w:gridSpan w:val="22"/>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Indemnity Agreement, dated July 29, 2020, between the Registrant and Jay Taragin (incorporated by reference to Exhibit 10.6 filed with</w:t>
              </w:r>
            </w:hyperlink>
          </w:p>
        </w:tc>
        <w:tc>
          <w:tcPr>
            <w:tcW w:w="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the Company’s current report on Form 8-K filed by the Registrant on August 4,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91"/>
              </w:rPr>
            </w:pPr>
            <w:hyperlink r:id="rId101">
              <w:r>
                <w:rPr>
                  <w:rFonts w:ascii="Arial" w:cs="Arial" w:eastAsia="Arial" w:hAnsi="Arial"/>
                  <w:sz w:val="18"/>
                  <w:szCs w:val="18"/>
                  <w:u w:val="single" w:color="auto"/>
                  <w:color w:val="0000EE"/>
                  <w:w w:val="91"/>
                </w:rPr>
                <w:t>10.9</w:t>
              </w:r>
            </w:hyperlink>
          </w:p>
        </w:tc>
        <w:tc>
          <w:tcPr>
            <w:tcW w:w="220" w:type="dxa"/>
            <w:vAlign w:val="bottom"/>
          </w:tcPr>
          <w:p>
            <w:pPr>
              <w:spacing w:after="0"/>
              <w:rPr>
                <w:sz w:val="24"/>
                <w:szCs w:val="24"/>
                <w:color w:val="auto"/>
              </w:rPr>
            </w:pPr>
          </w:p>
        </w:tc>
        <w:tc>
          <w:tcPr>
            <w:tcW w:w="9840" w:type="dxa"/>
            <w:vAlign w:val="bottom"/>
            <w:tcBorders>
              <w:bottom w:val="single" w:sz="8" w:color="0000EE"/>
            </w:tcBorders>
            <w:gridSpan w:val="23"/>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Indemnity Agreement, dated July 29, 2020, between the Registrant and Glenn R. August (incorporated by reference to Exhibit 10.7 filed</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with the Company’s current report on Form 8-K filed by the Registrant on August 4,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88"/>
              </w:rPr>
            </w:pPr>
            <w:hyperlink r:id="rId102">
              <w:r>
                <w:rPr>
                  <w:rFonts w:ascii="Arial" w:cs="Arial" w:eastAsia="Arial" w:hAnsi="Arial"/>
                  <w:sz w:val="18"/>
                  <w:szCs w:val="18"/>
                  <w:u w:val="single" w:color="auto"/>
                  <w:color w:val="0000EE"/>
                  <w:w w:val="88"/>
                </w:rPr>
                <w:t>10.10</w:t>
              </w:r>
            </w:hyperlink>
          </w:p>
        </w:tc>
        <w:tc>
          <w:tcPr>
            <w:tcW w:w="220" w:type="dxa"/>
            <w:vAlign w:val="bottom"/>
          </w:tcPr>
          <w:p>
            <w:pPr>
              <w:spacing w:after="0"/>
              <w:rPr>
                <w:sz w:val="24"/>
                <w:szCs w:val="24"/>
                <w:color w:val="auto"/>
              </w:rPr>
            </w:pPr>
          </w:p>
        </w:tc>
        <w:tc>
          <w:tcPr>
            <w:tcW w:w="9580" w:type="dxa"/>
            <w:vAlign w:val="bottom"/>
            <w:tcBorders>
              <w:bottom w:val="single" w:sz="8" w:color="0000EE"/>
            </w:tcBorders>
            <w:gridSpan w:val="16"/>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Indemnity Agreement, dated July 29, 2020, between the Registrant and William J. Bynum (incorporated by reference to Exhibit 10.8</w:t>
              </w:r>
            </w:hyperlink>
          </w:p>
        </w:tc>
        <w:tc>
          <w:tcPr>
            <w:tcW w:w="3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filed with the Company’s current report on Form 8-K filed by the Registrant on August 4,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40" w:type="dxa"/>
            <w:vAlign w:val="bottom"/>
          </w:tcPr>
          <w:p>
            <w:pPr>
              <w:jc w:val="center"/>
              <w:spacing w:after="0"/>
              <w:rPr>
                <w:rFonts w:ascii="Arial" w:cs="Arial" w:eastAsia="Arial" w:hAnsi="Arial"/>
                <w:sz w:val="18"/>
                <w:szCs w:val="18"/>
                <w:u w:val="single" w:color="auto"/>
                <w:color w:val="0000EE"/>
                <w:w w:val="88"/>
              </w:rPr>
            </w:pPr>
            <w:hyperlink r:id="rId103">
              <w:r>
                <w:rPr>
                  <w:rFonts w:ascii="Arial" w:cs="Arial" w:eastAsia="Arial" w:hAnsi="Arial"/>
                  <w:sz w:val="18"/>
                  <w:szCs w:val="18"/>
                  <w:u w:val="single" w:color="auto"/>
                  <w:color w:val="0000EE"/>
                  <w:w w:val="88"/>
                </w:rPr>
                <w:t>10.11</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Indemnity Agreement, dated July 29, 2020, between the Registrant and Bonnie Jonas (incorporated by reference to Exhibit 10.9 filed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with the Company’s current report on Form 8-K filed by the Registrant on August 4, 2020).</w:t>
              </w:r>
            </w:hyperlink>
          </w:p>
        </w:tc>
        <w:tc>
          <w:tcPr>
            <w:tcW w:w="300" w:type="dxa"/>
            <w:vAlign w:val="bottom"/>
            <w:gridSpan w:val="8"/>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40" w:type="dxa"/>
            <w:vAlign w:val="bottom"/>
          </w:tcPr>
          <w:p>
            <w:pPr>
              <w:jc w:val="center"/>
              <w:spacing w:after="0"/>
              <w:rPr>
                <w:rFonts w:ascii="Arial" w:cs="Arial" w:eastAsia="Arial" w:hAnsi="Arial"/>
                <w:sz w:val="18"/>
                <w:szCs w:val="18"/>
                <w:u w:val="single" w:color="auto"/>
                <w:color w:val="0000EE"/>
                <w:w w:val="88"/>
              </w:rPr>
            </w:pPr>
            <w:hyperlink r:id="rId104">
              <w:r>
                <w:rPr>
                  <w:rFonts w:ascii="Arial" w:cs="Arial" w:eastAsia="Arial" w:hAnsi="Arial"/>
                  <w:sz w:val="18"/>
                  <w:szCs w:val="18"/>
                  <w:u w:val="single" w:color="auto"/>
                  <w:color w:val="0000EE"/>
                  <w:w w:val="88"/>
                </w:rPr>
                <w:t>10.12</w:t>
              </w:r>
            </w:hyperlink>
          </w:p>
        </w:tc>
        <w:tc>
          <w:tcPr>
            <w:tcW w:w="220" w:type="dxa"/>
            <w:vAlign w:val="bottom"/>
          </w:tcPr>
          <w:p>
            <w:pPr>
              <w:spacing w:after="0"/>
              <w:rPr>
                <w:sz w:val="24"/>
                <w:szCs w:val="24"/>
                <w:color w:val="auto"/>
              </w:rPr>
            </w:pPr>
          </w:p>
        </w:tc>
        <w:tc>
          <w:tcPr>
            <w:tcW w:w="9560" w:type="dxa"/>
            <w:vAlign w:val="bottom"/>
            <w:tcBorders>
              <w:bottom w:val="single" w:sz="8" w:color="0000EE"/>
            </w:tcBorders>
            <w:gridSpan w:val="15"/>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Indemnity Agreement, dated July 29, 2020, between the Registrant and Mark Klein (incorporated by reference to Exhibit 10.10 filed</w:t>
              </w:r>
            </w:hyperlink>
          </w:p>
        </w:tc>
        <w:tc>
          <w:tcPr>
            <w:tcW w:w="32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with the Company’s current report on Form 8-K filed by the Registrant on August 4,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88"/>
              </w:rPr>
            </w:pPr>
            <w:hyperlink r:id="rId105">
              <w:r>
                <w:rPr>
                  <w:rFonts w:ascii="Arial" w:cs="Arial" w:eastAsia="Arial" w:hAnsi="Arial"/>
                  <w:sz w:val="18"/>
                  <w:szCs w:val="18"/>
                  <w:u w:val="single" w:color="auto"/>
                  <w:color w:val="0000EE"/>
                  <w:w w:val="88"/>
                </w:rPr>
                <w:t>10.13</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rPr>
            </w:pPr>
            <w:hyperlink r:id="rId105">
              <w:r>
                <w:rPr>
                  <w:rFonts w:ascii="Arial" w:cs="Arial" w:eastAsia="Arial" w:hAnsi="Arial"/>
                  <w:sz w:val="18"/>
                  <w:szCs w:val="18"/>
                  <w:color w:val="0000EE"/>
                </w:rPr>
                <w:t>Indemnity Agreement, dated July 29, 2020, between the Registrant and Malcolm S. McDermid (incorporated by reference to</w:t>
              </w:r>
            </w:hyperlink>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Exhibit 10.11 filed with the Company’s current report on Form 8-K filed by the Registrant on August 4, 2020).</w:t>
              </w:r>
            </w:hyperlink>
          </w:p>
        </w:tc>
        <w:tc>
          <w:tcPr>
            <w:tcW w:w="900" w:type="dxa"/>
            <w:vAlign w:val="bottom"/>
            <w:gridSpan w:val="13"/>
          </w:tcPr>
          <w:p>
            <w:pPr>
              <w:spacing w:after="0"/>
              <w:rPr>
                <w:sz w:val="20"/>
                <w:szCs w:val="20"/>
                <w:color w:val="auto"/>
              </w:rPr>
            </w:pPr>
          </w:p>
        </w:tc>
      </w:tr>
      <w:tr>
        <w:trPr>
          <w:trHeight w:val="270"/>
        </w:trPr>
        <w:tc>
          <w:tcPr>
            <w:tcW w:w="1140" w:type="dxa"/>
            <w:vAlign w:val="bottom"/>
          </w:tcPr>
          <w:p>
            <w:pPr>
              <w:jc w:val="center"/>
              <w:spacing w:after="0"/>
              <w:rPr>
                <w:rFonts w:ascii="Arial" w:cs="Arial" w:eastAsia="Arial" w:hAnsi="Arial"/>
                <w:sz w:val="18"/>
                <w:szCs w:val="18"/>
                <w:u w:val="single" w:color="auto"/>
                <w:color w:val="0000EE"/>
                <w:w w:val="88"/>
              </w:rPr>
            </w:pPr>
            <w:hyperlink r:id="rId106">
              <w:r>
                <w:rPr>
                  <w:rFonts w:ascii="Arial" w:cs="Arial" w:eastAsia="Arial" w:hAnsi="Arial"/>
                  <w:sz w:val="18"/>
                  <w:szCs w:val="18"/>
                  <w:u w:val="single" w:color="auto"/>
                  <w:color w:val="0000EE"/>
                  <w:w w:val="88"/>
                </w:rPr>
                <w:t>10.14</w:t>
              </w:r>
            </w:hyperlink>
          </w:p>
        </w:tc>
        <w:tc>
          <w:tcPr>
            <w:tcW w:w="220" w:type="dxa"/>
            <w:vAlign w:val="bottom"/>
          </w:tcPr>
          <w:p>
            <w:pPr>
              <w:spacing w:after="0"/>
              <w:rPr>
                <w:sz w:val="23"/>
                <w:szCs w:val="23"/>
                <w:color w:val="auto"/>
              </w:rPr>
            </w:pPr>
          </w:p>
        </w:tc>
        <w:tc>
          <w:tcPr>
            <w:tcW w:w="9800" w:type="dxa"/>
            <w:vAlign w:val="bottom"/>
            <w:tcBorders>
              <w:bottom w:val="single" w:sz="8" w:color="0000EE"/>
            </w:tcBorders>
            <w:gridSpan w:val="21"/>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Indemnity Agreement, dated July 29, 2020, between the Registrant and Karen G. Mills (incorporated by reference to Exhibit 10.12 filed</w:t>
              </w:r>
            </w:hyperlink>
          </w:p>
        </w:tc>
        <w:tc>
          <w:tcPr>
            <w:tcW w:w="80" w:type="dxa"/>
            <w:vAlign w:val="bottom"/>
            <w:gridSpan w:val="3"/>
          </w:tcPr>
          <w:p>
            <w:pPr>
              <w:spacing w:after="0"/>
              <w:rPr>
                <w:sz w:val="23"/>
                <w:szCs w:val="23"/>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with the Company’s current report on Form 8-K filed by the Registrant on August 4,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40" w:type="dxa"/>
            <w:vAlign w:val="bottom"/>
          </w:tcPr>
          <w:p>
            <w:pPr>
              <w:jc w:val="center"/>
              <w:spacing w:after="0"/>
              <w:rPr>
                <w:rFonts w:ascii="Arial" w:cs="Arial" w:eastAsia="Arial" w:hAnsi="Arial"/>
                <w:sz w:val="18"/>
                <w:szCs w:val="18"/>
                <w:u w:val="single" w:color="auto"/>
                <w:color w:val="0000EE"/>
                <w:w w:val="88"/>
              </w:rPr>
            </w:pPr>
            <w:hyperlink r:id="rId107">
              <w:r>
                <w:rPr>
                  <w:rFonts w:ascii="Arial" w:cs="Arial" w:eastAsia="Arial" w:hAnsi="Arial"/>
                  <w:sz w:val="18"/>
                  <w:szCs w:val="18"/>
                  <w:u w:val="single" w:color="auto"/>
                  <w:color w:val="0000EE"/>
                  <w:w w:val="88"/>
                </w:rPr>
                <w:t>10.15</w:t>
              </w:r>
            </w:hyperlink>
          </w:p>
        </w:tc>
        <w:tc>
          <w:tcPr>
            <w:tcW w:w="220" w:type="dxa"/>
            <w:vAlign w:val="bottom"/>
          </w:tcPr>
          <w:p>
            <w:pPr>
              <w:spacing w:after="0"/>
              <w:rPr>
                <w:sz w:val="24"/>
                <w:szCs w:val="24"/>
                <w:color w:val="auto"/>
              </w:rPr>
            </w:pPr>
          </w:p>
        </w:tc>
        <w:tc>
          <w:tcPr>
            <w:tcW w:w="9640" w:type="dxa"/>
            <w:vAlign w:val="bottom"/>
            <w:tcBorders>
              <w:bottom w:val="single" w:sz="8" w:color="0000EE"/>
            </w:tcBorders>
            <w:gridSpan w:val="18"/>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Administrative Services Agreement, dated July 29, 2020, by and between the Registrant and an affiliate of Churchill Sponsor IV LLC</w:t>
              </w:r>
            </w:hyperlink>
          </w:p>
        </w:tc>
        <w:tc>
          <w:tcPr>
            <w:tcW w:w="24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(incorporated by reference to the Exhibit 10.13 filed with the Company’s current report on Form 8-K filed by the Registrant on</w:t>
              </w:r>
            </w:hyperlink>
          </w:p>
        </w:tc>
        <w:tc>
          <w:tcPr>
            <w:tcW w:w="74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August 4,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40" w:type="dxa"/>
            <w:vAlign w:val="bottom"/>
          </w:tcPr>
          <w:p>
            <w:pPr>
              <w:jc w:val="center"/>
              <w:spacing w:after="0"/>
              <w:rPr>
                <w:rFonts w:ascii="Arial" w:cs="Arial" w:eastAsia="Arial" w:hAnsi="Arial"/>
                <w:sz w:val="18"/>
                <w:szCs w:val="18"/>
                <w:u w:val="single" w:color="auto"/>
                <w:color w:val="0000EE"/>
                <w:w w:val="88"/>
              </w:rPr>
            </w:pPr>
            <w:hyperlink r:id="rId108">
              <w:r>
                <w:rPr>
                  <w:rFonts w:ascii="Arial" w:cs="Arial" w:eastAsia="Arial" w:hAnsi="Arial"/>
                  <w:sz w:val="18"/>
                  <w:szCs w:val="18"/>
                  <w:u w:val="single" w:color="auto"/>
                  <w:color w:val="0000EE"/>
                  <w:w w:val="88"/>
                </w:rPr>
                <w:t>10.16</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Investor Rights Agreement, dated as of February 22, 2021, by and among Churchill Capital Corp IV, Ayar Third Investment Company,</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Churchill Sponsor IV LLC and the other parties named therein (incorporated by reference to the Exhibit 10.1 filed with the Company’s</w:t>
              </w:r>
            </w:hyperlink>
          </w:p>
        </w:tc>
        <w:tc>
          <w:tcPr>
            <w:tcW w:w="16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current report on Form 8-K filed by the Registrant on February 22, 2021).</w:t>
              </w:r>
            </w:hyperlink>
          </w:p>
        </w:tc>
        <w:tc>
          <w:tcPr>
            <w:tcW w:w="4560" w:type="dxa"/>
            <w:vAlign w:val="bottom"/>
            <w:gridSpan w:val="18"/>
          </w:tcPr>
          <w:p>
            <w:pPr>
              <w:spacing w:after="0"/>
              <w:rPr>
                <w:sz w:val="17"/>
                <w:szCs w:val="17"/>
                <w:color w:val="auto"/>
              </w:rPr>
            </w:pPr>
          </w:p>
        </w:tc>
      </w:tr>
      <w:tr>
        <w:trPr>
          <w:trHeight w:val="291"/>
        </w:trPr>
        <w:tc>
          <w:tcPr>
            <w:tcW w:w="1140" w:type="dxa"/>
            <w:vAlign w:val="bottom"/>
          </w:tcPr>
          <w:p>
            <w:pPr>
              <w:jc w:val="center"/>
              <w:spacing w:after="0"/>
              <w:rPr>
                <w:rFonts w:ascii="Arial" w:cs="Arial" w:eastAsia="Arial" w:hAnsi="Arial"/>
                <w:sz w:val="18"/>
                <w:szCs w:val="18"/>
                <w:u w:val="single" w:color="auto"/>
                <w:color w:val="0000EE"/>
                <w:w w:val="88"/>
              </w:rPr>
            </w:pPr>
            <w:hyperlink r:id="rId109">
              <w:r>
                <w:rPr>
                  <w:rFonts w:ascii="Arial" w:cs="Arial" w:eastAsia="Arial" w:hAnsi="Arial"/>
                  <w:sz w:val="18"/>
                  <w:szCs w:val="18"/>
                  <w:u w:val="single" w:color="auto"/>
                  <w:color w:val="0000EE"/>
                  <w:w w:val="88"/>
                </w:rPr>
                <w:t>10.17</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4"/>
              </w:rPr>
            </w:pPr>
            <w:hyperlink r:id="rId109">
              <w:r>
                <w:rPr>
                  <w:rFonts w:ascii="Arial" w:cs="Arial" w:eastAsia="Arial" w:hAnsi="Arial"/>
                  <w:sz w:val="18"/>
                  <w:szCs w:val="18"/>
                  <w:color w:val="0000EE"/>
                  <w:w w:val="94"/>
                </w:rPr>
                <w:t>Form of Subscription Agreement (incorporated by reference to the Exhibit 10.2 filed with the Company’s current report on Form 8-K</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filed by the Registrant on February 22, 2021).</w:t>
              </w:r>
            </w:hyperlink>
          </w:p>
        </w:tc>
        <w:tc>
          <w:tcPr>
            <w:tcW w:w="28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88"/>
              </w:rPr>
            </w:pPr>
            <w:hyperlink r:id="rId110">
              <w:r>
                <w:rPr>
                  <w:rFonts w:ascii="Arial" w:cs="Arial" w:eastAsia="Arial" w:hAnsi="Arial"/>
                  <w:sz w:val="18"/>
                  <w:szCs w:val="18"/>
                  <w:u w:val="single" w:color="auto"/>
                  <w:color w:val="0000EE"/>
                  <w:w w:val="88"/>
                </w:rPr>
                <w:t>10.18</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Amended and Restated Sponsor Agreement, dated as February 22, 2021, by and among Churchill Capital Corp IV, Churchill Sponsor IV</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LLC, and the Insiders (incorporated by reference to the Exhibit 10.3 filed with the Company’s current report on Form 8-K filed by the</w:t>
              </w:r>
            </w:hyperlink>
          </w:p>
        </w:tc>
        <w:tc>
          <w:tcPr>
            <w:tcW w:w="14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Registrant on February 22, 2021).</w:t>
              </w:r>
            </w:hyperlink>
          </w:p>
        </w:tc>
        <w:tc>
          <w:tcPr>
            <w:tcW w:w="7440" w:type="dxa"/>
            <w:vAlign w:val="bottom"/>
            <w:gridSpan w:val="21"/>
          </w:tcPr>
          <w:p>
            <w:pPr>
              <w:spacing w:after="0"/>
              <w:rPr>
                <w:sz w:val="17"/>
                <w:szCs w:val="17"/>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88"/>
              </w:rPr>
            </w:pPr>
            <w:hyperlink r:id="rId111">
              <w:r>
                <w:rPr>
                  <w:rFonts w:ascii="Arial" w:cs="Arial" w:eastAsia="Arial" w:hAnsi="Arial"/>
                  <w:sz w:val="18"/>
                  <w:szCs w:val="18"/>
                  <w:u w:val="single" w:color="auto"/>
                  <w:color w:val="0000EE"/>
                  <w:w w:val="88"/>
                </w:rPr>
                <w:t>10.19</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rPr>
            </w:pPr>
            <w:hyperlink r:id="rId111">
              <w:r>
                <w:rPr>
                  <w:rFonts w:ascii="Arial" w:cs="Arial" w:eastAsia="Arial" w:hAnsi="Arial"/>
                  <w:sz w:val="18"/>
                  <w:szCs w:val="18"/>
                  <w:color w:val="0000EE"/>
                </w:rPr>
                <w:t>Promissory Note, dated as of February 22, 2021, by and between Churchill Capital Corp IV and Churchill Sponsor IV LLC</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(incorporated by reference to the Exhibit 10.4 filed with the Company’s current report on Form 8-K filed by the Registrant 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February 22, 2021).</w:t>
              </w:r>
            </w:hyperlink>
          </w:p>
        </w:tc>
        <w:tc>
          <w:tcPr>
            <w:tcW w:w="840" w:type="dxa"/>
            <w:vAlign w:val="bottom"/>
            <w:gridSpan w:val="1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91"/>
              </w:rPr>
            </w:pPr>
            <w:hyperlink w:anchor="page100">
              <w:r>
                <w:rPr>
                  <w:rFonts w:ascii="Arial" w:cs="Arial" w:eastAsia="Arial" w:hAnsi="Arial"/>
                  <w:sz w:val="18"/>
                  <w:szCs w:val="18"/>
                  <w:u w:val="single" w:color="auto"/>
                  <w:color w:val="0000EE"/>
                  <w:w w:val="91"/>
                </w:rPr>
                <w:t>31.1</w:t>
              </w:r>
            </w:hyperlink>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Certification of Principal Executive Officer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adopted pursuant to Section 302 of the Sarbanes-Oxley Act of 2002.</w:t>
              </w:r>
            </w:hyperlink>
          </w:p>
        </w:tc>
        <w:tc>
          <w:tcPr>
            <w:tcW w:w="4680" w:type="dxa"/>
            <w:vAlign w:val="bottom"/>
            <w:tcBorders>
              <w:top w:val="single" w:sz="8" w:color="0000EE"/>
            </w:tcBorders>
            <w:gridSpan w:val="12"/>
          </w:tcPr>
          <w:p>
            <w:pPr>
              <w:spacing w:after="0"/>
              <w:rPr>
                <w:sz w:val="17"/>
                <w:szCs w:val="17"/>
                <w:color w:val="auto"/>
              </w:rPr>
            </w:pPr>
          </w:p>
        </w:tc>
        <w:tc>
          <w:tcPr>
            <w:tcW w:w="280" w:type="dxa"/>
            <w:vAlign w:val="bottom"/>
            <w:gridSpan w:val="7"/>
          </w:tcPr>
          <w:p>
            <w:pPr>
              <w:spacing w:after="0"/>
              <w:rPr>
                <w:sz w:val="17"/>
                <w:szCs w:val="17"/>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91"/>
              </w:rPr>
            </w:pPr>
            <w:hyperlink w:anchor="page101">
              <w:r>
                <w:rPr>
                  <w:rFonts w:ascii="Arial" w:cs="Arial" w:eastAsia="Arial" w:hAnsi="Arial"/>
                  <w:sz w:val="18"/>
                  <w:szCs w:val="18"/>
                  <w:u w:val="single" w:color="auto"/>
                  <w:color w:val="0000EE"/>
                  <w:w w:val="91"/>
                </w:rPr>
                <w:t>31.2</w:t>
              </w:r>
            </w:hyperlink>
          </w:p>
        </w:tc>
        <w:tc>
          <w:tcPr>
            <w:tcW w:w="220" w:type="dxa"/>
            <w:vAlign w:val="bottom"/>
          </w:tcPr>
          <w:p>
            <w:pPr>
              <w:spacing w:after="0"/>
              <w:rPr>
                <w:sz w:val="24"/>
                <w:szCs w:val="24"/>
                <w:color w:val="auto"/>
              </w:rPr>
            </w:pPr>
          </w:p>
        </w:tc>
        <w:tc>
          <w:tcPr>
            <w:tcW w:w="95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32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adopted pursuant to Section 302 of the Sarbanes-Oxley Act of 2002.</w:t>
              </w:r>
            </w:hyperlink>
          </w:p>
        </w:tc>
        <w:tc>
          <w:tcPr>
            <w:tcW w:w="4960" w:type="dxa"/>
            <w:vAlign w:val="bottom"/>
            <w:gridSpan w:val="19"/>
          </w:tcPr>
          <w:p>
            <w:pPr>
              <w:spacing w:after="0"/>
              <w:rPr>
                <w:sz w:val="17"/>
                <w:szCs w:val="17"/>
                <w:color w:val="auto"/>
              </w:rPr>
            </w:pPr>
          </w:p>
        </w:tc>
      </w:tr>
      <w:tr>
        <w:trPr>
          <w:trHeight w:val="290"/>
        </w:trPr>
        <w:tc>
          <w:tcPr>
            <w:tcW w:w="1140" w:type="dxa"/>
            <w:vAlign w:val="bottom"/>
          </w:tcPr>
          <w:p>
            <w:pPr>
              <w:jc w:val="center"/>
              <w:spacing w:after="0"/>
              <w:rPr>
                <w:rFonts w:ascii="Arial" w:cs="Arial" w:eastAsia="Arial" w:hAnsi="Arial"/>
                <w:sz w:val="18"/>
                <w:szCs w:val="18"/>
                <w:u w:val="single" w:color="auto"/>
                <w:color w:val="0000EE"/>
                <w:w w:val="91"/>
              </w:rPr>
            </w:pPr>
            <w:hyperlink w:anchor="page102">
              <w:r>
                <w:rPr>
                  <w:rFonts w:ascii="Arial" w:cs="Arial" w:eastAsia="Arial" w:hAnsi="Arial"/>
                  <w:sz w:val="18"/>
                  <w:szCs w:val="18"/>
                  <w:u w:val="single" w:color="auto"/>
                  <w:color w:val="0000EE"/>
                  <w:w w:val="91"/>
                </w:rPr>
                <w:t>32.1</w:t>
              </w:r>
            </w:hyperlink>
          </w:p>
        </w:tc>
        <w:tc>
          <w:tcPr>
            <w:tcW w:w="220" w:type="dxa"/>
            <w:vAlign w:val="bottom"/>
          </w:tcPr>
          <w:p>
            <w:pPr>
              <w:spacing w:after="0"/>
              <w:rPr>
                <w:sz w:val="24"/>
                <w:szCs w:val="24"/>
                <w:color w:val="auto"/>
              </w:rPr>
            </w:pPr>
          </w:p>
        </w:tc>
        <w:tc>
          <w:tcPr>
            <w:tcW w:w="95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34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Oxley Act of 2002.</w:t>
              </w:r>
            </w:hyperlink>
          </w:p>
        </w:tc>
      </w:tr>
      <w:tr>
        <w:trPr>
          <w:trHeight w:val="695"/>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gridSpan w:val="2"/>
          </w:tcPr>
          <w:p>
            <w:pPr>
              <w:spacing w:after="0"/>
              <w:rPr>
                <w:sz w:val="24"/>
                <w:szCs w:val="24"/>
                <w:color w:val="auto"/>
              </w:rPr>
            </w:pPr>
          </w:p>
        </w:tc>
        <w:tc>
          <w:tcPr>
            <w:tcW w:w="35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gridSpan w:val="2"/>
          </w:tcPr>
          <w:p>
            <w:pPr>
              <w:ind w:left="3120"/>
              <w:spacing w:after="0"/>
              <w:rPr>
                <w:sz w:val="20"/>
                <w:szCs w:val="20"/>
                <w:color w:val="auto"/>
              </w:rPr>
            </w:pPr>
            <w:r>
              <w:rPr>
                <w:rFonts w:ascii="Arial" w:cs="Arial" w:eastAsia="Arial" w:hAnsi="Arial"/>
                <w:sz w:val="18"/>
                <w:szCs w:val="18"/>
                <w:b w:val="1"/>
                <w:bCs w:val="1"/>
                <w:color w:val="auto"/>
              </w:rPr>
              <w:t>Description</w:t>
            </w:r>
          </w:p>
        </w:tc>
      </w:tr>
      <w:tr>
        <w:trPr>
          <w:trHeight w:val="263"/>
        </w:trPr>
        <w:tc>
          <w:tcPr>
            <w:tcW w:w="1140" w:type="dxa"/>
            <w:vAlign w:val="bottom"/>
          </w:tcPr>
          <w:p>
            <w:pPr>
              <w:jc w:val="center"/>
              <w:spacing w:after="0"/>
              <w:rPr>
                <w:rFonts w:ascii="Arial" w:cs="Arial" w:eastAsia="Arial" w:hAnsi="Arial"/>
                <w:sz w:val="18"/>
                <w:szCs w:val="18"/>
                <w:u w:val="single" w:color="auto"/>
                <w:color w:val="0000EE"/>
                <w:w w:val="91"/>
              </w:rPr>
            </w:pPr>
            <w:hyperlink w:anchor="page103">
              <w:r>
                <w:rPr>
                  <w:rFonts w:ascii="Arial" w:cs="Arial" w:eastAsia="Arial" w:hAnsi="Arial"/>
                  <w:sz w:val="18"/>
                  <w:szCs w:val="18"/>
                  <w:u w:val="single" w:color="auto"/>
                  <w:color w:val="0000EE"/>
                  <w:w w:val="91"/>
                </w:rPr>
                <w:t>32.2</w:t>
              </w:r>
            </w:hyperlink>
          </w:p>
        </w:tc>
        <w:tc>
          <w:tcPr>
            <w:tcW w:w="220" w:type="dxa"/>
            <w:vAlign w:val="bottom"/>
          </w:tcPr>
          <w:p>
            <w:pPr>
              <w:spacing w:after="0"/>
              <w:rPr>
                <w:sz w:val="22"/>
                <w:szCs w:val="22"/>
                <w:color w:val="auto"/>
              </w:rPr>
            </w:pPr>
          </w:p>
        </w:tc>
        <w:tc>
          <w:tcPr>
            <w:tcW w:w="9880" w:type="dxa"/>
            <w:vAlign w:val="bottom"/>
            <w:gridSpan w:val="3"/>
          </w:tcPr>
          <w:p>
            <w:pPr>
              <w:spacing w:after="0"/>
              <w:rPr>
                <w:rFonts w:ascii="Arial" w:cs="Arial" w:eastAsia="Arial" w:hAnsi="Arial"/>
                <w:sz w:val="18"/>
                <w:szCs w:val="18"/>
                <w:color w:val="0000EE"/>
                <w:w w:val="94"/>
              </w:rPr>
            </w:pPr>
            <w:hyperlink w:anchor="page103">
              <w:r>
                <w:rPr>
                  <w:rFonts w:ascii="Arial" w:cs="Arial" w:eastAsia="Arial" w:hAnsi="Arial"/>
                  <w:sz w:val="18"/>
                  <w:szCs w:val="18"/>
                  <w:color w:val="0000EE"/>
                  <w:w w:val="94"/>
                </w:rPr>
                <w:t>Certification of Principal Financial Officer pursuant to 18 U.S.C. Section 1350, as adopted pursuant to Section 906 of the Sarbanes-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Oxley Act of 2002.</w:t>
              </w:r>
            </w:hyperlink>
          </w:p>
        </w:tc>
        <w:tc>
          <w:tcPr>
            <w:tcW w:w="4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r>
      <w:tr>
        <w:trPr>
          <w:trHeight w:val="331"/>
        </w:trPr>
        <w:tc>
          <w:tcPr>
            <w:tcW w:w="1140" w:type="dxa"/>
            <w:vAlign w:val="bottom"/>
          </w:tcPr>
          <w:p>
            <w:pPr>
              <w:jc w:val="center"/>
              <w:spacing w:after="0"/>
              <w:rPr>
                <w:sz w:val="20"/>
                <w:szCs w:val="20"/>
                <w:color w:val="auto"/>
              </w:rPr>
            </w:pPr>
            <w:r>
              <w:rPr>
                <w:rFonts w:ascii="Arial" w:cs="Arial" w:eastAsia="Arial" w:hAnsi="Arial"/>
                <w:sz w:val="18"/>
                <w:szCs w:val="18"/>
                <w:color w:val="auto"/>
                <w:w w:val="93"/>
              </w:rPr>
              <w:t>(101.INS)</w:t>
            </w: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11"/>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1"/>
        </w:trPr>
        <w:tc>
          <w:tcPr>
            <w:tcW w:w="11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10"/>
        </w:trPr>
        <w:tc>
          <w:tcPr>
            <w:tcW w:w="1140" w:type="dxa"/>
            <w:vAlign w:val="bottom"/>
          </w:tcPr>
          <w:p>
            <w:pPr>
              <w:jc w:val="center"/>
              <w:spacing w:after="0"/>
              <w:rPr>
                <w:sz w:val="20"/>
                <w:szCs w:val="20"/>
                <w:color w:val="auto"/>
              </w:rPr>
            </w:pPr>
            <w:r>
              <w:rPr>
                <w:rFonts w:ascii="Arial" w:cs="Arial" w:eastAsia="Arial" w:hAnsi="Arial"/>
                <w:sz w:val="18"/>
                <w:szCs w:val="18"/>
                <w:color w:val="auto"/>
                <w:w w:val="93"/>
              </w:rPr>
              <w:t>(101.DEF)</w:t>
            </w: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11"/>
        </w:trPr>
        <w:tc>
          <w:tcPr>
            <w:tcW w:w="11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10"/>
        </w:trPr>
        <w:tc>
          <w:tcPr>
            <w:tcW w:w="1140" w:type="dxa"/>
            <w:vAlign w:val="bottom"/>
          </w:tcPr>
          <w:p>
            <w:pPr>
              <w:jc w:val="center"/>
              <w:spacing w:after="0"/>
              <w:rPr>
                <w:sz w:val="20"/>
                <w:szCs w:val="20"/>
                <w:color w:val="auto"/>
              </w:rPr>
            </w:pPr>
            <w:r>
              <w:rPr>
                <w:rFonts w:ascii="Arial" w:cs="Arial" w:eastAsia="Arial" w:hAnsi="Arial"/>
                <w:sz w:val="18"/>
                <w:szCs w:val="18"/>
                <w:color w:val="auto"/>
                <w:w w:val="90"/>
              </w:rPr>
              <w:t>(101.PRE)</w:t>
            </w: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114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gridSpan w:val="3"/>
          </w:tcPr>
          <w:p>
            <w:pPr>
              <w:jc w:val="right"/>
              <w:ind w:right="5030"/>
              <w:spacing w:after="0"/>
              <w:rPr>
                <w:sz w:val="20"/>
                <w:szCs w:val="20"/>
                <w:color w:val="auto"/>
              </w:rPr>
            </w:pPr>
            <w:r>
              <w:rPr>
                <w:rFonts w:ascii="Arial" w:cs="Arial" w:eastAsia="Arial" w:hAnsi="Arial"/>
                <w:sz w:val="18"/>
                <w:szCs w:val="18"/>
                <w:color w:val="auto"/>
              </w:rPr>
              <w:t>76</w:t>
            </w: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Pursuant to the requirements of the Section 13 or 15(d) of the Securities Exchange Act of 1934, as amended, the Registrant has duly caused this annual report to be signed on its behalf by the undersigned, thereunto duly authorized, in New York City, New York, on the 15th day of March, 2021.</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Jay Taragin</w:t>
      </w:r>
    </w:p>
    <w:p>
      <w:pPr>
        <w:spacing w:after="0" w:line="23" w:lineRule="exact"/>
        <w:rPr>
          <w:sz w:val="20"/>
          <w:szCs w:val="20"/>
          <w:color w:val="auto"/>
        </w:rPr>
      </w:pPr>
    </w:p>
    <w:p>
      <w:pPr>
        <w:ind w:left="59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09"/>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Klein</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Chief Executive Officer, Chairman of</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195"/>
        </w:trPr>
        <w:tc>
          <w:tcPr>
            <w:tcW w:w="3620" w:type="dxa"/>
            <w:vAlign w:val="bottom"/>
          </w:tcPr>
          <w:p>
            <w:pPr>
              <w:spacing w:after="0" w:line="195" w:lineRule="exact"/>
              <w:rPr>
                <w:sz w:val="20"/>
                <w:szCs w:val="20"/>
                <w:color w:val="auto"/>
              </w:rPr>
            </w:pPr>
            <w:r>
              <w:rPr>
                <w:rFonts w:ascii="Arial" w:cs="Arial" w:eastAsia="Arial" w:hAnsi="Arial"/>
                <w:sz w:val="18"/>
                <w:szCs w:val="18"/>
                <w:color w:val="auto"/>
              </w:rPr>
              <w:t>Michael Klein</w:t>
            </w:r>
          </w:p>
        </w:tc>
        <w:tc>
          <w:tcPr>
            <w:tcW w:w="22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Board of Directors and Director</w:t>
            </w:r>
          </w:p>
        </w:tc>
        <w:tc>
          <w:tcPr>
            <w:tcW w:w="2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Jay Taragin</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Glenn R. August</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Glenn R. August</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Bynum</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William J. Bynum</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Bonnie Jonas</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Bonnie Jonas</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Klein</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Mark Klein</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Malcolm S. McDermid</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Malcolm S. McDermid</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G. Mills</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Karen G. Mills</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634"/>
        </w:trPr>
        <w:tc>
          <w:tcPr>
            <w:tcW w:w="36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89"/>
              </w:rPr>
              <w:t>77</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ind w:left="4240"/>
              <w:spacing w:after="0"/>
              <w:rPr>
                <w:sz w:val="20"/>
                <w:szCs w:val="20"/>
                <w:color w:val="auto"/>
              </w:rPr>
            </w:pPr>
            <w:r>
              <w:rPr>
                <w:rFonts w:ascii="Arial" w:cs="Arial" w:eastAsia="Arial" w:hAnsi="Arial"/>
                <w:sz w:val="18"/>
                <w:szCs w:val="18"/>
                <w:b w:val="1"/>
                <w:bCs w:val="1"/>
                <w:color w:val="auto"/>
              </w:rPr>
              <w:t>CHURCHILL CAPITAL CORP IV</w:t>
            </w:r>
          </w:p>
        </w:tc>
        <w:tc>
          <w:tcPr>
            <w:tcW w:w="2500" w:type="dxa"/>
            <w:vAlign w:val="bottom"/>
          </w:tcPr>
          <w:p>
            <w:pPr>
              <w:spacing w:after="0"/>
              <w:rPr>
                <w:sz w:val="20"/>
                <w:szCs w:val="20"/>
                <w:color w:val="auto"/>
              </w:rPr>
            </w:pPr>
          </w:p>
        </w:tc>
      </w:tr>
      <w:tr>
        <w:trPr>
          <w:trHeight w:val="432"/>
        </w:trPr>
        <w:tc>
          <w:tcPr>
            <w:tcW w:w="874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2500" w:type="dxa"/>
            <w:vAlign w:val="bottom"/>
          </w:tcPr>
          <w:p>
            <w:pPr>
              <w:spacing w:after="0"/>
              <w:rPr>
                <w:sz w:val="24"/>
                <w:szCs w:val="24"/>
                <w:color w:val="auto"/>
              </w:rPr>
            </w:pPr>
          </w:p>
        </w:tc>
      </w:tr>
      <w:tr>
        <w:trPr>
          <w:trHeight w:val="216"/>
        </w:trPr>
        <w:tc>
          <w:tcPr>
            <w:tcW w:w="87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Report of Independent Registered Public Accounting Firm</w:t>
              </w:r>
            </w:hyperlink>
          </w:p>
        </w:tc>
        <w:tc>
          <w:tcPr>
            <w:tcW w:w="2500" w:type="dxa"/>
            <w:vAlign w:val="bottom"/>
            <w:shd w:val="clear" w:color="auto" w:fill="CCEEFF"/>
          </w:tcPr>
          <w:p>
            <w:pPr>
              <w:jc w:val="center"/>
              <w:ind w:left="1290"/>
              <w:spacing w:after="0"/>
              <w:rPr>
                <w:rFonts w:ascii="Arial" w:cs="Arial" w:eastAsia="Arial" w:hAnsi="Arial"/>
                <w:sz w:val="18"/>
                <w:szCs w:val="18"/>
                <w:u w:val="single" w:color="auto"/>
                <w:color w:val="0000EE"/>
                <w:w w:val="88"/>
              </w:rPr>
            </w:pPr>
            <w:hyperlink w:anchor="page82">
              <w:r>
                <w:rPr>
                  <w:rFonts w:ascii="Arial" w:cs="Arial" w:eastAsia="Arial" w:hAnsi="Arial"/>
                  <w:sz w:val="18"/>
                  <w:szCs w:val="18"/>
                  <w:u w:val="single" w:color="auto"/>
                  <w:color w:val="0000EE"/>
                  <w:w w:val="88"/>
                </w:rPr>
                <w:t>F-2</w:t>
              </w:r>
            </w:hyperlink>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Financial Statements:</w:t>
            </w:r>
          </w:p>
        </w:tc>
        <w:tc>
          <w:tcPr>
            <w:tcW w:w="2500" w:type="dxa"/>
            <w:vAlign w:val="bottom"/>
          </w:tcPr>
          <w:p>
            <w:pPr>
              <w:spacing w:after="0"/>
              <w:rPr>
                <w:sz w:val="18"/>
                <w:szCs w:val="18"/>
                <w:color w:val="auto"/>
              </w:rPr>
            </w:pPr>
          </w:p>
        </w:tc>
      </w:tr>
      <w:tr>
        <w:trPr>
          <w:trHeight w:val="216"/>
        </w:trPr>
        <w:tc>
          <w:tcPr>
            <w:tcW w:w="8740" w:type="dxa"/>
            <w:vAlign w:val="bottom"/>
            <w:shd w:val="clear" w:color="auto" w:fill="CCEEFF"/>
          </w:tcPr>
          <w:p>
            <w:pPr>
              <w:ind w:left="16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Balance Sheet</w:t>
              </w:r>
            </w:hyperlink>
          </w:p>
        </w:tc>
        <w:tc>
          <w:tcPr>
            <w:tcW w:w="2500" w:type="dxa"/>
            <w:vAlign w:val="bottom"/>
            <w:shd w:val="clear" w:color="auto" w:fill="CCEEFF"/>
          </w:tcPr>
          <w:p>
            <w:pPr>
              <w:jc w:val="center"/>
              <w:ind w:left="1290"/>
              <w:spacing w:after="0"/>
              <w:rPr>
                <w:rFonts w:ascii="Arial" w:cs="Arial" w:eastAsia="Arial" w:hAnsi="Arial"/>
                <w:sz w:val="18"/>
                <w:szCs w:val="18"/>
                <w:u w:val="single" w:color="auto"/>
                <w:color w:val="0000EE"/>
                <w:w w:val="88"/>
              </w:rPr>
            </w:pPr>
            <w:hyperlink w:anchor="page83">
              <w:r>
                <w:rPr>
                  <w:rFonts w:ascii="Arial" w:cs="Arial" w:eastAsia="Arial" w:hAnsi="Arial"/>
                  <w:sz w:val="18"/>
                  <w:szCs w:val="18"/>
                  <w:u w:val="single" w:color="auto"/>
                  <w:color w:val="0000EE"/>
                  <w:w w:val="88"/>
                </w:rPr>
                <w:t>F-3</w:t>
              </w:r>
            </w:hyperlink>
          </w:p>
        </w:tc>
      </w:tr>
      <w:tr>
        <w:trPr>
          <w:trHeight w:val="216"/>
        </w:trPr>
        <w:tc>
          <w:tcPr>
            <w:tcW w:w="8740" w:type="dxa"/>
            <w:vAlign w:val="bottom"/>
          </w:tcPr>
          <w:p>
            <w:pPr>
              <w:ind w:left="16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Statement of Operations</w:t>
              </w:r>
            </w:hyperlink>
          </w:p>
        </w:tc>
        <w:tc>
          <w:tcPr>
            <w:tcW w:w="2500" w:type="dxa"/>
            <w:vAlign w:val="bottom"/>
          </w:tcPr>
          <w:p>
            <w:pPr>
              <w:jc w:val="center"/>
              <w:ind w:left="1290"/>
              <w:spacing w:after="0"/>
              <w:rPr>
                <w:rFonts w:ascii="Arial" w:cs="Arial" w:eastAsia="Arial" w:hAnsi="Arial"/>
                <w:sz w:val="18"/>
                <w:szCs w:val="18"/>
                <w:u w:val="single" w:color="auto"/>
                <w:color w:val="0000EE"/>
                <w:w w:val="88"/>
              </w:rPr>
            </w:pPr>
            <w:hyperlink w:anchor="page84">
              <w:r>
                <w:rPr>
                  <w:rFonts w:ascii="Arial" w:cs="Arial" w:eastAsia="Arial" w:hAnsi="Arial"/>
                  <w:sz w:val="18"/>
                  <w:szCs w:val="18"/>
                  <w:u w:val="single" w:color="auto"/>
                  <w:color w:val="0000EE"/>
                  <w:w w:val="88"/>
                </w:rPr>
                <w:t>F-4</w:t>
              </w:r>
            </w:hyperlink>
          </w:p>
        </w:tc>
      </w:tr>
      <w:tr>
        <w:trPr>
          <w:trHeight w:val="216"/>
        </w:trPr>
        <w:tc>
          <w:tcPr>
            <w:tcW w:w="8740" w:type="dxa"/>
            <w:vAlign w:val="bottom"/>
            <w:shd w:val="clear" w:color="auto" w:fill="CCEEFF"/>
          </w:tcPr>
          <w:p>
            <w:pPr>
              <w:ind w:left="16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Statement of Changes in Stockholders’ Equity</w:t>
              </w:r>
            </w:hyperlink>
          </w:p>
        </w:tc>
        <w:tc>
          <w:tcPr>
            <w:tcW w:w="2500" w:type="dxa"/>
            <w:vAlign w:val="bottom"/>
            <w:shd w:val="clear" w:color="auto" w:fill="CCEEFF"/>
          </w:tcPr>
          <w:p>
            <w:pPr>
              <w:jc w:val="center"/>
              <w:ind w:left="1290"/>
              <w:spacing w:after="0"/>
              <w:rPr>
                <w:rFonts w:ascii="Arial" w:cs="Arial" w:eastAsia="Arial" w:hAnsi="Arial"/>
                <w:sz w:val="18"/>
                <w:szCs w:val="18"/>
                <w:u w:val="single" w:color="auto"/>
                <w:color w:val="0000EE"/>
                <w:w w:val="88"/>
              </w:rPr>
            </w:pPr>
            <w:hyperlink w:anchor="page85">
              <w:r>
                <w:rPr>
                  <w:rFonts w:ascii="Arial" w:cs="Arial" w:eastAsia="Arial" w:hAnsi="Arial"/>
                  <w:sz w:val="18"/>
                  <w:szCs w:val="18"/>
                  <w:u w:val="single" w:color="auto"/>
                  <w:color w:val="0000EE"/>
                  <w:w w:val="88"/>
                </w:rPr>
                <w:t>F-5</w:t>
              </w:r>
            </w:hyperlink>
          </w:p>
        </w:tc>
      </w:tr>
      <w:tr>
        <w:trPr>
          <w:trHeight w:val="216"/>
        </w:trPr>
        <w:tc>
          <w:tcPr>
            <w:tcW w:w="8740" w:type="dxa"/>
            <w:vAlign w:val="bottom"/>
          </w:tcPr>
          <w:p>
            <w:pPr>
              <w:ind w:left="16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Statement of Cash Flows</w:t>
              </w:r>
            </w:hyperlink>
          </w:p>
        </w:tc>
        <w:tc>
          <w:tcPr>
            <w:tcW w:w="2500" w:type="dxa"/>
            <w:vAlign w:val="bottom"/>
          </w:tcPr>
          <w:p>
            <w:pPr>
              <w:jc w:val="center"/>
              <w:ind w:left="1290"/>
              <w:spacing w:after="0"/>
              <w:rPr>
                <w:rFonts w:ascii="Arial" w:cs="Arial" w:eastAsia="Arial" w:hAnsi="Arial"/>
                <w:sz w:val="18"/>
                <w:szCs w:val="18"/>
                <w:u w:val="single" w:color="auto"/>
                <w:color w:val="0000EE"/>
                <w:w w:val="88"/>
              </w:rPr>
            </w:pPr>
            <w:hyperlink w:anchor="page86">
              <w:r>
                <w:rPr>
                  <w:rFonts w:ascii="Arial" w:cs="Arial" w:eastAsia="Arial" w:hAnsi="Arial"/>
                  <w:sz w:val="18"/>
                  <w:szCs w:val="18"/>
                  <w:u w:val="single" w:color="auto"/>
                  <w:color w:val="0000EE"/>
                  <w:w w:val="88"/>
                </w:rPr>
                <w:t>F-6</w:t>
              </w:r>
            </w:hyperlink>
          </w:p>
        </w:tc>
      </w:tr>
      <w:tr>
        <w:trPr>
          <w:trHeight w:val="216"/>
        </w:trPr>
        <w:tc>
          <w:tcPr>
            <w:tcW w:w="8740" w:type="dxa"/>
            <w:vAlign w:val="bottom"/>
            <w:shd w:val="clear" w:color="auto" w:fill="CCEEFF"/>
          </w:tcPr>
          <w:p>
            <w:pPr>
              <w:ind w:left="1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Notes to Financial Statements</w:t>
              </w:r>
            </w:hyperlink>
          </w:p>
        </w:tc>
        <w:tc>
          <w:tcPr>
            <w:tcW w:w="2500" w:type="dxa"/>
            <w:vAlign w:val="bottom"/>
            <w:shd w:val="clear" w:color="auto" w:fill="CCEEFF"/>
          </w:tcPr>
          <w:p>
            <w:pPr>
              <w:jc w:val="center"/>
              <w:ind w:left="1270"/>
              <w:spacing w:after="0"/>
              <w:rPr>
                <w:rFonts w:ascii="Arial" w:cs="Arial" w:eastAsia="Arial" w:hAnsi="Arial"/>
                <w:sz w:val="18"/>
                <w:szCs w:val="18"/>
                <w:u w:val="single" w:color="auto"/>
                <w:color w:val="0000EE"/>
                <w:w w:val="92"/>
              </w:rPr>
            </w:pPr>
            <w:hyperlink w:anchor="page87">
              <w:r>
                <w:rPr>
                  <w:rFonts w:ascii="Arial" w:cs="Arial" w:eastAsia="Arial" w:hAnsi="Arial"/>
                  <w:sz w:val="18"/>
                  <w:szCs w:val="18"/>
                  <w:u w:val="single" w:color="auto"/>
                  <w:color w:val="0000EE"/>
                  <w:w w:val="92"/>
                </w:rPr>
                <w:t>F-7 to F-16</w:t>
              </w:r>
            </w:hyperlink>
          </w:p>
        </w:tc>
      </w:tr>
      <w:tr>
        <w:trPr>
          <w:trHeight w:val="675"/>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1" w:name="page82"/>
    <w:bookmarkEnd w:id="8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Churchill Capital Corp IV (the “Company”) as of December 31, 2020, the related statements of operations, changes in stockholders’ equity and cash flows for the period from April 30,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April 30,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9760" w:type="dxa"/>
            <w:vAlign w:val="bottom"/>
          </w:tcPr>
          <w:p>
            <w:pPr>
              <w:jc w:val="center"/>
              <w:ind w:left="1390"/>
              <w:spacing w:after="0"/>
              <w:rPr>
                <w:sz w:val="20"/>
                <w:szCs w:val="20"/>
                <w:color w:val="auto"/>
              </w:rPr>
            </w:pPr>
            <w:r>
              <w:rPr>
                <w:rFonts w:ascii="Arial" w:cs="Arial" w:eastAsia="Arial" w:hAnsi="Arial"/>
                <w:sz w:val="18"/>
                <w:szCs w:val="18"/>
                <w:b w:val="1"/>
                <w:bCs w:val="1"/>
                <w:color w:val="auto"/>
              </w:rPr>
              <w:t>CHURCHILL CAPITAL CORP IV</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760" w:type="dxa"/>
            <w:vAlign w:val="bottom"/>
          </w:tcPr>
          <w:p>
            <w:pPr>
              <w:jc w:val="center"/>
              <w:ind w:left="1390"/>
              <w:spacing w:after="0"/>
              <w:rPr>
                <w:sz w:val="20"/>
                <w:szCs w:val="20"/>
                <w:color w:val="auto"/>
              </w:rPr>
            </w:pPr>
            <w:r>
              <w:rPr>
                <w:rFonts w:ascii="Arial" w:cs="Arial" w:eastAsia="Arial" w:hAnsi="Arial"/>
                <w:sz w:val="18"/>
                <w:szCs w:val="18"/>
                <w:b w:val="1"/>
                <w:bCs w:val="1"/>
                <w:color w:val="auto"/>
                <w:w w:val="96"/>
              </w:rPr>
              <w:t>DECEMBER 31, 2020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3,592,857</w:t>
            </w:r>
          </w:p>
        </w:tc>
      </w:tr>
      <w:tr>
        <w:trPr>
          <w:trHeight w:val="230"/>
        </w:trPr>
        <w:tc>
          <w:tcPr>
            <w:tcW w:w="976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937,786</w:t>
            </w:r>
          </w:p>
        </w:tc>
      </w:tr>
      <w:tr>
        <w:trPr>
          <w:trHeight w:val="209"/>
        </w:trPr>
        <w:tc>
          <w:tcPr>
            <w:tcW w:w="9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2,070,086,006</w:t>
            </w:r>
          </w:p>
        </w:tc>
      </w:tr>
      <w:tr>
        <w:trPr>
          <w:trHeight w:val="263"/>
        </w:trPr>
        <w:tc>
          <w:tcPr>
            <w:tcW w:w="9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2,074,616,649</w:t>
            </w:r>
          </w:p>
        </w:tc>
        <w:tc>
          <w:tcPr>
            <w:tcW w:w="100" w:type="dxa"/>
            <w:vAlign w:val="bottom"/>
            <w:tcBorders>
              <w:bottom w:val="single" w:sz="8" w:color="CCEEFF"/>
            </w:tcBorders>
          </w:tcPr>
          <w:p>
            <w:pPr>
              <w:spacing w:after="0"/>
              <w:rPr>
                <w:sz w:val="22"/>
                <w:szCs w:val="22"/>
                <w:color w:val="auto"/>
              </w:rPr>
            </w:pPr>
          </w:p>
        </w:tc>
      </w:tr>
      <w:tr>
        <w:trPr>
          <w:trHeight w:val="197"/>
        </w:trPr>
        <w:tc>
          <w:tcPr>
            <w:tcW w:w="9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1,446,951</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81,422</w:t>
            </w:r>
          </w:p>
        </w:tc>
      </w:tr>
      <w:tr>
        <w:trPr>
          <w:trHeight w:val="229"/>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payable</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72,450,000</w:t>
            </w:r>
          </w:p>
        </w:tc>
      </w:tr>
      <w:tr>
        <w:trPr>
          <w:trHeight w:val="210"/>
        </w:trPr>
        <w:tc>
          <w:tcPr>
            <w:tcW w:w="9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73,978,373</w:t>
            </w:r>
          </w:p>
        </w:tc>
        <w:tc>
          <w:tcPr>
            <w:tcW w:w="100" w:type="dxa"/>
            <w:vAlign w:val="bottom"/>
            <w:tcBorders>
              <w:bottom w:val="single" w:sz="8" w:color="CCEEFF"/>
            </w:tcBorders>
          </w:tcPr>
          <w:p>
            <w:pPr>
              <w:spacing w:after="0"/>
              <w:rPr>
                <w:sz w:val="18"/>
                <w:szCs w:val="18"/>
                <w:color w:val="auto"/>
              </w:rPr>
            </w:pPr>
          </w:p>
        </w:tc>
      </w:tr>
      <w:tr>
        <w:trPr>
          <w:trHeight w:val="209"/>
        </w:trPr>
        <w:tc>
          <w:tcPr>
            <w:tcW w:w="9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Class A common stock subject to possible redemption 199,563,827 shares at redemption value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1,995,638,270</w:t>
            </w:r>
          </w:p>
        </w:tc>
      </w:tr>
      <w:tr>
        <w:trPr>
          <w:trHeight w:val="216"/>
        </w:trPr>
        <w:tc>
          <w:tcPr>
            <w:tcW w:w="9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 shares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9760" w:type="dxa"/>
            <w:vAlign w:val="bottom"/>
          </w:tcPr>
          <w:p>
            <w:pPr>
              <w:spacing w:after="0" w:line="201" w:lineRule="exact"/>
              <w:rPr>
                <w:sz w:val="20"/>
                <w:szCs w:val="20"/>
                <w:color w:val="auto"/>
              </w:rPr>
            </w:pPr>
            <w:r>
              <w:rPr>
                <w:rFonts w:ascii="Arial" w:cs="Arial" w:eastAsia="Arial" w:hAnsi="Arial"/>
                <w:sz w:val="18"/>
                <w:szCs w:val="18"/>
                <w:color w:val="auto"/>
                <w:w w:val="91"/>
              </w:rPr>
              <w:t>Class A common stock, $0.0001 par value; 400,000,000 shares authorized; 7,436,173 issued and outstanding (excluding 199,563,827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760" w:type="dxa"/>
            <w:vAlign w:val="bottom"/>
          </w:tcPr>
          <w:p>
            <w:pPr>
              <w:ind w:left="180"/>
              <w:spacing w:after="0"/>
              <w:rPr>
                <w:sz w:val="20"/>
                <w:szCs w:val="20"/>
                <w:color w:val="auto"/>
              </w:rPr>
            </w:pPr>
            <w:r>
              <w:rPr>
                <w:rFonts w:ascii="Arial" w:cs="Arial" w:eastAsia="Arial" w:hAnsi="Arial"/>
                <w:sz w:val="18"/>
                <w:szCs w:val="18"/>
                <w:color w:val="auto"/>
              </w:rPr>
              <w:t>shares subject to possible redemption)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$0.0001 par value; 100,000,000 shares authorized; 51,750,000 shares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7,515,926</w:t>
            </w:r>
          </w:p>
        </w:tc>
      </w:tr>
      <w:tr>
        <w:trPr>
          <w:trHeight w:val="23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(2,521,839)</w:t>
            </w:r>
          </w:p>
        </w:tc>
      </w:tr>
      <w:tr>
        <w:trPr>
          <w:trHeight w:val="210"/>
        </w:trPr>
        <w:tc>
          <w:tcPr>
            <w:tcW w:w="9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5,000,006</w:t>
            </w:r>
          </w:p>
        </w:tc>
        <w:tc>
          <w:tcPr>
            <w:tcW w:w="100" w:type="dxa"/>
            <w:vAlign w:val="bottom"/>
            <w:tcBorders>
              <w:bottom w:val="single" w:sz="8" w:color="CCEEFF"/>
            </w:tcBorders>
          </w:tcPr>
          <w:p>
            <w:pPr>
              <w:spacing w:after="0"/>
              <w:rPr>
                <w:sz w:val="18"/>
                <w:szCs w:val="18"/>
                <w:color w:val="auto"/>
              </w:rPr>
            </w:pPr>
          </w:p>
        </w:tc>
      </w:tr>
      <w:tr>
        <w:trPr>
          <w:trHeight w:val="223"/>
        </w:trPr>
        <w:tc>
          <w:tcPr>
            <w:tcW w:w="9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2,074,616,649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30, 2020 (INCEPTION) THROUGH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2,976,423</w:t>
            </w:r>
          </w:p>
        </w:tc>
      </w:tr>
      <w:tr>
        <w:trPr>
          <w:trHeight w:val="210"/>
        </w:trPr>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(2,976,423)</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income: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531,361</w:t>
            </w:r>
          </w:p>
        </w:tc>
      </w:tr>
      <w:tr>
        <w:trPr>
          <w:trHeight w:val="230"/>
        </w:trPr>
        <w:tc>
          <w:tcPr>
            <w:tcW w:w="894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4,645</w:t>
            </w:r>
          </w:p>
        </w:tc>
      </w:tr>
      <w:tr>
        <w:trPr>
          <w:trHeight w:val="209"/>
        </w:trPr>
        <w:tc>
          <w:tcPr>
            <w:tcW w:w="8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(2,440,417)</w:t>
            </w:r>
          </w:p>
        </w:tc>
      </w:tr>
      <w:tr>
        <w:trPr>
          <w:trHeight w:val="229"/>
        </w:trPr>
        <w:tc>
          <w:tcPr>
            <w:tcW w:w="8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(81,422)</w:t>
            </w:r>
          </w:p>
        </w:tc>
      </w:tr>
      <w:tr>
        <w:trPr>
          <w:trHeight w:val="223"/>
        </w:trPr>
        <w:tc>
          <w:tcPr>
            <w:tcW w:w="8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(2,521,839)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8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Class A Common stock subject to possible redemption</w:t>
            </w: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199,798,408</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0"/>
        </w:trPr>
        <w:tc>
          <w:tcPr>
            <w:tcW w:w="8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 common stock subject to possible redemption</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0.00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0"/>
        </w:trPr>
        <w:tc>
          <w:tcPr>
            <w:tcW w:w="8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54,384,479</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Non-redeemable common stock</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30, 2020 (INCEPTION) THROUGH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A</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8"/>
        </w:trPr>
        <w:tc>
          <w:tcPr>
            <w:tcW w:w="2420" w:type="dxa"/>
            <w:vAlign w:val="bottom"/>
          </w:tcPr>
          <w:p>
            <w:pPr>
              <w:spacing w:after="0"/>
              <w:rPr>
                <w:sz w:val="21"/>
                <w:szCs w:val="21"/>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Common Stock</w:t>
            </w:r>
          </w:p>
        </w:tc>
        <w:tc>
          <w:tcPr>
            <w:tcW w:w="22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4"/>
          </w:tcPr>
          <w:p>
            <w:pPr>
              <w:ind w:left="60"/>
              <w:spacing w:after="0"/>
              <w:rPr>
                <w:sz w:val="20"/>
                <w:szCs w:val="20"/>
                <w:color w:val="auto"/>
              </w:rPr>
            </w:pPr>
            <w:r>
              <w:rPr>
                <w:rFonts w:ascii="Arial" w:cs="Arial" w:eastAsia="Arial" w:hAnsi="Arial"/>
                <w:sz w:val="18"/>
                <w:szCs w:val="18"/>
                <w:b w:val="1"/>
                <w:bCs w:val="1"/>
                <w:color w:val="auto"/>
              </w:rPr>
              <w:t>Accumulated</w:t>
            </w:r>
          </w:p>
        </w:tc>
        <w:tc>
          <w:tcPr>
            <w:tcW w:w="1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9"/>
                <w:szCs w:val="19"/>
                <w:color w:val="auto"/>
              </w:rPr>
            </w:pPr>
          </w:p>
        </w:tc>
        <w:tc>
          <w:tcPr>
            <w:tcW w:w="12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78"/>
        </w:trPr>
        <w:tc>
          <w:tcPr>
            <w:tcW w:w="24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 April 30, 2020</w:t>
            </w: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(Inception)</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 common</w:t>
            </w: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w:t>
            </w:r>
          </w:p>
        </w:tc>
        <w:tc>
          <w:tcPr>
            <w:tcW w:w="12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51,750,000</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19,825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Sale of 207,000,000 Units, net</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 underwriting discounts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207,000,000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1,960,264,415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1,960,285,115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42,850,000 Private</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Placement Warrants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42,850,000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42,850,000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Class A common stock subject</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 possible redemption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(199,563,827)</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(1,995,618,314)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(1,995,638,270)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(2,521,839)</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(2,521,839)</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Arial" w:cs="Arial" w:eastAsia="Arial" w:hAnsi="Arial"/>
                <w:sz w:val="18"/>
                <w:szCs w:val="18"/>
                <w:b w:val="1"/>
                <w:bCs w:val="1"/>
                <w:color w:val="auto"/>
                <w:w w:val="95"/>
              </w:rPr>
              <w:t>Balance – December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7,436,173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51,750,000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7,515,926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(2,521,839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30, 2020 (INCEPTION) THROUGH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(2,521,839)</w:t>
            </w:r>
          </w:p>
        </w:tc>
      </w:tr>
      <w:tr>
        <w:trPr>
          <w:trHeight w:val="216"/>
        </w:trPr>
        <w:tc>
          <w:tcPr>
            <w:tcW w:w="9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ind w:left="16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(531,361)</w:t>
            </w:r>
          </w:p>
        </w:tc>
      </w:tr>
      <w:tr>
        <w:trPr>
          <w:trHeight w:val="216"/>
        </w:trPr>
        <w:tc>
          <w:tcPr>
            <w:tcW w:w="9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on marketable securities held in Trust Account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(4,645)</w:t>
            </w:r>
          </w:p>
        </w:tc>
      </w:tr>
      <w:tr>
        <w:trPr>
          <w:trHeight w:val="216"/>
        </w:trPr>
        <w:tc>
          <w:tcPr>
            <w:tcW w:w="97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(937,786)</w:t>
            </w:r>
          </w:p>
        </w:tc>
      </w:tr>
      <w:tr>
        <w:trPr>
          <w:trHeight w:val="230"/>
        </w:trPr>
        <w:tc>
          <w:tcPr>
            <w:tcW w:w="978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1,446,951</w:t>
            </w:r>
          </w:p>
        </w:tc>
      </w:tr>
      <w:tr>
        <w:trPr>
          <w:trHeight w:val="229"/>
        </w:trPr>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81,422</w:t>
            </w:r>
          </w:p>
        </w:tc>
      </w:tr>
      <w:tr>
        <w:trPr>
          <w:trHeight w:val="209"/>
        </w:trPr>
        <w:tc>
          <w:tcPr>
            <w:tcW w:w="97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(2,467,258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Cash withdrawn from Trust Account to pay taxes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(2,070,000,000)</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14605</wp:posOffset>
            </wp:positionV>
            <wp:extent cx="7797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(2,069,550,000)</w:t>
      </w:r>
    </w:p>
    <w:p>
      <w:pPr>
        <w:spacing w:after="0" w:line="46" w:lineRule="exact"/>
        <w:rPr>
          <w:sz w:val="20"/>
          <w:szCs w:val="20"/>
          <w:color w:val="auto"/>
        </w:rPr>
      </w:pPr>
    </w:p>
    <w:p>
      <w:pPr>
        <w:sectPr>
          <w:pgSz w:w="11900" w:h="16838" w:orient="portrait"/>
          <w:cols w:equalWidth="0" w:num="2">
            <w:col w:w="9320" w:space="720"/>
            <w:col w:w="12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9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Class B common stock to Sponsor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2,033,596,400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29"/>
        </w:trPr>
        <w:tc>
          <w:tcPr>
            <w:tcW w:w="99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(861,285)</w:t>
            </w:r>
          </w:p>
        </w:tc>
        <w:tc>
          <w:tcPr>
            <w:tcW w:w="0" w:type="dxa"/>
            <w:vAlign w:val="bottom"/>
          </w:tcPr>
          <w:p>
            <w:pPr>
              <w:spacing w:after="0"/>
              <w:rPr>
                <w:sz w:val="1"/>
                <w:szCs w:val="1"/>
                <w:color w:val="auto"/>
              </w:rPr>
            </w:pPr>
          </w:p>
        </w:tc>
      </w:tr>
      <w:tr>
        <w:trPr>
          <w:trHeight w:val="210"/>
        </w:trPr>
        <w:tc>
          <w:tcPr>
            <w:tcW w:w="99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2,075,610,115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3,592,857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9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3,592,857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900" w:type="dxa"/>
            <w:vAlign w:val="bottom"/>
          </w:tcPr>
          <w:p>
            <w:pPr>
              <w:spacing w:after="0"/>
              <w:rPr>
                <w:sz w:val="20"/>
                <w:szCs w:val="20"/>
                <w:color w:val="auto"/>
              </w:rPr>
            </w:pPr>
            <w:r>
              <w:rPr>
                <w:rFonts w:ascii="Arial" w:cs="Arial" w:eastAsia="Arial" w:hAnsi="Arial"/>
                <w:sz w:val="18"/>
                <w:szCs w:val="18"/>
                <w:color w:val="auto"/>
              </w:rPr>
              <w:t>Initial classification of Class A common stock subject to possible redemption</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1,998,159,110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9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Change in value of Class A common stock subject to possible redemption</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(2,520,840)</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color w:val="auto"/>
              </w:rPr>
              <w:t>Deferred underwriting fee payable</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72,450,000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one subsidiary, Air Merger Sub, Inc., a direct, wholly owned subsidiary of the Company incorporated in Delaware on February 19, 2021 (“Merger Sub”) (see Note 10).</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April 30, 2020 (inception) through December 31, 2020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w:t>
      </w:r>
      <w:r>
        <w:rPr>
          <w:rFonts w:ascii="Arial" w:cs="Arial" w:eastAsia="Arial" w:hAnsi="Arial"/>
          <w:sz w:val="18"/>
          <w:szCs w:val="18"/>
          <w:u w:val="single" w:color="auto"/>
          <w:color w:val="auto"/>
        </w:rPr>
        <w:t>Atieva</w:t>
      </w:r>
      <w:r>
        <w:rPr>
          <w:rFonts w:ascii="Arial" w:cs="Arial" w:eastAsia="Arial" w:hAnsi="Arial"/>
          <w:sz w:val="18"/>
          <w:szCs w:val="18"/>
          <w:color w:val="auto"/>
        </w:rPr>
        <w:t>”) (see Note 10).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statements for the Company’s Initial Public Offering were declared effective on July 29, 2020. On August 3, 2020, the Company consummated the Initial Public Offering of 207,000,000 units (the “Units” and, with respect to the shares of Class A common stock included in the Units sold, the “Public Shares”), which includes the full exercise by the underwriters of the over-allotment option to purchase an additional 27,000,000 Units, at $10.00 per Unit, generating gross proceeds of $2,070,000,000, which is described in Note 3.</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4.</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Transaction costs amounted to $109,714,885, consisting of $36,403,600 of underwriting fees, $72,450,000 of deferred underwriting fees and $861,285 of other offering costs.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closing of the Initial Public Offering on August 3, 2020, an amount of $2,070,000,000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1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w:t>
      </w:r>
    </w:p>
    <w:p>
      <w:pPr>
        <w:jc w:val="both"/>
        <w:ind w:firstLine="8"/>
        <w:spacing w:after="0" w:line="287" w:lineRule="auto"/>
        <w:tabs>
          <w:tab w:leader="none" w:pos="218"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6)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0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has principally financed its operations from inception using proceeds from the sale of its equity securities to its shareholders prior to the Initial Public Offering and such amount of proceeds from the Initial Public Offering that were placed in an account outside of the Trust Account for working capital purposes. As of December 31, 2020, the Company had $3,592,857 in its operating bank accounts, $2,070,086,006 in securities held in the Trust Account to be used for a Business Combination or to repurchase or redeem its common stock in connection therewith and working capital of $3,218,168. As of December 31, 2020, approximately $86,000 of the amount on deposit in the Trust Account represented interest income, which is available to pay the Company's tax obligations. Based on the foregoing, the Company believes it will have sufficient cash to meet its needs for a reasonable period of time, which is considered to be one year from the issuance date of the financial statements. On February 22, 2021, the Company entered into a convertible promissory note with the Sponsor pursuant to which the Sponsor agreed to loan the Company up to an aggregate principal amount of $1,500,000 (see Note 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Cash equivalents consist of mutual funds. The Company did not have any cash equivalents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2020, substantially all of the assets held in the Trust Account were held in U.S. Treasury Bills. Through December 31, 2020, the Company withdrew $450,000 of interest earned on the Trust Account for working capital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Accounting Standards Codification (“ASC”) Topic 480 “Distinguishing Liabilities from Equity.” Shares of Class A common stock subject to mandatory redemption is classified</w:t>
      </w:r>
    </w:p>
    <w:p>
      <w:pPr>
        <w:sectPr>
          <w:pgSz w:w="11900" w:h="16946" w:orient="portrait"/>
          <w:cols w:equalWidth="0" w:num="1">
            <w:col w:w="11240"/>
          </w:cols>
          <w:pgMar w:left="320" w:top="904" w:right="339" w:bottom="0" w:gutter="0" w:footer="0" w:header="0"/>
        </w:sectPr>
      </w:pPr>
    </w:p>
    <w:bookmarkStart w:id="89" w:name="page90"/>
    <w:bookmarkEnd w:id="89"/>
    <w:p>
      <w:pPr>
        <w:jc w:val="both"/>
        <w:spacing w:after="0" w:line="255" w:lineRule="auto"/>
        <w:rPr>
          <w:sz w:val="20"/>
          <w:szCs w:val="20"/>
          <w:color w:val="auto"/>
        </w:rPr>
      </w:pPr>
      <w:r>
        <w:rPr>
          <w:rFonts w:ascii="Arial" w:cs="Arial" w:eastAsia="Arial" w:hAnsi="Arial"/>
          <w:sz w:val="18"/>
          <w:szCs w:val="18"/>
          <w:color w:val="auto"/>
        </w:rPr>
        <w:t>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balance sheet.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income (loss) per common share is computed by dividing net income by the weighted-average number of common shares outstanding during the period. The Company has not considered the effect of the warrants sold in the Public Offering and Private Placement to purchase an aggregate of 84,250,000 shares of common stock in the calculation of diluted loss per share, since the exercise of the warrants into shares of common stock is contingent upon the occurrence of future events and the inclusion of such warrants would be anti-dilutive.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statement of operations includes a presentation of income (loss) per share for Class A common stock subject to possible redemption in a manner similar to the two-class method of income (loss) per ordinary share. Net income (loss) per common share, basic and diluted, for Class A common stock subject to possible redemption is calculated by dividing the proportionate share of income or loss on marketable securities held by the Trust Account by the weighted average number of Class A common stock subject to possible redemption outstanding since original issuance.</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income (loss) per share, basic and diluted, for non-redeemable ordinary shares is calculated by dividing the net loss, adjusted for income or loss on marketable securities attributable to Class A common stock subject to possible redemption, by the weighted average number of non-redeemable ordinary shares outstanding for the period.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or loss on marketable securities based on the non-redeemable shares’ proportionate interest.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ordinary share (in dollars, except per share amounts):</w:t>
      </w:r>
    </w:p>
    <w:p>
      <w:pPr>
        <w:sectPr>
          <w:pgSz w:w="11900" w:h="16935" w:orient="portrait"/>
          <w:cols w:equalWidth="0" w:num="1">
            <w:col w:w="11240"/>
          </w:cols>
          <w:pgMar w:left="320" w:top="90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06044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3" w:lineRule="exact"/>
        <w:rPr>
          <w:sz w:val="20"/>
          <w:szCs w:val="20"/>
          <w:color w:val="auto"/>
        </w:rPr>
      </w:pPr>
    </w:p>
    <w:p>
      <w:pPr>
        <w:ind w:left="1180" w:right="1600" w:hanging="323"/>
        <w:spacing w:after="0" w:line="250" w:lineRule="auto"/>
        <w:rPr>
          <w:sz w:val="20"/>
          <w:szCs w:val="20"/>
          <w:color w:val="auto"/>
        </w:rPr>
      </w:pPr>
      <w:r>
        <w:rPr>
          <w:rFonts w:ascii="Arial" w:cs="Arial" w:eastAsia="Arial" w:hAnsi="Arial"/>
          <w:sz w:val="18"/>
          <w:szCs w:val="18"/>
          <w:color w:val="auto"/>
        </w:rPr>
        <w:t>Numerator: Earnings allocable to Class A common stock subject to possible redemption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-135890</wp:posOffset>
            </wp:positionV>
            <wp:extent cx="606044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Unrealized gain on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5715</wp:posOffset>
            </wp:positionV>
            <wp:extent cx="606044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Less: Company’s portion available to be withdrawn to pay taxes</w:t>
      </w:r>
    </w:p>
    <w:p>
      <w:pPr>
        <w:spacing w:after="0" w:line="9" w:lineRule="exact"/>
        <w:rPr>
          <w:sz w:val="20"/>
          <w:szCs w:val="20"/>
          <w:color w:val="auto"/>
        </w:rPr>
      </w:pPr>
    </w:p>
    <w:p>
      <w:pPr>
        <w:ind w:left="1500" w:right="1620" w:hanging="323"/>
        <w:spacing w:after="0" w:line="325" w:lineRule="auto"/>
        <w:rPr>
          <w:sz w:val="20"/>
          <w:szCs w:val="20"/>
          <w:color w:val="auto"/>
        </w:rPr>
      </w:pPr>
      <w:r>
        <w:rPr>
          <w:rFonts w:ascii="Arial" w:cs="Arial" w:eastAsia="Arial" w:hAnsi="Arial"/>
          <w:sz w:val="16"/>
          <w:szCs w:val="16"/>
          <w:color w:val="auto"/>
        </w:rPr>
        <w:t>Less: Company’s portion available to be withdrawn for working capital purposes Net income allocable to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-170180</wp:posOffset>
            </wp:positionV>
            <wp:extent cx="606044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auto"/>
        </w:rPr>
        <w:t>Denominator: Weighted average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606044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Basic and diluted weighted average shares outstanding, Class A common stock subject to possible redemption</w:t>
      </w:r>
    </w:p>
    <w:p>
      <w:pPr>
        <w:spacing w:after="0" w:line="5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Basic and diluted net income per share,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40640</wp:posOffset>
            </wp:positionV>
            <wp:extent cx="606044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273"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Non-Redeemable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606044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Numerator: Net loss minus net earnings</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5715</wp:posOffset>
            </wp:positionV>
            <wp:extent cx="606044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ind w:left="1500" w:right="1520" w:hanging="323"/>
        <w:spacing w:after="0" w:line="276" w:lineRule="auto"/>
        <w:rPr>
          <w:sz w:val="20"/>
          <w:szCs w:val="20"/>
          <w:color w:val="auto"/>
        </w:rPr>
      </w:pPr>
      <w:r>
        <w:rPr>
          <w:rFonts w:ascii="Arial" w:cs="Arial" w:eastAsia="Arial" w:hAnsi="Arial"/>
          <w:sz w:val="18"/>
          <w:szCs w:val="18"/>
          <w:color w:val="auto"/>
        </w:rPr>
        <w:t>Less: Net income allocable to Class A common stock subject to possible redemption Non-redeemable net loss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973"/>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right="973"/>
        <w:spacing w:after="0"/>
        <w:rPr>
          <w:sz w:val="20"/>
          <w:szCs w:val="20"/>
          <w:color w:val="auto"/>
        </w:rPr>
      </w:pPr>
      <w:r>
        <w:rPr>
          <w:rFonts w:ascii="Arial" w:cs="Arial" w:eastAsia="Arial" w:hAnsi="Arial"/>
          <w:sz w:val="18"/>
          <w:szCs w:val="18"/>
          <w:b w:val="1"/>
          <w:bCs w:val="1"/>
          <w:color w:val="auto"/>
        </w:rPr>
        <w:t>Period from</w:t>
      </w:r>
    </w:p>
    <w:p>
      <w:pPr>
        <w:spacing w:after="0" w:line="9" w:lineRule="exact"/>
        <w:rPr>
          <w:sz w:val="20"/>
          <w:szCs w:val="20"/>
          <w:color w:val="auto"/>
        </w:rPr>
      </w:pPr>
    </w:p>
    <w:p>
      <w:pPr>
        <w:jc w:val="center"/>
        <w:ind w:right="973"/>
        <w:spacing w:after="0"/>
        <w:rPr>
          <w:sz w:val="20"/>
          <w:szCs w:val="20"/>
          <w:color w:val="auto"/>
        </w:rPr>
      </w:pPr>
      <w:r>
        <w:rPr>
          <w:rFonts w:ascii="Arial" w:cs="Arial" w:eastAsia="Arial" w:hAnsi="Arial"/>
          <w:sz w:val="18"/>
          <w:szCs w:val="18"/>
          <w:b w:val="1"/>
          <w:bCs w:val="1"/>
          <w:color w:val="auto"/>
        </w:rPr>
        <w:t>April 30, 2020</w:t>
      </w:r>
    </w:p>
    <w:p>
      <w:pPr>
        <w:spacing w:after="0" w:line="9" w:lineRule="exact"/>
        <w:rPr>
          <w:sz w:val="20"/>
          <w:szCs w:val="20"/>
          <w:color w:val="auto"/>
        </w:rPr>
      </w:pPr>
    </w:p>
    <w:p>
      <w:pPr>
        <w:jc w:val="center"/>
        <w:ind w:right="973"/>
        <w:spacing w:after="0"/>
        <w:rPr>
          <w:sz w:val="20"/>
          <w:szCs w:val="20"/>
          <w:color w:val="auto"/>
        </w:rPr>
      </w:pPr>
      <w:r>
        <w:rPr>
          <w:rFonts w:ascii="Arial" w:cs="Arial" w:eastAsia="Arial" w:hAnsi="Arial"/>
          <w:sz w:val="18"/>
          <w:szCs w:val="18"/>
          <w:b w:val="1"/>
          <w:bCs w:val="1"/>
          <w:color w:val="auto"/>
        </w:rPr>
        <w:t>(inception)</w:t>
      </w:r>
    </w:p>
    <w:p>
      <w:pPr>
        <w:spacing w:after="0" w:line="9" w:lineRule="exact"/>
        <w:rPr>
          <w:sz w:val="20"/>
          <w:szCs w:val="20"/>
          <w:color w:val="auto"/>
        </w:rPr>
      </w:pPr>
    </w:p>
    <w:p>
      <w:pPr>
        <w:jc w:val="center"/>
        <w:ind w:right="973"/>
        <w:spacing w:after="0"/>
        <w:rPr>
          <w:sz w:val="20"/>
          <w:szCs w:val="20"/>
          <w:color w:val="auto"/>
        </w:rPr>
      </w:pPr>
      <w:r>
        <w:rPr>
          <w:rFonts w:ascii="Arial" w:cs="Arial" w:eastAsia="Arial" w:hAnsi="Arial"/>
          <w:sz w:val="18"/>
          <w:szCs w:val="18"/>
          <w:b w:val="1"/>
          <w:bCs w:val="1"/>
          <w:color w:val="auto"/>
        </w:rPr>
        <w:t>through</w:t>
      </w:r>
    </w:p>
    <w:p>
      <w:pPr>
        <w:spacing w:after="0" w:line="9" w:lineRule="exact"/>
        <w:rPr>
          <w:sz w:val="20"/>
          <w:szCs w:val="20"/>
          <w:color w:val="auto"/>
        </w:rPr>
      </w:pPr>
    </w:p>
    <w:p>
      <w:pPr>
        <w:jc w:val="center"/>
        <w:ind w:right="973"/>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jc w:val="center"/>
        <w:ind w:right="933"/>
        <w:spacing w:after="0"/>
        <w:rPr>
          <w:sz w:val="20"/>
          <w:szCs w:val="20"/>
          <w:color w:val="auto"/>
        </w:rPr>
      </w:pPr>
      <w:r>
        <w:rPr>
          <w:rFonts w:ascii="Arial" w:cs="Arial" w:eastAsia="Arial" w:hAnsi="Arial"/>
          <w:sz w:val="18"/>
          <w:szCs w:val="18"/>
          <w:b w:val="1"/>
          <w:bCs w:val="1"/>
          <w:color w:val="auto"/>
        </w:rPr>
        <w:t>2020</w:t>
      </w:r>
    </w:p>
    <w:p>
      <w:pPr>
        <w:spacing w:after="0" w:line="200" w:lineRule="exact"/>
        <w:rPr>
          <w:sz w:val="20"/>
          <w:szCs w:val="20"/>
          <w:color w:val="auto"/>
        </w:rPr>
      </w:pPr>
    </w:p>
    <w:p>
      <w:pPr>
        <w:spacing w:after="0" w:line="254" w:lineRule="exact"/>
        <w:rPr>
          <w:sz w:val="20"/>
          <w:szCs w:val="20"/>
          <w:color w:val="auto"/>
        </w:rPr>
      </w:pPr>
    </w:p>
    <w:p>
      <w:pPr>
        <w:ind w:left="647" w:hanging="647"/>
        <w:spacing w:after="0"/>
        <w:tabs>
          <w:tab w:leader="none" w:pos="647" w:val="left"/>
        </w:tabs>
        <w:numPr>
          <w:ilvl w:val="0"/>
          <w:numId w:val="37"/>
        </w:numPr>
        <w:rPr>
          <w:rFonts w:ascii="Arial" w:cs="Arial" w:eastAsia="Arial" w:hAnsi="Arial"/>
          <w:sz w:val="17"/>
          <w:szCs w:val="17"/>
          <w:color w:val="auto"/>
        </w:rPr>
      </w:pPr>
      <w:r>
        <w:rPr>
          <w:rFonts w:ascii="Arial" w:cs="Arial" w:eastAsia="Arial" w:hAnsi="Arial"/>
          <w:sz w:val="17"/>
          <w:szCs w:val="17"/>
          <w:color w:val="auto"/>
        </w:rPr>
        <w:t>512,285</w:t>
      </w:r>
    </w:p>
    <w:p>
      <w:pPr>
        <w:spacing w:after="0" w:line="34" w:lineRule="exact"/>
        <w:rPr>
          <w:rFonts w:ascii="Arial" w:cs="Arial" w:eastAsia="Arial" w:hAnsi="Arial"/>
          <w:sz w:val="17"/>
          <w:szCs w:val="17"/>
          <w:color w:val="auto"/>
        </w:rPr>
      </w:pPr>
    </w:p>
    <w:p>
      <w:pPr>
        <w:ind w:left="827"/>
        <w:spacing w:after="0"/>
        <w:rPr>
          <w:rFonts w:ascii="Arial" w:cs="Arial" w:eastAsia="Arial" w:hAnsi="Arial"/>
          <w:sz w:val="17"/>
          <w:szCs w:val="17"/>
          <w:color w:val="auto"/>
        </w:rPr>
      </w:pPr>
      <w:r>
        <w:rPr>
          <w:rFonts w:ascii="Arial" w:cs="Arial" w:eastAsia="Arial" w:hAnsi="Arial"/>
          <w:sz w:val="18"/>
          <w:szCs w:val="18"/>
          <w:color w:val="auto"/>
        </w:rPr>
        <w:t>4,478</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(208,147)</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(308,616)</w:t>
      </w:r>
    </w:p>
    <w:p>
      <w:pPr>
        <w:spacing w:after="0" w:line="35" w:lineRule="exact"/>
        <w:rPr>
          <w:sz w:val="20"/>
          <w:szCs w:val="20"/>
          <w:color w:val="auto"/>
        </w:rPr>
      </w:pPr>
    </w:p>
    <w:p>
      <w:pPr>
        <w:ind w:left="1047" w:hanging="1047"/>
        <w:spacing w:after="0"/>
        <w:tabs>
          <w:tab w:leader="none" w:pos="10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797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73" w:lineRule="exact"/>
        <w:rPr>
          <w:sz w:val="20"/>
          <w:szCs w:val="20"/>
          <w:color w:val="auto"/>
        </w:rPr>
      </w:pPr>
    </w:p>
    <w:p>
      <w:pPr>
        <w:ind w:left="327"/>
        <w:spacing w:after="0"/>
        <w:rPr>
          <w:sz w:val="20"/>
          <w:szCs w:val="20"/>
          <w:color w:val="auto"/>
        </w:rPr>
      </w:pPr>
      <w:r>
        <w:rPr>
          <w:rFonts w:ascii="Arial" w:cs="Arial" w:eastAsia="Arial" w:hAnsi="Arial"/>
          <w:sz w:val="17"/>
          <w:szCs w:val="17"/>
          <w:color w:val="auto"/>
        </w:rPr>
        <w:t>199,798,408</w:t>
      </w:r>
    </w:p>
    <w:p>
      <w:pPr>
        <w:spacing w:after="0" w:line="57" w:lineRule="exact"/>
        <w:rPr>
          <w:sz w:val="20"/>
          <w:szCs w:val="20"/>
          <w:color w:val="auto"/>
        </w:rPr>
      </w:pPr>
    </w:p>
    <w:p>
      <w:pPr>
        <w:ind w:left="907" w:hanging="907"/>
        <w:spacing w:after="0"/>
        <w:tabs>
          <w:tab w:leader="none" w:pos="907"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797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-127635</wp:posOffset>
            </wp:positionV>
            <wp:extent cx="7797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7" w:hanging="447"/>
        <w:spacing w:after="0"/>
        <w:tabs>
          <w:tab w:leader="none" w:pos="4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(2,521,839)</w:t>
      </w:r>
    </w:p>
    <w:p>
      <w:pPr>
        <w:spacing w:after="0" w:line="46" w:lineRule="exact"/>
        <w:rPr>
          <w:rFonts w:ascii="Arial" w:cs="Arial" w:eastAsia="Arial" w:hAnsi="Arial"/>
          <w:sz w:val="16"/>
          <w:szCs w:val="16"/>
          <w:color w:val="auto"/>
        </w:rPr>
      </w:pPr>
    </w:p>
    <w:p>
      <w:pPr>
        <w:ind w:left="1047"/>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797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 w:lineRule="exact"/>
        <w:rPr>
          <w:sz w:val="20"/>
          <w:szCs w:val="20"/>
          <w:color w:val="auto"/>
        </w:rPr>
      </w:pPr>
    </w:p>
    <w:p>
      <w:pPr>
        <w:ind w:left="447" w:hanging="447"/>
        <w:spacing w:after="0"/>
        <w:tabs>
          <w:tab w:leader="none" w:pos="4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(2,521,839)</w:t>
      </w:r>
    </w:p>
    <w:p>
      <w:pPr>
        <w:sectPr>
          <w:pgSz w:w="11900" w:h="16935" w:orient="portrait"/>
          <w:cols w:equalWidth="0" w:num="2">
            <w:col w:w="8780" w:space="293"/>
            <w:col w:w="2167"/>
          </w:cols>
          <w:pgMar w:left="320" w:top="904" w:right="339" w:bottom="0" w:gutter="0" w:footer="0" w:header="0"/>
          <w:type w:val="continuous"/>
        </w:sectPr>
      </w:pPr>
    </w:p>
    <w:bookmarkStart w:id="91" w:name="page92"/>
    <w:bookmarkEnd w:id="91"/>
    <w:tbl>
      <w:tblPr>
        <w:tblLayout w:type="fixed"/>
        <w:tblInd w:w="860" w:type="dxa"/>
        <w:tblCellMar>
          <w:top w:w="0" w:type="dxa"/>
          <w:left w:w="0" w:type="dxa"/>
          <w:bottom w:w="0" w:type="dxa"/>
          <w:right w:w="0" w:type="dxa"/>
        </w:tblCellMar>
      </w:tblPr>
      <w:tr>
        <w:trPr>
          <w:trHeight w:val="257"/>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9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83"/>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9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54,384,479</w:t>
            </w:r>
          </w:p>
        </w:tc>
        <w:tc>
          <w:tcPr>
            <w:tcW w:w="100" w:type="dxa"/>
            <w:vAlign w:val="bottom"/>
            <w:tcBorders>
              <w:bottom w:val="single" w:sz="8" w:color="CCEEFF"/>
            </w:tcBorders>
          </w:tcPr>
          <w:p>
            <w:pPr>
              <w:spacing w:after="0"/>
              <w:rPr>
                <w:sz w:val="24"/>
                <w:szCs w:val="24"/>
                <w:color w:val="auto"/>
              </w:rPr>
            </w:pPr>
          </w:p>
        </w:tc>
      </w:tr>
      <w:tr>
        <w:trPr>
          <w:trHeight w:val="197"/>
        </w:trPr>
        <w:tc>
          <w:tcPr>
            <w:tcW w:w="72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Non-redeemable common stock</w:t>
            </w:r>
          </w:p>
        </w:tc>
        <w:tc>
          <w:tcPr>
            <w:tcW w:w="9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Coverage limit of $250,000. The Company has not experienced losses on this account.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balance sheet, primarily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PUBLIC OFFERING</w:t>
      </w:r>
    </w:p>
    <w:p>
      <w:pPr>
        <w:spacing w:after="0" w:line="2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7). The Units sold in the Initial Public Offering comprise an aggregate of 207,000,000 shares of Class A common stock and 41,400,000 Public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 a result of the underwriters’ election to fully exercise their over-allotment option, 6,750,000 Founder Shares are no longer subject to forfeiture.</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from the lock-up.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period from April 30, 2020 (inception) through December 31, 2020, the Company incurred and paid $250,000 in fees for these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Fee</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1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2020, the Company incurred legal fees of $2,152,960. These fees will only become due and payable upon the consummation of an initial Business Combination (see Note 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shares of preferred stock issued or outstanding.</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On July 30, 2020, the Company amended its Amended and Restated Certificate of Incorporation such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to issue 400,000,000 shares of Class A common stock with a par value of $0.0001 per share. Holders of Class A common stock are entitled to one vote for each share. At December 31, 2020, there were 7,436,173 shares of Class A common stock issued or outstanding, excluding 199,563,827 shares of Class A common stock subject to possible redemption</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Class B Common Stock </w:t>
      </w:r>
      <w:r>
        <w:rPr>
          <w:rFonts w:ascii="Arial" w:cs="Arial" w:eastAsia="Arial" w:hAnsi="Arial"/>
          <w:sz w:val="17"/>
          <w:szCs w:val="17"/>
          <w:color w:val="auto"/>
        </w:rPr>
        <w:t>— On July 30, 2020, the Company amended its Amended and Restated Certificate of Incorporation such that the Company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authorized to issue 100,000,000 shares of Class B common stock with a par value of $0.0001 per share. Holders of Class B common stock are entitled to one vote for each share. At December 31, 2020, there were 51,750,000 shares of Class B common stock issued and outstanding</w:t>
      </w:r>
    </w:p>
    <w:p>
      <w:pPr>
        <w:spacing w:after="0" w:line="1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680" w:hanging="335"/>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80" w:hanging="335"/>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9" w:lineRule="exact"/>
        <w:rPr>
          <w:rFonts w:ascii="Arial" w:cs="Arial" w:eastAsia="Arial" w:hAnsi="Arial"/>
          <w:sz w:val="18"/>
          <w:szCs w:val="18"/>
          <w:color w:val="auto"/>
        </w:rPr>
      </w:pPr>
    </w:p>
    <w:p>
      <w:pPr>
        <w:ind w:left="680" w:right="20" w:hanging="335"/>
        <w:spacing w:after="0" w:line="290"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8. INCOME TAX</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80" w:type="dxa"/>
            <w:vAlign w:val="bottom"/>
          </w:tcPr>
          <w:p>
            <w:pPr>
              <w:ind w:left="340"/>
              <w:spacing w:after="0"/>
              <w:rPr>
                <w:sz w:val="20"/>
                <w:szCs w:val="20"/>
                <w:color w:val="auto"/>
              </w:rPr>
            </w:pPr>
            <w:r>
              <w:rPr>
                <w:rFonts w:ascii="Arial" w:cs="Arial" w:eastAsia="Arial" w:hAnsi="Arial"/>
                <w:sz w:val="18"/>
                <w:szCs w:val="18"/>
                <w:color w:val="auto"/>
              </w:rPr>
              <w:t>The Company’s net deferred tax asset is as follows:</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98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Startup/organizational expenses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596,809</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2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2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98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Current</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Current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593,909</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81,422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the Company did not have any U.S. federal and state net operating loss carryovers available to offset future taxable income.</w:t>
      </w:r>
    </w:p>
    <w:p>
      <w:pPr>
        <w:spacing w:after="0" w:line="2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April 30, 2020 (inception) through December 31, 2020, the change in the valuation allowance was $593,909.</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21"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5715</wp:posOffset>
            </wp:positionV>
            <wp:extent cx="7804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State taxes, net 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21590</wp:posOffset>
            </wp:positionV>
            <wp:extent cx="7804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22860</wp:posOffset>
            </wp:positionV>
            <wp:extent cx="7804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40005</wp:posOffset>
            </wp:positionV>
            <wp:extent cx="7804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20" w:space="720"/>
            <w:col w:w="600"/>
          </w:cols>
          <w:pgMar w:left="320" w:top="904" w:right="339" w:bottom="1440" w:gutter="0" w:footer="0" w:header="0"/>
          <w:type w:val="continuous"/>
        </w:sectPr>
      </w:pPr>
    </w:p>
    <w:p>
      <w:pPr>
        <w:spacing w:after="0" w:line="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is subject to examination by the various taxing authorities. The Company’s tax returns for the year ended December 31, 2020 remain open and subject to examination. The Company considers New York to be a significant state tax jurisdiction.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140" w:hanging="796"/>
        <w:spacing w:after="0" w:line="308" w:lineRule="auto"/>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140" w:right="20" w:hanging="796"/>
        <w:spacing w:after="0" w:line="277" w:lineRule="auto"/>
        <w:tabs>
          <w:tab w:leader="none" w:pos="112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w:t>
            </w:r>
          </w:p>
        </w:tc>
        <w:tc>
          <w:tcPr>
            <w:tcW w:w="15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$ 2,070,086,006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or in these financial statements, the Company did not identify any subsequent events that would have required adjustment or disclosure in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22, 2021, the Company entered into an Agreement and Plan of Merger (the “Merger Agreement”) by and among the Company, Merger Sub and Atieva, relating to a proposed business combination transaction between the Company and Atieva.</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 (the “Merger” and, together with the other transactions contemplated by the Merger Agreement, the “Transactions”).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consideration to be paid to the shareholders of Atieva will be equal to (a) $11,750,000,000 plus (b) (i) all cash and cash equivalents of Atieva and its subsidiaries less (ii) all indebtedness for borrowed money of Atieva and its subsidiaries, in each case as of two business days prior to the closing date (the “Equity Value”) and will be paid entirely in shares of Class A common stock, par value $0.0001 per share, of the Company (the “Class A Common Stock”) in an amount equal to $10.00 per share (the “Merger Consideration”).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 of the Merger:</w:t>
      </w:r>
    </w:p>
    <w:p>
      <w:pPr>
        <w:spacing w:after="0" w:line="225" w:lineRule="exact"/>
        <w:rPr>
          <w:sz w:val="20"/>
          <w:szCs w:val="20"/>
          <w:color w:val="auto"/>
        </w:rPr>
      </w:pPr>
    </w:p>
    <w:p>
      <w:pPr>
        <w:jc w:val="both"/>
        <w:ind w:left="980" w:hanging="324"/>
        <w:spacing w:after="0" w:line="296"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each share of capital stock of Atieva (the “Atieva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will be cancelled and automatically deemed for all purposes to represent the right to receive, in the aggregate, the Merger Consideration. All share incentive plan or similar equity-based compensation plans maintained for employees of Atieva will be assumed by the Company and all outstanding options to purchase Atieva Shares (each, a “Atieva </w:t>
      </w:r>
      <w:r>
        <w:rPr>
          <w:rFonts w:ascii="Arial" w:cs="Arial" w:eastAsia="Arial" w:hAnsi="Arial"/>
          <w:sz w:val="16"/>
          <w:szCs w:val="16"/>
          <w:u w:val="single" w:color="auto"/>
          <w:color w:val="auto"/>
        </w:rPr>
        <w:t>Option</w:t>
      </w:r>
      <w:r>
        <w:rPr>
          <w:rFonts w:ascii="Arial" w:cs="Arial" w:eastAsia="Arial" w:hAnsi="Arial"/>
          <w:sz w:val="16"/>
          <w:szCs w:val="16"/>
          <w:color w:val="auto"/>
        </w:rPr>
        <w:t>”) and each restricted stock unit award (“</w:t>
      </w:r>
      <w:r>
        <w:rPr>
          <w:rFonts w:ascii="Arial" w:cs="Arial" w:eastAsia="Arial" w:hAnsi="Arial"/>
          <w:sz w:val="16"/>
          <w:szCs w:val="16"/>
          <w:u w:val="single" w:color="auto"/>
          <w:color w:val="auto"/>
        </w:rPr>
        <w:t>RSU</w:t>
      </w:r>
      <w:r>
        <w:rPr>
          <w:rFonts w:ascii="Arial" w:cs="Arial" w:eastAsia="Arial" w:hAnsi="Arial"/>
          <w:sz w:val="16"/>
          <w:szCs w:val="16"/>
          <w:color w:val="auto"/>
        </w:rPr>
        <w:t xml:space="preserve">”) with respect to Atieva Shares (each, a “Atieva </w:t>
      </w:r>
      <w:r>
        <w:rPr>
          <w:rFonts w:ascii="Arial" w:cs="Arial" w:eastAsia="Arial" w:hAnsi="Arial"/>
          <w:sz w:val="16"/>
          <w:szCs w:val="16"/>
          <w:u w:val="single" w:color="auto"/>
          <w:color w:val="auto"/>
        </w:rPr>
        <w:t>RSU</w:t>
      </w:r>
      <w:r>
        <w:rPr>
          <w:rFonts w:ascii="Arial" w:cs="Arial" w:eastAsia="Arial" w:hAnsi="Arial"/>
          <w:sz w:val="16"/>
          <w:szCs w:val="16"/>
          <w:color w:val="auto"/>
        </w:rPr>
        <w:t>”) will be assumed by the Company as described below. For purposes of the following paragraph, the “</w:t>
      </w:r>
      <w:r>
        <w:rPr>
          <w:rFonts w:ascii="Arial" w:cs="Arial" w:eastAsia="Arial" w:hAnsi="Arial"/>
          <w:sz w:val="16"/>
          <w:szCs w:val="16"/>
          <w:u w:val="single" w:color="auto"/>
          <w:color w:val="auto"/>
        </w:rPr>
        <w:t>Exchange Ratio</w:t>
      </w:r>
      <w:r>
        <w:rPr>
          <w:rFonts w:ascii="Arial" w:cs="Arial" w:eastAsia="Arial" w:hAnsi="Arial"/>
          <w:sz w:val="16"/>
          <w:szCs w:val="16"/>
          <w:color w:val="auto"/>
        </w:rPr>
        <w:t xml:space="preserve">” means the Equity Value per share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161" w:lineRule="exact"/>
        <w:rPr>
          <w:rFonts w:ascii="Arial" w:cs="Arial" w:eastAsia="Arial" w:hAnsi="Arial"/>
          <w:sz w:val="16"/>
          <w:szCs w:val="16"/>
          <w:color w:val="auto"/>
        </w:rPr>
      </w:pPr>
    </w:p>
    <w:p>
      <w:pPr>
        <w:jc w:val="both"/>
        <w:ind w:left="980" w:hanging="324"/>
        <w:spacing w:after="0" w:line="287"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Atieva Option will become an option to purchase shares of Class A Common Stock (each, an “Assumed Option”), on the same terms and conditions (including applicable vesting, exercise and expiration provisions) as applied to the Atieva Option immediately prior to the effective time of the Merger, except that (i) the number of shares of Class A Common Stock subject to such Assumed Option shall equal the product of</w:t>
      </w:r>
    </w:p>
    <w:p>
      <w:pPr>
        <w:spacing w:after="0" w:line="2" w:lineRule="exact"/>
        <w:rPr>
          <w:rFonts w:ascii="Arial" w:cs="Arial" w:eastAsia="Arial" w:hAnsi="Arial"/>
          <w:sz w:val="16"/>
          <w:szCs w:val="16"/>
          <w:color w:val="auto"/>
        </w:rPr>
      </w:pPr>
    </w:p>
    <w:p>
      <w:pPr>
        <w:jc w:val="both"/>
        <w:ind w:left="980"/>
        <w:spacing w:after="0" w:line="253" w:lineRule="auto"/>
        <w:tabs>
          <w:tab w:leader="none" w:pos="12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of Atieva Shares that were subject to the option immediately prior to the effective time of the Merger, multiplied by (y) the Exchange Ratio, rounded down to the nearest whole share, and (B) the per-share exercise price shall equal the quotient of (1) the exercise price per Atieva Share at which such option was exercisable immediately prior to the effective time of the Merger, divided by (2) the Exchange Ratio, rounded up to the nearest whole cent.</w:t>
      </w:r>
    </w:p>
    <w:p>
      <w:pPr>
        <w:spacing w:after="0" w:line="192"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Atieva RSU, will be assumed by the Company and become an RSU with respect to shares of Class A Common Stock (each, an “Assumed RSU”) on the same terms and conditions (including applicable vesting provisions) as applied to each Atieva RSU immediately prior to the effective time of the Merger, except that the number of shares of Class A Common Stock subject to such Assumed RSU Award will be equal the product of (x) the number of Atieva Shares that were subject to such RSU immediately prior to the effective time of the Merger, multiplied by (y) the Exchange Ratio, rounded down to the nearest whole share.</w:t>
      </w:r>
    </w:p>
    <w:p>
      <w:pPr>
        <w:sectPr>
          <w:pgSz w:w="11900" w:h="16838" w:orient="portrait"/>
          <w:cols w:equalWidth="0" w:num="1">
            <w:col w:w="11240"/>
          </w:cols>
          <w:pgMar w:left="320" w:top="904" w:right="339" w:bottom="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execution of the Merger Agreement, the Company entered into certain common stock subscription agreements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certain investment funds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pursuant to which, the Company has agreed to issue and sell to the PIPE Investors $2.5 billion of Class A common stock (the “</w:t>
      </w:r>
      <w:r>
        <w:rPr>
          <w:rFonts w:ascii="Arial" w:cs="Arial" w:eastAsia="Arial" w:hAnsi="Arial"/>
          <w:sz w:val="17"/>
          <w:szCs w:val="17"/>
          <w:u w:val="single" w:color="auto"/>
          <w:color w:val="auto"/>
        </w:rPr>
        <w:t>PIPE Shares</w:t>
      </w:r>
      <w:r>
        <w:rPr>
          <w:rFonts w:ascii="Arial" w:cs="Arial" w:eastAsia="Arial" w:hAnsi="Arial"/>
          <w:sz w:val="17"/>
          <w:szCs w:val="17"/>
          <w:color w:val="auto"/>
        </w:rPr>
        <w:t>”) in reliance on an exemption from registration under Section 4(a)(2) under the Securities Act at a purchase price of $15 per share (the “</w:t>
      </w:r>
      <w:r>
        <w:rPr>
          <w:rFonts w:ascii="Arial" w:cs="Arial" w:eastAsia="Arial" w:hAnsi="Arial"/>
          <w:sz w:val="17"/>
          <w:szCs w:val="17"/>
          <w:u w:val="single" w:color="auto"/>
          <w:color w:val="auto"/>
        </w:rPr>
        <w:t>PIPE Investment</w:t>
      </w:r>
      <w:r>
        <w:rPr>
          <w:rFonts w:ascii="Arial" w:cs="Arial" w:eastAsia="Arial" w:hAnsi="Arial"/>
          <w:sz w:val="17"/>
          <w:szCs w:val="17"/>
          <w:color w:val="auto"/>
        </w:rPr>
        <w:t>”). Pursuant to the Subscription Agreements, the PIPE Investors have agreed to not transfer any PIPE Shares until the later of (i) the effectiveness of the registration statement to be filed following the closing of the Transactions to register the PIPE Shares and (ii) September 1, 2021. The closing of the PIPE Investment is conditioned on all conditions set forth in the Merger Agreement having been satisfied or waived and other customary closing conditions, and the Transactions will be consummated immediately following the closing of the PIPE Investment. The Subscription Agreements will terminate upon the earlier to occur of (i) the termination of the Merger Agreement and (ii) the mutual written agreement of the parties thereto.</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Subscription Agreements provide that the Company is required to file with the SEC, within 30 days after the consummation of the Transactions, a shelf registration statement covering the resale of the PIPE Shares and to use its commercially reasonable efforts to have such registration statement declared effective as soon as practicable after the filing thereof but no later than the earlier of (i) the 90th day (or 150th day if the SEC notifies the Company that it will “review” such registration statement) following the closing of the PIPE Investment and (ii) the 10th business day after the date the Company is notified (orally or in writing, whichever is earlier) by the SEC that such registration statement will not be “reviewed” or will not be subject to further review.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is payable upon the consummation of a Business Combination (ii) $500,000 is payable upon consummation of the financing (iii) out-of-pocket expenses not to exceed $125,000 without prior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22, 2021, the Company entered into a convertible promissory note with the Sponsor pursuant to which the Sponsor agreed to loan the Company up to an aggregate principal amount of $1,500,000 (the “Note”). The Note is non-interest bearing and payable on the earlier of (i) the date of which the Company consummates a Business Combination or (ii) the date that the winding up of the Company. If the Company does not consummate a Business Combination, the Company may use a portion of any funds held outside the Trust Account to repay the Promissory Note; however, no proceeds from the Trust Account may be used for such repayment. Up to $1,500,000 of the Note may be converted into warrants at a price of $1.00 per warrant at the option of the Sponsor. The warrants would be identical to the Private Placement Warrants. The Company borrowed an aggregate of $1,500,000 on February 22,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3, 2021, Richard Hofman, a purported stockholder of the Company, filed a complaint, individually and on behalf of other of the Company stockholders, in the Superior Court of the State of California against the Company, Lucid, and other unnamed defendants. The complaint alleges claims for fraud, negligent misrepresentation, and false advertising and unfair business practices in connection with allegedly false and misleading statements and omissions in the Company's public filings, concerning the proposed merger between the Company and Lucid. The complaint seeks injunctive relief, as well as compensatory and punitive damages. On March 8, 2021, plaintiff filed an ex parte application for a temporary restraining order and preliminary injunction, which the Company opposed and the court denied on March 10,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Klein, certify that:</w:t>
      </w:r>
    </w:p>
    <w:p>
      <w:pPr>
        <w:spacing w:after="0" w:line="333"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Churchill Capital Corp IV;</w:t>
      </w:r>
    </w:p>
    <w:p>
      <w:pPr>
        <w:spacing w:after="0" w:line="117" w:lineRule="exact"/>
        <w:rPr>
          <w:rFonts w:ascii="Arial" w:cs="Arial" w:eastAsia="Arial" w:hAnsi="Arial"/>
          <w:sz w:val="18"/>
          <w:szCs w:val="18"/>
          <w:color w:val="auto"/>
        </w:rPr>
      </w:pPr>
    </w:p>
    <w:p>
      <w:pPr>
        <w:jc w:val="both"/>
        <w:ind w:left="460" w:right="60" w:hanging="452"/>
        <w:spacing w:after="0" w:line="263"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60" w:right="60" w:hanging="452"/>
        <w:spacing w:after="0" w:line="30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6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920" w:right="60" w:hanging="453"/>
        <w:spacing w:after="0" w:line="263" w:lineRule="auto"/>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20" w:hanging="453"/>
        <w:spacing w:after="0"/>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ind w:left="920" w:right="60" w:hanging="453"/>
        <w:spacing w:after="0" w:line="308" w:lineRule="auto"/>
        <w:tabs>
          <w:tab w:leader="none" w:pos="9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right="60" w:hanging="453"/>
        <w:spacing w:after="0" w:line="263" w:lineRule="auto"/>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60" w:right="60" w:hanging="452"/>
        <w:spacing w:after="0" w:line="30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60" w:hanging="453"/>
        <w:spacing w:after="0" w:line="308" w:lineRule="auto"/>
        <w:tabs>
          <w:tab w:leader="none" w:pos="9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60" w:hanging="453"/>
        <w:spacing w:after="0" w:line="277" w:lineRule="auto"/>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0"/>
        <w:spacing w:after="0"/>
        <w:tabs>
          <w:tab w:leader="none" w:pos="5820" w:val="left"/>
          <w:tab w:leader="none" w:pos="812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568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pacing w:after="0" w:line="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Michael Klein</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Taragin, certify that:</w:t>
      </w:r>
    </w:p>
    <w:p>
      <w:pPr>
        <w:spacing w:after="0" w:line="33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Churchill Capital Corp IV;</w:t>
      </w:r>
    </w:p>
    <w:p>
      <w:pPr>
        <w:spacing w:after="0" w:line="117" w:lineRule="exact"/>
        <w:rPr>
          <w:rFonts w:ascii="Arial" w:cs="Arial" w:eastAsia="Arial" w:hAnsi="Arial"/>
          <w:sz w:val="18"/>
          <w:szCs w:val="18"/>
          <w:color w:val="auto"/>
        </w:rPr>
      </w:pPr>
    </w:p>
    <w:p>
      <w:pPr>
        <w:jc w:val="both"/>
        <w:ind w:left="460" w:right="60" w:hanging="452"/>
        <w:spacing w:after="0" w:line="263"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60" w:right="60" w:hanging="452"/>
        <w:spacing w:after="0" w:line="308"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6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920" w:right="60" w:hanging="453"/>
        <w:spacing w:after="0" w:line="263" w:lineRule="auto"/>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20" w:hanging="453"/>
        <w:spacing w:after="0"/>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ind w:left="920" w:right="60" w:hanging="453"/>
        <w:spacing w:after="0" w:line="308" w:lineRule="auto"/>
        <w:tabs>
          <w:tab w:leader="none" w:pos="9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right="60" w:hanging="453"/>
        <w:spacing w:after="0" w:line="263" w:lineRule="auto"/>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60" w:right="60" w:hanging="452"/>
        <w:spacing w:after="0" w:line="308"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60" w:hanging="453"/>
        <w:spacing w:after="0" w:line="308" w:lineRule="auto"/>
        <w:tabs>
          <w:tab w:leader="none" w:pos="9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60" w:hanging="453"/>
        <w:spacing w:after="0" w:line="277" w:lineRule="auto"/>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820" w:val="left"/>
          <w:tab w:leader="none" w:pos="822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57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Jay Taragin</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Annual Report of Churchill Capital Corp IV (the “Company”) on Form 10-K for the period ending December 31, 2020 as filed with the Securities and Exchange Commission on the date hereof (the “Report”), I certify, in the capacity and on the date indicated below, pursuant to 18 U.S.C.</w:t>
      </w:r>
    </w:p>
    <w:p>
      <w:pPr>
        <w:ind w:left="140" w:hanging="132"/>
        <w:spacing w:after="0"/>
        <w:tabs>
          <w:tab w:leader="none" w:pos="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318" w:lineRule="exact"/>
        <w:rPr>
          <w:rFonts w:ascii="Arial" w:cs="Arial" w:eastAsia="Arial" w:hAnsi="Arial"/>
          <w:sz w:val="18"/>
          <w:szCs w:val="18"/>
          <w:color w:val="auto"/>
        </w:rPr>
      </w:pPr>
    </w:p>
    <w:p>
      <w:pPr>
        <w:ind w:left="960" w:hanging="439"/>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60" w:right="60" w:hanging="439"/>
        <w:spacing w:after="0" w:line="277" w:lineRule="auto"/>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60"/>
        <w:spacing w:after="0"/>
        <w:tabs>
          <w:tab w:leader="none" w:pos="5800" w:val="left"/>
          <w:tab w:leader="none" w:pos="812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57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Klein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Annual Report of Churchill Capital Corp IV (the “Company”) on Form 10-K for the period ending December 31, 2020 as filed with the Securities and Exchange Commission on the date hereof (the “Report”), I certify, in the capacity and on the date indicated below, pursuant to 18 U.S.C.</w:t>
      </w:r>
    </w:p>
    <w:p>
      <w:pPr>
        <w:ind w:left="140" w:hanging="132"/>
        <w:spacing w:after="0"/>
        <w:tabs>
          <w:tab w:leader="none" w:pos="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318" w:lineRule="exact"/>
        <w:rPr>
          <w:rFonts w:ascii="Arial" w:cs="Arial" w:eastAsia="Arial" w:hAnsi="Arial"/>
          <w:sz w:val="18"/>
          <w:szCs w:val="18"/>
          <w:color w:val="auto"/>
        </w:rPr>
      </w:pPr>
    </w:p>
    <w:p>
      <w:pPr>
        <w:ind w:left="960" w:hanging="439"/>
        <w:spacing w:after="0"/>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60" w:right="60" w:hanging="439"/>
        <w:spacing w:after="0" w:line="277" w:lineRule="auto"/>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60"/>
        <w:spacing w:after="0"/>
        <w:tabs>
          <w:tab w:leader="none" w:pos="5780" w:val="left"/>
          <w:tab w:leader="none" w:pos="822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57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3"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Jay Taragin</w:t>
      </w:r>
    </w:p>
    <w:p>
      <w:pPr>
        <w:spacing w:after="0" w:line="23"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lowerRoman"/>
      <w:start w:val="6"/>
    </w:lvl>
  </w:abstractNum>
  <w:abstractNum w:abstractNumId="4">
    <w:nsid w:val="B03E0C6"/>
    <w:multiLevelType w:val="hybridMultilevel"/>
    <w:lvl w:ilvl="0">
      <w:lvlJc w:val="left"/>
      <w:lvlText w:val="(%1)"/>
      <w:numFmt w:val="lowerRoman"/>
      <w:start w:val="13"/>
    </w:lvl>
  </w:abstractNum>
  <w:abstractNum w:abstractNumId="5">
    <w:nsid w:val="189A769B"/>
    <w:multiLevelType w:val="hybridMultilevel"/>
    <w:lvl w:ilvl="0">
      <w:lvlJc w:val="left"/>
      <w:lvlText w:val="(%1)"/>
      <w:numFmt w:val="lowerRoman"/>
      <w:start w:val="18"/>
    </w:lvl>
  </w:abstractNum>
  <w:abstractNum w:abstractNumId="6">
    <w:nsid w:val="54E49EB4"/>
    <w:multiLevelType w:val="hybridMultilevel"/>
    <w:lvl w:ilvl="0">
      <w:lvlJc w:val="left"/>
      <w:lvlText w:val="(%1)"/>
      <w:numFmt w:val="lowerRoman"/>
      <w:start w:val="6"/>
    </w:lvl>
  </w:abstractNum>
  <w:abstractNum w:abstractNumId="7">
    <w:nsid w:val="71F32454"/>
    <w:multiLevelType w:val="hybridMultilevel"/>
    <w:lvl w:ilvl="0">
      <w:lvlJc w:val="left"/>
      <w:lvlText w:val="(%1)"/>
      <w:numFmt w:val="lowerRoman"/>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lowerRoman"/>
      <w:start w:val="2"/>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lowerRoman"/>
      <w:start w:val="1"/>
    </w:lvl>
    <w:lvl w:ilvl="1">
      <w:lvlJc w:val="left"/>
      <w:lvlText w:val="(%2)"/>
      <w:numFmt w:val="lowerRoman"/>
      <w:start w:val="10"/>
    </w:lvl>
  </w:abstractNum>
  <w:abstractNum w:abstractNumId="21">
    <w:nsid w:val="419AC241"/>
    <w:multiLevelType w:val="hybridMultilevel"/>
    <w:lvl w:ilvl="0">
      <w:lvlJc w:val="left"/>
      <w:lvlText w:val="(%1)"/>
      <w:numFmt w:val="lowerLetter"/>
      <w:start w:val="61"/>
    </w:lvl>
  </w:abstractNum>
  <w:abstractNum w:abstractNumId="22">
    <w:nsid w:val="5577F8E1"/>
    <w:multiLevelType w:val="hybridMultilevel"/>
    <w:lvl w:ilvl="0">
      <w:lvlJc w:val="left"/>
      <w:lvlText w:val="(%1)"/>
      <w:numFmt w:val="lowerRoman"/>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emdash "/>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Roman"/>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lowerRoman"/>
      <w:start w:val="1"/>
    </w:lvl>
    <w:lvl w:ilvl="1">
      <w:lvlJc w:val="left"/>
      <w:lvlText w:val="(%2)"/>
      <w:numFmt w:val="lowerRoman"/>
      <w:start w:val="10"/>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
      <w:numFmt w:val="bullet"/>
      <w:start w:val="1"/>
    </w:lvl>
    <w:lvl w:ilvl="1">
      <w:lvlJc w:val="left"/>
      <w:lvlText w:val="(%2)"/>
      <w:numFmt w:val="decimal"/>
      <w:start w:val="1"/>
    </w:lvl>
  </w:abstractNum>
  <w:abstractNum w:abstractNumId="46">
    <w:nsid w:val="6DE91B1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86" Type="http://schemas.openxmlformats.org/officeDocument/2006/relationships/hyperlink" Target="http://www.sec.gov/Archives/edgar/data/1811210/000110465921026357/tm217491d2_ex2-1.htm" TargetMode="External"/><Relationship Id="rId87" Type="http://schemas.openxmlformats.org/officeDocument/2006/relationships/hyperlink" Target="https://www.sec.gov/Archives/edgar/data/1811210/000110465920083464/tm2020647d7_ex3-2.htm" TargetMode="External"/><Relationship Id="rId88" Type="http://schemas.openxmlformats.org/officeDocument/2006/relationships/hyperlink" Target="http://www.sec.gov/Archives/edgar/data/1811210/000110465920083464/tm2020647d7_ex3-3.htm" TargetMode="External"/><Relationship Id="rId89" Type="http://schemas.openxmlformats.org/officeDocument/2006/relationships/hyperlink" Target="http://www.sec.gov/Archives/edgar/data/1811210/000110465920083464/tm2020647d7_ex4-1.htm" TargetMode="External"/><Relationship Id="rId90" Type="http://schemas.openxmlformats.org/officeDocument/2006/relationships/hyperlink" Target="http://www.sec.gov/Archives/edgar/data/1811210/000110465920083464/tm2020647d7_ex4-2.htm" TargetMode="External"/><Relationship Id="rId91" Type="http://schemas.openxmlformats.org/officeDocument/2006/relationships/hyperlink" Target="https://www.sec.gov/Archives/edgar/data/1811210/000110465920083464/tm2020647d7_ex4-4.htm" TargetMode="External"/><Relationship Id="rId92" Type="http://schemas.openxmlformats.org/officeDocument/2006/relationships/hyperlink" Target="http://www.sec.gov/Archives/edgar/data/1811210/000110465920090379/tm2026266d1_ex4-1.htm" TargetMode="External"/><Relationship Id="rId93" Type="http://schemas.openxmlformats.org/officeDocument/2006/relationships/hyperlink" Target="http://www.sec.gov/Archives/edgar/data/1811210/000110465920083464/tm2020647d7_ex10-1.htm" TargetMode="External"/><Relationship Id="rId94" Type="http://schemas.openxmlformats.org/officeDocument/2006/relationships/hyperlink" Target="http://www.sec.gov/Archives/edgar/data/1811210/000110465920090379/tm2026266d1_ex10-1.htm" TargetMode="External"/><Relationship Id="rId95" Type="http://schemas.openxmlformats.org/officeDocument/2006/relationships/hyperlink" Target="http://www.sec.gov/Archives/edgar/data/1811210/000110465920090379/tm2026266d1_ex10-2.htm" TargetMode="External"/><Relationship Id="rId96" Type="http://schemas.openxmlformats.org/officeDocument/2006/relationships/hyperlink" Target="http://www.sec.gov/Archives/edgar/data/1811210/000110465920090379/tm2026266d1_ex10-3.htm" TargetMode="External"/><Relationship Id="rId97" Type="http://schemas.openxmlformats.org/officeDocument/2006/relationships/hyperlink" Target="http://www.sec.gov/Archives/edgar/data/1811210/000110465920083464/tm2020647d7_ex10-5.htm" TargetMode="External"/><Relationship Id="rId98" Type="http://schemas.openxmlformats.org/officeDocument/2006/relationships/hyperlink" Target="http://www.sec.gov/Archives/edgar/data/1811210/000110465920090379/tm2026266d1_ex10-4.htm" TargetMode="External"/><Relationship Id="rId99" Type="http://schemas.openxmlformats.org/officeDocument/2006/relationships/hyperlink" Target="http://www.sec.gov/Archives/edgar/data/1811210/000110465920090379/tm2026266d1_ex10-5.htm" TargetMode="External"/><Relationship Id="rId100" Type="http://schemas.openxmlformats.org/officeDocument/2006/relationships/hyperlink" Target="http://www.sec.gov/Archives/edgar/data/1811210/000110465920090379/tm2026266d1_ex10-6.htm" TargetMode="External"/><Relationship Id="rId101" Type="http://schemas.openxmlformats.org/officeDocument/2006/relationships/hyperlink" Target="http://www.sec.gov/Archives/edgar/data/1811210/000110465920090379/tm2026266d1_ex10-7.htm" TargetMode="External"/><Relationship Id="rId102" Type="http://schemas.openxmlformats.org/officeDocument/2006/relationships/hyperlink" Target="http://www.sec.gov/Archives/edgar/data/1811210/000110465920090379/tm2026266d1_ex10-8.htm" TargetMode="External"/><Relationship Id="rId103" Type="http://schemas.openxmlformats.org/officeDocument/2006/relationships/hyperlink" Target="http://www.sec.gov/Archives/edgar/data/1811210/000110465920090379/tm2026266d1_ex10-9.htm" TargetMode="External"/><Relationship Id="rId104" Type="http://schemas.openxmlformats.org/officeDocument/2006/relationships/hyperlink" Target="http://www.sec.gov/Archives/edgar/data/1811210/000110465920090379/tm2026266d1_ex10-10.htm" TargetMode="External"/><Relationship Id="rId105" Type="http://schemas.openxmlformats.org/officeDocument/2006/relationships/hyperlink" Target="http://www.sec.gov/Archives/edgar/data/1811210/000110465920090379/tm2026266d1_ex10-11.htm" TargetMode="External"/><Relationship Id="rId106" Type="http://schemas.openxmlformats.org/officeDocument/2006/relationships/hyperlink" Target="http://www.sec.gov/Archives/edgar/data/1811210/000110465920090379/tm2026266d1_ex10-12.htm" TargetMode="External"/><Relationship Id="rId107" Type="http://schemas.openxmlformats.org/officeDocument/2006/relationships/hyperlink" Target="http://www.sec.gov/Archives/edgar/data/1811210/000110465920090379/tm2026266d1_ex10-13.htm" TargetMode="External"/><Relationship Id="rId108" Type="http://schemas.openxmlformats.org/officeDocument/2006/relationships/hyperlink" Target="http://www.sec.gov/Archives/edgar/data/1811210/000110465921026357/tm217491d2_ex10-1.htm" TargetMode="External"/><Relationship Id="rId109" Type="http://schemas.openxmlformats.org/officeDocument/2006/relationships/hyperlink" Target="http://www.sec.gov/Archives/edgar/data/1811210/000110465921026357/tm217491d2_ex10-2.htm" TargetMode="External"/><Relationship Id="rId110" Type="http://schemas.openxmlformats.org/officeDocument/2006/relationships/hyperlink" Target="http://www.sec.gov/Archives/edgar/data/1811210/000110465921026357/tm217491d2_ex10-3.htm" TargetMode="External"/><Relationship Id="rId111" Type="http://schemas.openxmlformats.org/officeDocument/2006/relationships/hyperlink" Target="http://www.sec.gov/Archives/edgar/data/1811210/000110465921026357/tm217491d2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2021-03-16T05:34:35Z</dcterms:created>
  <dcterms:modified xsi:type="dcterms:W3CDTF">2021-03-16T05:34:35Z</dcterms:modified>
</cp:coreProperties>
</file>