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33047.xml.htm"/>
      <w:bookmarkStart w:id="1" w:name="kswkform4_17861330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 BOCK ALEXANDER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7373 GATEWAY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Lucid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LCID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501,622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501,622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will vest over four years, with 1/4th vesting on September 5, 2027 and 1/16th vesting quarterly thereafter in twelve installments, on each March 5, June 5, September 5, and December 5 of each calendar year that occurs following September 5, 2027, subject to the reporting person's continued employment with the Issuer or its subsidiary through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Bruce Wang, as attorney-in-fact for Alexander De Bock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7569" TargetMode="External"/><Relationship Id="rId5" Type="http://schemas.openxmlformats.org/officeDocument/2006/relationships/hyperlink" Target="http://www.sec.gov/cgi-bin/browse-edgar?action=getcompany&amp;CIK=00018112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3437</Characters>
  <CharactersWithSpaces>4003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