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Winterhoff Marc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LUCID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7373 GATEWAY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Lucid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LCID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03/04/2025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Interim CEO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2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480" w:type="dxa"/>
            <w:vAlign w:val="bottom"/>
            <w:gridSpan w:val="8"/>
          </w:tcPr>
          <w:p>
            <w:pPr>
              <w:ind w:left="1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gridSpan w:val="2"/>
          </w:tcPr>
          <w:p>
            <w:pPr>
              <w:ind w:left="14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NEWARK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94560</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6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03/04/2025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A</w:t>
            </w:r>
          </w:p>
        </w:tc>
        <w:tc>
          <w:tcPr>
            <w:tcW w:w="1100" w:type="dxa"/>
            <w:vAlign w:val="bottom"/>
            <w:tcBorders>
              <w:bottom w:val="single" w:sz="8" w:color="2C2C2C"/>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0000FF"/>
              </w:rPr>
              <w:t>1,386,704</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center"/>
              <w:ind w:righ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3,355,694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03/05/2025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F</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418,425</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2,937,269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28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("PSUs") as to which the performance criteria have been satisfied. 50% of shares reported in this Form 4 vested on March 5, 2025, and the remaining shares are subject to service-based vesting requirements that will vest in 1/8th increments on June 5, 2025, September 5, 2025, December 5, 2025, and March 5, 2026, following the date of this Form 4.</w:t>
      </w:r>
    </w:p>
    <w:p>
      <w:pPr>
        <w:spacing w:after="0" w:line="171"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tax withholding and remittance obligations in connection with the settlement of PSUs for which service based vesting requirements have been satisfied and the time-based vesting of restricted stock units ("RSUs"). The acquisition of such PSUs and RSUs has previously been reported on Forms 4 filed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Bruce Wang, as attorney-</w:t>
            </w:r>
          </w:p>
        </w:tc>
        <w:tc>
          <w:tcPr>
            <w:tcW w:w="120" w:type="dxa"/>
            <w:vAlign w:val="bottom"/>
          </w:tcPr>
          <w:p>
            <w:pPr>
              <w:spacing w:after="0"/>
              <w:rPr>
                <w:sz w:val="17"/>
                <w:szCs w:val="17"/>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03/06/2025</w:t>
            </w:r>
          </w:p>
        </w:tc>
        <w:tc>
          <w:tcPr>
            <w:tcW w:w="0" w:type="dxa"/>
            <w:vAlign w:val="bottom"/>
          </w:tcPr>
          <w:p>
            <w:pPr>
              <w:spacing w:after="0"/>
              <w:rPr>
                <w:sz w:val="1"/>
                <w:szCs w:val="1"/>
                <w:color w:val="auto"/>
              </w:rPr>
            </w:pPr>
          </w:p>
        </w:tc>
      </w:tr>
      <w:tr>
        <w:trPr>
          <w:trHeight w:val="87"/>
        </w:trPr>
        <w:tc>
          <w:tcPr>
            <w:tcW w:w="19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Marc Winterhoff</w:t>
            </w:r>
          </w:p>
        </w:tc>
        <w:tc>
          <w:tcPr>
            <w:tcW w:w="1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20" w:type="dxa"/>
            <w:vAlign w:val="bottom"/>
            <w:tcBorders>
              <w:bottom w:val="single" w:sz="8" w:color="auto"/>
            </w:tcBorders>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2891" TargetMode="External"/><Relationship Id="rId14"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2025-03-06T16:40:27Z</dcterms:created>
  <dcterms:modified xsi:type="dcterms:W3CDTF">2025-03-06T16:40:27Z</dcterms:modified>
</cp:coreProperties>
</file>