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6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4, 2026</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7373 Gateway Boulevard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both"/>
        <w:rPr/>
      </w:pPr>
      <w:r>
        <w:rPr>
          <w:rFonts w:ascii="Times New Roman;serif" w:hAnsi="Times New Roman;serif"/>
          <w:b w:val="false"/>
          <w:color w:val="000000"/>
          <w:sz w:val="20"/>
        </w:rPr>
        <w:t>On August 4, 2026, Lucid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issued a press release announcing its results for the second quarter ended June 30, 2026. A copy of the press release is attached as Exhibit 99.1 to this Current Report on Form 8-K and is incorporated by reference herein.</w:t>
      </w:r>
    </w:p>
    <w:p>
      <w:pPr>
        <w:pStyle w:val="TextBody"/>
        <w:bidi w:val="0"/>
        <w:spacing w:lineRule="auto" w:line="288" w:before="200" w:after="283"/>
        <w:jc w:val="both"/>
        <w:rPr/>
      </w:pPr>
      <w:r>
        <w:rPr>
          <w:rFonts w:ascii="Times New Roman;serif" w:hAnsi="Times New Roman;serif"/>
          <w:b w:val="false"/>
          <w:color w:val="000000"/>
          <w:sz w:val="20"/>
        </w:rPr>
        <w:t xml:space="preserve">The Company uses its </w:t>
      </w:r>
      <w:r>
        <w:rPr>
          <w:rFonts w:ascii="Times New Roman;serif" w:hAnsi="Times New Roman;serif"/>
          <w:b w:val="false"/>
          <w:color w:val="000000"/>
          <w:sz w:val="20"/>
          <w:u w:val="single"/>
        </w:rPr>
        <w:t>ir.lucidmotors.com</w:t>
      </w:r>
      <w:r>
        <w:rPr>
          <w:color w:val="000000"/>
        </w:rPr>
        <w:t xml:space="preserve"> </w:t>
      </w:r>
      <w:r>
        <w:rPr>
          <w:rFonts w:ascii="Times New Roman;serif" w:hAnsi="Times New Roman;serif"/>
          <w:b w:val="false"/>
          <w:color w:val="000000"/>
          <w:sz w:val="20"/>
        </w:rPr>
        <w:t>website as a means of disclosing material non-public information and for complying with its disclosure obligations under Regulation FD.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2fy26ex991earnings.htm">
              <w:r>
                <w:rPr>
                  <w:rStyle w:val="InternetLink"/>
                  <w:rFonts w:ascii="Times New Roman;serif" w:hAnsi="Times New Roman;serif"/>
                  <w:b w:val="false"/>
                  <w:color w:val="000080"/>
                  <w:sz w:val="20"/>
                  <w:u w:val="single"/>
                </w:rPr>
                <w:t xml:space="preserve">Lucid Press Release Dated </w:t>
              </w:r>
            </w:hyperlink>
            <w:hyperlink w:anchor="q2fy26ex991earnings.htm">
              <w:r>
                <w:rPr>
                  <w:rStyle w:val="InternetLink"/>
                  <w:rFonts w:ascii="Times New Roman;serif" w:hAnsi="Times New Roman;serif"/>
                  <w:b w:val="false"/>
                  <w:color w:val="000080"/>
                  <w:sz w:val="20"/>
                  <w:u w:val="single"/>
                </w:rPr>
                <w:t>Augu</w:t>
              </w:r>
            </w:hyperlink>
            <w:hyperlink w:anchor="q2fy26ex991earnings.htm">
              <w:r>
                <w:rPr>
                  <w:rStyle w:val="InternetLink"/>
                  <w:rFonts w:ascii="Times New Roman;serif" w:hAnsi="Times New Roman;serif"/>
                  <w:b w:val="false"/>
                  <w:color w:val="000080"/>
                  <w:sz w:val="20"/>
                  <w:u w:val="single"/>
                </w:rPr>
                <w:t>st</w:t>
              </w:r>
            </w:hyperlink>
            <w:hyperlink w:anchor="q2fy26ex991earnings.htm">
              <w:r>
                <w:rPr>
                  <w:rStyle w:val="InternetLink"/>
                  <w:rFonts w:ascii="Times New Roman;serif" w:hAnsi="Times New Roman;serif"/>
                  <w:b w:val="false"/>
                  <w:color w:val="000080"/>
                  <w:sz w:val="20"/>
                  <w:u w:val="single"/>
                </w:rPr>
                <w:t xml:space="preserve"> </w:t>
              </w:r>
            </w:hyperlink>
            <w:hyperlink w:anchor="q2fy26ex991earnings.htm">
              <w:r>
                <w:rPr>
                  <w:rStyle w:val="InternetLink"/>
                  <w:rFonts w:ascii="Times New Roman;serif" w:hAnsi="Times New Roman;serif"/>
                  <w:b w:val="false"/>
                  <w:color w:val="000080"/>
                  <w:sz w:val="20"/>
                  <w:u w:val="single"/>
                </w:rPr>
                <w:t>4</w:t>
              </w:r>
            </w:hyperlink>
            <w:hyperlink w:anchor="q2fy26ex991earnings.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Current Report on Form 8-K to be signed on its behalf by the undersigned hereunto duly authorized.</w:t>
      </w:r>
    </w:p>
    <w:tbl>
      <w:tblPr>
        <w:tblW w:w="5378" w:type="dxa"/>
        <w:jc w:val="left"/>
        <w:tblInd w:w="0" w:type="dxa"/>
        <w:tblLayout w:type="fixed"/>
        <w:tblCellMar>
          <w:top w:w="28" w:type="dxa"/>
          <w:left w:w="28" w:type="dxa"/>
          <w:bottom w:w="28" w:type="dxa"/>
          <w:right w:w="28" w:type="dxa"/>
        </w:tblCellMar>
      </w:tblPr>
      <w:tblGrid>
        <w:gridCol w:w="705"/>
        <w:gridCol w:w="619"/>
        <w:gridCol w:w="625"/>
        <w:gridCol w:w="308"/>
        <w:gridCol w:w="308"/>
        <w:gridCol w:w="308"/>
        <w:gridCol w:w="732"/>
        <w:gridCol w:w="732"/>
        <w:gridCol w:w="1041"/>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LUCID GROUP,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 Taoufiq Boussaid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2"/>
              </w:rPr>
            </w:pPr>
            <w:r>
              <w:rPr>
                <w:rFonts w:ascii="Times New Roman;serif" w:hAnsi="Times New Roman;serif"/>
                <w:b/>
                <w:color w:val="000000"/>
                <w:sz w:val="22"/>
              </w:rPr>
              <w:t>Exhibit 99.1</w:t>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Lucid Announces Operational Reset and Second Quarter 2026 Results</w:t>
      </w:r>
    </w:p>
    <w:p>
      <w:pPr>
        <w:pStyle w:val="TextBody"/>
        <w:bidi w:val="0"/>
        <w:spacing w:lineRule="auto" w:line="288" w:before="240" w:after="60"/>
        <w:jc w:val="left"/>
        <w:rPr>
          <w:rFonts w:ascii="Times New Roman;serif" w:hAnsi="Times New Roman;serif"/>
          <w:b/>
          <w:color w:val="000000"/>
          <w:sz w:val="22"/>
        </w:rPr>
      </w:pPr>
      <w:r>
        <w:rPr>
          <w:rFonts w:ascii="Times New Roman;serif" w:hAnsi="Times New Roman;serif"/>
          <w:b/>
          <w:color w:val="000000"/>
          <w:sz w:val="22"/>
        </w:rPr>
        <w:t>Transformation program launched, starting with a focus on Back-to-Basics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2"/>
        </w:rPr>
        <w:t xml:space="preserve">Identified $1.4 billion cash flow improvement opportunities in 2026 across operating expenses, capital expenditures, and working capital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Launched plan to refocus on three key areas: Cash &amp; Cost, Customer &amp; Quality, Culture &amp; Team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Four strategic projects earmarked as top priorities for resource allocation and capital deployment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New simplified organizational structure aligned with priorities, halving CEO reports and enforcing accountability</w:t>
      </w:r>
    </w:p>
    <w:p>
      <w:pPr>
        <w:pStyle w:val="TextBody"/>
        <w:bidi w:val="0"/>
        <w:spacing w:lineRule="auto" w:line="288" w:before="240" w:after="60"/>
        <w:jc w:val="left"/>
        <w:rPr>
          <w:rFonts w:ascii="Times New Roman;serif" w:hAnsi="Times New Roman;serif"/>
          <w:b/>
          <w:color w:val="000000"/>
          <w:sz w:val="22"/>
        </w:rPr>
      </w:pPr>
      <w:r>
        <w:rPr>
          <w:rFonts w:ascii="Times New Roman;serif" w:hAnsi="Times New Roman;serif"/>
          <w:b/>
          <w:color w:val="000000"/>
          <w:sz w:val="22"/>
        </w:rPr>
        <w:t>Q2 Results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2"/>
        </w:rPr>
        <w:t>Produced 4,774 vehicles, up 24% year over year, with production intentionally reduced to lower inventory and free up cash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Delivered 3,953 vehicles, up 19%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Generated second quarter revenue of $405 million, up 56%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Ended the quarter with $3.0 billion in total liquidity.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Recently secured financing, combined with ongoing operational measures, provide sufficient liquidity runway well into 2027</w:t>
      </w:r>
    </w:p>
    <w:p>
      <w:pPr>
        <w:pStyle w:val="TextBody"/>
        <w:bidi w:val="0"/>
        <w:spacing w:lineRule="auto" w:line="288" w:before="240" w:after="60"/>
        <w:jc w:val="left"/>
        <w:rPr>
          <w:rFonts w:ascii="Times New Roman;serif" w:hAnsi="Times New Roman;serif"/>
          <w:b/>
          <w:color w:val="000000"/>
          <w:sz w:val="22"/>
        </w:rPr>
      </w:pPr>
      <w:r>
        <w:rPr>
          <w:rFonts w:ascii="Times New Roman;serif" w:hAnsi="Times New Roman;serif"/>
          <w:b/>
          <w:color w:val="000000"/>
          <w:sz w:val="22"/>
        </w:rPr>
        <w:t>Operational Highlights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2"/>
        </w:rPr>
        <w:t>Robotaxi program began deliveries of Lucid Gravity Production-Validation vehicles, with testing underway by Uber and Nuro across the San Francisco Bay Area and Houston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AMP-2 manufacturing facility in Saudi Arabia has transitioned from construction to industrialization, with installation and tuning of manufacturing ongoing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Midsize program development continues, with prototype vehicles and Atlas drive units progressing through validation and production readiness activities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NEWARK, Calif. — August 4, 2026 — Lucid Group, Inc. (NASDAQ: LCID), maker of the world’s most advanced software-defined vehicles and technologies, today announced financial results for its second quarter ended June 30, 2026, and outlined a comprehensive operational reset focused on strengthening execution, reducing cash burn and improving the customer experience.</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Lucid has leading technology, compelling products and deeply committed people, but potential is not performance,” said Silvio Napoli, CEO of Lucid. “We are going back to basics, with a clear focus on cash, customers, and culture. We are focused on delivering on our four must win priorities, including our $1.4 billion cash flow improvement plan and the advancement of our Robotaxi, AMP-2, and Midsize programs, which will establish a strong foundation for Lucid’s next chapter.”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Silvio and his leadership team are transforming the company, and the Board stands firmly behind their actions,” said Turqi Alnowaiser, Chairman of Lucid. “The actions underway are intended to strengthen the company’s execution, improve the customer experience, and translate Lucid’s technology and product leadership into long-term value for customers and shareholders.”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Three Priorities Guiding Lucid’s Operational Reset</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is refocusing the organization around three priorities designed to improve execution and strengthen the business.</w:t>
      </w:r>
    </w:p>
    <w:p>
      <w:pPr>
        <w:pStyle w:val="TextBody"/>
        <w:bidi w:val="0"/>
        <w:spacing w:lineRule="auto" w:line="288" w:before="240" w:after="283"/>
        <w:jc w:val="left"/>
        <w:rPr/>
      </w:pPr>
      <w:r>
        <w:rPr>
          <w:rFonts w:ascii="Times New Roman;serif" w:hAnsi="Times New Roman;serif"/>
          <w:b w:val="false"/>
          <w:color w:val="000000"/>
          <w:sz w:val="22"/>
          <w:u w:val="single"/>
        </w:rPr>
        <w:t>Cash and Cost</w:t>
      </w:r>
      <w:r>
        <w:rPr>
          <w:rFonts w:ascii="Times New Roman;serif" w:hAnsi="Times New Roman;serif"/>
          <w:b w:val="false"/>
          <w:color w:val="000000"/>
          <w:sz w:val="22"/>
        </w:rPr>
        <w:t xml:space="preserve">. Lucid is applying greater discipline to spending, investment decisions and capital allocation, while protecting the technologies and programs most important to its long-term competitiveness.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has deliberately reduced production to better align output with anticipated demand, convert inventory into deliveries and cash, and improve working capital. </w:t>
      </w:r>
    </w:p>
    <w:p>
      <w:pPr>
        <w:pStyle w:val="TextBody"/>
        <w:bidi w:val="0"/>
        <w:spacing w:before="2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2"/>
          <w:u w:val="single"/>
        </w:rPr>
        <w:t>Customer and Quality</w:t>
      </w:r>
      <w:r>
        <w:rPr>
          <w:rFonts w:ascii="Times New Roman;serif" w:hAnsi="Times New Roman;serif"/>
          <w:b w:val="false"/>
          <w:color w:val="000000"/>
          <w:sz w:val="22"/>
        </w:rPr>
        <w:t>. Lucid is strengthening the ownership experience to match the performance of its vehicles, with a focus on product readiness, delivery experience, service responsiveness and parts availability as we invest in technicians and dedicated staff to reduce wait times by one third this year.</w:t>
      </w:r>
    </w:p>
    <w:p>
      <w:pPr>
        <w:pStyle w:val="TextBody"/>
        <w:bidi w:val="0"/>
        <w:spacing w:lineRule="auto" w:line="288" w:before="240" w:after="283"/>
        <w:jc w:val="left"/>
        <w:rPr/>
      </w:pPr>
      <w:r>
        <w:rPr>
          <w:rFonts w:ascii="Times New Roman;serif" w:hAnsi="Times New Roman;serif"/>
          <w:b w:val="false"/>
          <w:color w:val="000000"/>
          <w:sz w:val="22"/>
          <w:u w:val="single"/>
        </w:rPr>
        <w:t>Culture and Team</w:t>
      </w:r>
      <w:r>
        <w:rPr>
          <w:rFonts w:ascii="Times New Roman;serif" w:hAnsi="Times New Roman;serif"/>
          <w:b w:val="false"/>
          <w:color w:val="000000"/>
          <w:sz w:val="22"/>
        </w:rPr>
        <w:t>. Lucid is simplifying the organization, reducing layers and clarifying accountability to accelerate decisions and build a culture of ownership, performance and consistent execution.</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new structure halves the number of direct reports to the CEO and places experienced leaders in key roles across finance, technology, customer experience, transformation, digital and program execution. These changes are intended to accelerate decision-making, clarify ownership and build a performance-driven culture.</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Four Strategic Projects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Lucid has identified four must-win projects. </w:t>
      </w:r>
    </w:p>
    <w:p>
      <w:pPr>
        <w:pStyle w:val="TextBody"/>
        <w:bidi w:val="0"/>
        <w:spacing w:lineRule="auto" w:line="288" w:before="240" w:after="283"/>
        <w:jc w:val="left"/>
        <w:rPr/>
      </w:pPr>
      <w:r>
        <w:rPr>
          <w:rFonts w:ascii="Times New Roman;serif" w:hAnsi="Times New Roman;serif"/>
          <w:b w:val="false"/>
          <w:color w:val="000000"/>
          <w:sz w:val="22"/>
          <w:u w:val="single"/>
        </w:rPr>
        <w:t>$1.4 billion cash savings plan</w:t>
      </w:r>
      <w:r>
        <w:rPr>
          <w:rFonts w:ascii="Times New Roman;serif" w:hAnsi="Times New Roman;serif"/>
          <w:b w:val="false"/>
          <w:color w:val="000000"/>
          <w:sz w:val="22"/>
        </w:rPr>
        <w:t>. Lucid has identified $1.4 billion in cash reductions in 2026, including projected savings of approximately $600 million to $800 million in inventory, approximately $500 million in capital expenditures, and approximately $200 million in operating expenses. The operating expense actions include projected savings from the U.S. workforce reduction announced in June, expected to provide approximately $158 million in annualized savings. This represents the initial output of the company’s broader business review underway.</w:t>
      </w:r>
    </w:p>
    <w:p>
      <w:pPr>
        <w:pStyle w:val="TextBody"/>
        <w:bidi w:val="0"/>
        <w:spacing w:lineRule="auto" w:line="288" w:before="240" w:after="283"/>
        <w:jc w:val="left"/>
        <w:rPr/>
      </w:pPr>
      <w:r>
        <w:rPr>
          <w:rFonts w:ascii="Times New Roman;serif" w:hAnsi="Times New Roman;serif"/>
          <w:b w:val="false"/>
          <w:color w:val="000000"/>
          <w:sz w:val="22"/>
          <w:u w:val="single"/>
        </w:rPr>
        <w:t>Robotaxi</w:t>
      </w:r>
      <w:r>
        <w:rPr>
          <w:rFonts w:ascii="Times New Roman;serif" w:hAnsi="Times New Roman;serif"/>
          <w:b w:val="false"/>
          <w:color w:val="000000"/>
          <w:sz w:val="22"/>
        </w:rPr>
        <w:t>. The company’s robotaxi program with Uber and Nuro is a top priority and an important opportunity to extend Lucid’s technology beyond privately owned vehicles. The program is in active testing and validation, supported by a fleet of nearly 100 vehicles across the San Francisco Bay Area and Houston. The company has begun delivering production-validation Lucid Gravity vehicles to Nuro. Moving forward, this project will be part of Lucid Technologies, a dedicated business unit bringing together AI, advanced driver-assistance, and digital capabilities.</w:t>
      </w:r>
    </w:p>
    <w:p>
      <w:pPr>
        <w:pStyle w:val="TextBody"/>
        <w:bidi w:val="0"/>
        <w:spacing w:lineRule="auto" w:line="288" w:before="240" w:after="283"/>
        <w:jc w:val="left"/>
        <w:rPr/>
      </w:pPr>
      <w:r>
        <w:rPr>
          <w:rFonts w:ascii="Times New Roman;serif" w:hAnsi="Times New Roman;serif"/>
          <w:b w:val="false"/>
          <w:color w:val="000000"/>
          <w:sz w:val="22"/>
          <w:u w:val="single"/>
        </w:rPr>
        <w:t>AMP-2</w:t>
      </w:r>
      <w:r>
        <w:rPr>
          <w:rFonts w:ascii="Times New Roman;serif" w:hAnsi="Times New Roman;serif"/>
          <w:b w:val="false"/>
          <w:color w:val="000000"/>
          <w:sz w:val="22"/>
        </w:rPr>
        <w:t xml:space="preserve">. Lucid’s factory in Saudi Arabia is transitioning from construction to industrialization. Manufacturing systems across stamping, body, paint and final assembly are being installed and commissioned in preparation for production trials. </w:t>
      </w:r>
    </w:p>
    <w:p>
      <w:pPr>
        <w:pStyle w:val="TextBody"/>
        <w:bidi w:val="0"/>
        <w:spacing w:lineRule="auto" w:line="288" w:before="240" w:after="283"/>
        <w:jc w:val="left"/>
        <w:rPr/>
      </w:pPr>
      <w:r>
        <w:rPr>
          <w:rFonts w:ascii="Times New Roman;serif" w:hAnsi="Times New Roman;serif"/>
          <w:b w:val="false"/>
          <w:color w:val="000000"/>
          <w:sz w:val="22"/>
          <w:u w:val="single"/>
        </w:rPr>
        <w:t>Midsize</w:t>
      </w:r>
      <w:r>
        <w:rPr>
          <w:rFonts w:ascii="Times New Roman;serif" w:hAnsi="Times New Roman;serif"/>
          <w:b w:val="false"/>
          <w:color w:val="000000"/>
          <w:sz w:val="22"/>
        </w:rPr>
        <w:t>. Continued progress on the Midsize program, with Atlas drive units and prototype vehicles advancing through validation, durability testing, crash certification, battery-pack manufacturing validation, and cold-weather testing in New Zealand.</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Second Quarter 2026 Performance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produced 4,774 vehicles and delivered 3,953 vehicles during the second quarter. The company moderated production to better align output with anticipated deliveries, reduce inventory and preserve cash.</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reported second quarter revenue of $405 million and ended the quarter with $3.0 billion in total liquidity. Recently secured financing, in conjunction with operational actions the company is taking, is expected to provide sufficient liquidity runway well into 2027.</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will host a conference call to discuss its second quarter 2026 financial results on Tuesday, August 4, 2026, at 2:30 pm PT / 5:30 pm ET.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pStyle w:val="TextBody"/>
        <w:bidi w:val="0"/>
        <w:spacing w:before="20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About Lucid Group</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Group, Inc. (NASDAQ: LCID) is a technology company creating exceptional mobility experiences through innovation to drive the world forward. Built on Lucid’s proprietary technology and software defined vehicle architectures, the company’s lineup of award-winning vehicles brings Lucid’s “Compromise Nothing™” approach to premium segments of the global automotive market. Lucid designs and engineers its products in-house and assembles at its vertically integrated facilities in Arizona and Saudi Arabia, enabling continuous innovation across vehicles, software, and advanced driver assistance and autonomy-ready capabilities.</w:t>
      </w:r>
    </w:p>
    <w:p>
      <w:pPr>
        <w:pStyle w:val="TextBody"/>
        <w:bidi w:val="0"/>
        <w:spacing w:lineRule="auto" w:line="288" w:before="240" w:after="1"/>
        <w:jc w:val="left"/>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88" w:before="240" w:after="283"/>
        <w:jc w:val="left"/>
        <w:rPr>
          <w:rFonts w:ascii="Times New Roman;serif" w:hAnsi="Times New Roman;serif"/>
          <w:b w:val="false"/>
          <w:color w:val="3051F2"/>
          <w:sz w:val="22"/>
          <w:u w:val="single"/>
        </w:rPr>
      </w:pPr>
      <w:r>
        <w:rPr>
          <w:rFonts w:ascii="Times New Roman;serif" w:hAnsi="Times New Roman;serif"/>
          <w:b w:val="false"/>
          <w:color w:val="3051F2"/>
          <w:sz w:val="22"/>
          <w:u w:val="single"/>
        </w:rPr>
        <w:t>investor@lucidmotors.com</w:t>
      </w:r>
    </w:p>
    <w:p>
      <w:pPr>
        <w:pStyle w:val="TextBody"/>
        <w:bidi w:val="0"/>
        <w:spacing w:lineRule="auto" w:line="288" w:before="240" w:after="1"/>
        <w:jc w:val="left"/>
        <w:rPr>
          <w:rFonts w:ascii="Times New Roman;serif" w:hAnsi="Times New Roman;serif"/>
          <w:b/>
          <w:color w:val="1B1B1B"/>
          <w:sz w:val="22"/>
        </w:rPr>
      </w:pPr>
      <w:r>
        <w:rPr>
          <w:rFonts w:ascii="Times New Roman;serif" w:hAnsi="Times New Roman;serif"/>
          <w:b/>
          <w:color w:val="1B1B1B"/>
          <w:sz w:val="22"/>
        </w:rPr>
        <w:t xml:space="preserve">Media Contact </w:t>
      </w:r>
    </w:p>
    <w:p>
      <w:pPr>
        <w:pStyle w:val="TextBody"/>
        <w:bidi w:val="0"/>
        <w:spacing w:lineRule="auto" w:line="288" w:before="240" w:after="283"/>
        <w:jc w:val="left"/>
        <w:rPr>
          <w:rFonts w:ascii="Times New Roman;serif" w:hAnsi="Times New Roman;serif"/>
          <w:b w:val="false"/>
          <w:color w:val="3051F2"/>
          <w:sz w:val="22"/>
          <w:u w:val="single"/>
        </w:rPr>
      </w:pPr>
      <w:r>
        <w:rPr>
          <w:rFonts w:ascii="Times New Roman;serif" w:hAnsi="Times New Roman;serif"/>
          <w:b w:val="false"/>
          <w:color w:val="3051F2"/>
          <w:sz w:val="22"/>
          <w:u w:val="single"/>
        </w:rPr>
        <w:t xml:space="preserve">media@lucidmotors.com </w:t>
      </w:r>
    </w:p>
    <w:p>
      <w:pPr>
        <w:pStyle w:val="TextBody"/>
        <w:bidi w:val="0"/>
        <w:spacing w:lineRule="auto" w:line="288" w:before="240" w:after="1"/>
        <w:jc w:val="left"/>
        <w:rPr>
          <w:rFonts w:ascii="Times New Roman;serif" w:hAnsi="Times New Roman;serif"/>
          <w:b/>
          <w:color w:val="1B1B1B"/>
          <w:sz w:val="22"/>
        </w:rPr>
      </w:pPr>
      <w:r>
        <w:rPr>
          <w:rFonts w:ascii="Times New Roman;serif" w:hAnsi="Times New Roman;serif"/>
          <w:b/>
          <w:color w:val="1B1B1B"/>
          <w:sz w:val="22"/>
        </w:rPr>
        <w:t xml:space="preserve">Trademarks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This communication contains trademarks, service marks, trade names and copyrights of Lucid Group, Inc. and its subsidiaries and other companies, which are the property of their respective owners.</w:t>
      </w:r>
    </w:p>
    <w:p>
      <w:pPr>
        <w:pStyle w:val="TextBody"/>
        <w:bidi w:val="0"/>
        <w:spacing w:before="240" w:after="1"/>
        <w:jc w:val="left"/>
        <w:rPr/>
      </w:pPr>
      <w:r>
        <w:rPr/>
      </w:r>
    </w:p>
    <w:p>
      <w:pPr>
        <w:pStyle w:val="TextBody"/>
        <w:bidi w:val="0"/>
        <w:spacing w:before="20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240" w:after="1"/>
        <w:jc w:val="left"/>
        <w:rPr>
          <w:rFonts w:ascii="Times New Roman;serif" w:hAnsi="Times New Roman;serif"/>
          <w:b/>
          <w:color w:val="1B1B1B"/>
          <w:sz w:val="22"/>
        </w:rPr>
      </w:pPr>
      <w:r>
        <w:rPr>
          <w:rFonts w:ascii="Times New Roman;serif" w:hAnsi="Times New Roman;serif"/>
          <w:b/>
          <w:color w:val="1B1B1B"/>
          <w:sz w:val="22"/>
        </w:rPr>
        <w:t>Forward-Looking Statements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“scheduled,” “aiming,” “targeting,” “objective,” “focus,” “strategic” or other similar expressions that predict or indicate future events or trends or that are not statements of historical matters. These forward-looking statements include, but are not limited to, statements regarding results of operations, financial outlook and condition, guidance, liquidity, capital expenditures, its cash flow improvement plan, the expected savings from eliminating the second shift at AMP-1, prospects, growth, production volumes, strategies, management, and the markets in which Lucid operates, including expectations of financial and operational metrics, projections of market opportunity, market share and product sales, plans and expectations related to commercial product launches and future programs, initiatives and products, including the Midsize program, plans and expectations on vehicle production and delivery timing and volumes, expectations regarding market opportunities and demand for Lucid’s products, the range, features, specifications, performance, production and delivery of Lucid’s vehicles and potential impact on markets, plans and expectations regarding further monetization opportunities, plans and expectations regarding Lucid’s software, technology features and capabilities, including with respect to battery and powertrain systems, plans and expectations regarding Lucid’s systems approach to the design of the vehicles, estimate of Lucid’s technology lead over competitors, estimate of the length of time Lucid’s existing cash, cash equivalents and investments will be sufficient to fund planned operations, plans and expectations regarding Lucid’s liquidity runway and cash flow improvement plans, future capital raises and funding strategy, plans and expectations regarding future manufacturing capabilities and facilities, logistics and supply chain, studio and service center openings, sales channels and strategies, test drive, appointment wait times, ability to mitigate supply chain and logistics risks, plans and expectations regarding expansion and construction of Lucid’s AMP-1 and AMP-2 manufacturing facilities and capabilities, including potential benefits, ability to vertically integrate production processes, future market launches and international expansion, Lucid’s ability to grow its brand awareness, expectations regarding executive leadership transitions, the potential success of Lucid’s distribution strategy and future vehicle programs, changes to future or existing vehicle programs, the company’s plans regarding increasing the number of technicians and concierges, potential automotive and strategic partnerships and their anticipated benefits, plans and expectations regarding Lucid’s ADAS/AV roadmap and robotaxi program, expectations on the technology licensing landscape, expectations on the regulatory and political environment,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economic, market, financial, political, regulatory and legal conditions, including uncertainties and changes in policies, imposition or proposed imposition of tariffs, export controls, threat of a trade war, the risk of a global economic recession or other downturn, bank closures and liquidity concerns at financial institutions, and global or regional conflicts or other geopolitical events, including the military operations in the Gulf region and the Middle East, and the potential escalation and the broadening of the conflict in Iran; the outcome of Lucid’s broader business review, which remains underway; risks related to changes in overall demand for Lucid’s products and services and cancellation of orders for Lucid’s vehicles; risks related to prices and availability of commodities and components, including rare earth minerals, semiconductors and their related products, Lucid’s supply chain, logistics, inventory management and quality control, and Lucid’s ability to complete the tooling of its manufacturing facilities over time and scale production of Lucid’s vehicles; risks related to the uncertainty of Lucid’s projected financial and operational information; risks related to the timing of expected business milestones and commercial product launches; risks related to the construction and expansion of Lucid’s manufacturing facilities and the increase of Lucid’s production capacity; Lucid’s ability to manage expenses and control costs; risks related to future market adoption of Lucid’s offerings; the quality, reliability, and performance of Lucid’s vehicles and services; the effects of competition and the pace and depth of electric vehicle adoption generally on Lucid’s business; changes in regulatory requirements, policies, and governmental incentives; changes in fuel and energy prices; Lucid’s ability to rapidly innovate; Lucid’s ability to enter into or maintain partnerships with original equipment manufacturers, vendors and technology providers, including its ability to realize the anticipated benefits of its partnerships with Aston Martin, Uber, Nuro and NVIDIA; </w:t>
      </w:r>
    </w:p>
    <w:p>
      <w:pPr>
        <w:pStyle w:val="TextBody"/>
        <w:bidi w:val="0"/>
        <w:spacing w:before="20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Lucid’s ability to effectively recruit, integrate, motivate, and retain key employees, including recent changes to our executive team; risks related to potential vehicle recalls; Lucid’s ability to establish and expand its brand, and capture additional market share, and the risks associated with negative press or reputational harm; the risk that Lucid’s cash flow improvement plan does not achieve the anticipated effect, or results in unexpected quality issues or delays; risks related to Lucid’s outstanding redeemable convertible preferred stock and convertible senior notes; availability, reduction or elimination of, and Lucid’s ability to obtain and effectively utilize, zero emission vehicle credits, tax incentives, and other governmental and regulatory programs and incentives; Lucid’s ability to conduct equity, equity-linked or debt financing in the future; Lucid’s ability to pay interest and principal on its indebtedness; future changes to vehicle specifications which may impact performance, features, pricing and other expectations; the outcome of any potential litigation, government and regulatory proceedings, investigations and inquiries; and those factors discussed under the cautionary language and the Risk Factors in Lucid’s Annual Report on Form 10-K for the year ended December 31, 2025, subsequent Quarterly Reports on Form 10-Q, Current Reports on Form 8-K, and other documents Lucid has filed or will file with the Securities and Exchange Commission. If any of these risks or uncertainties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Non-GAAP Financial Measures and Key Business Metrics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Condensed consolidated financial information has been presented in accordance with US GAAP (“GAAP”) as well as on a non-GAAP basis to supplement Lucid’s condensed consolidated financial results. Lucid’s non-GAAP financial measures include Adjusted EBITDA, adjusted net loss attributable to common stockholders (diluted), adjusted net loss per share attributable to common stockholders (diluted), and free cash flow, which are discussed below.</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Adjusted EBITDA is defined as net loss attributable to common stockholders (basic) before (1) interest expense, (2) interest income, (3) provision for (benefit from) income taxes, (4) depreciation and amortization, (5) stock-based compensation, (6) workforce reduction charges, (7) change in fair value of common stock warrant liability, (8) change in fair value of equity securities of a related party, (9) change in fair value of derivative liabilities and subscription agreements associated with redeemable convertible preferred stock (related party), (10) accretion of redeemable convertible preferred stock (related party), and (11) gain on extinguishment of debt. Lucid believes that Adjusted EBITDA provides useful information to Lucid’s management and investors about Lucid’s financial performance.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Adjusted net loss attributable to common stockholders (diluted) is defined as net loss attributable to common stockholders (diluted) excluding (1) stock-based compensation, (2) workforce reduction charges, (3) change in fair value of common stock warrant liability, (4) change in fair value of equity securities of a related party, (5) change in fair value of derivative liabilities and subscription agreements associated with redeemable convertible preferred stock (related party), and (6) accretion of redeemable convertible preferred stock (related party).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defines and calculates adjusted net loss per share attributable to common stockholders (diluted) as adjusted net loss attributable to common stockholders (diluted) divided by weighted-average shares outstanding attributable to common stockholders (diluted).</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Lucid believes that adjusted net loss attributable to common stockholders (diluted) and adjusted net loss per share attributable to common stockholders (diluted) financial measures provide investors with useful information to evaluate the performance of its business excluding items not reflecting ongoing operating activities.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Free cash flow is defined as net cash used in operating activities less capital expenditures. Lucid believes that free cash flow provides useful information to Lucid’s management and investors about the amount of cash generated by the business after necessary capital expenditures.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its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Lucid’s results as reported under GAAP.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LUCID GROUP,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CONDENSED CONSOLIDATED BALANCE SHEETS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621"/>
        <w:gridCol w:w="1906"/>
        <w:gridCol w:w="1898"/>
        <w:gridCol w:w="109"/>
        <w:gridCol w:w="109"/>
        <w:gridCol w:w="109"/>
        <w:gridCol w:w="196"/>
        <w:gridCol w:w="886"/>
        <w:gridCol w:w="109"/>
        <w:gridCol w:w="109"/>
        <w:gridCol w:w="109"/>
        <w:gridCol w:w="109"/>
        <w:gridCol w:w="196"/>
        <w:gridCol w:w="886"/>
        <w:gridCol w:w="853"/>
      </w:tblGrid>
      <w:tr>
        <w:trPr/>
        <w:tc>
          <w:tcPr>
            <w:tcW w:w="262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6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7"/>
              </w:rPr>
            </w:pPr>
            <w:r>
              <w:rPr>
                <w:rFonts w:ascii="Times New Roman;serif" w:hAnsi="Times New Roman;serif"/>
                <w:b/>
                <w:color w:val="000000"/>
                <w:sz w:val="17"/>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7"/>
              </w:rPr>
            </w:pPr>
            <w:r>
              <w:rPr>
                <w:rFonts w:ascii="Times New Roman;serif" w:hAnsi="Times New Roman;serif"/>
                <w:b/>
                <w:color w:val="000000"/>
                <w:sz w:val="17"/>
              </w:rPr>
              <w:t>December 31,</w:t>
              <w:br/>
              <w:t>2025</w:t>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7"/>
              </w:rPr>
            </w:pPr>
            <w:r>
              <w:rPr>
                <w:rFonts w:ascii="Times New Roman;serif" w:hAnsi="Times New Roman;serif"/>
                <w:b/>
                <w:color w:val="000000"/>
                <w:sz w:val="17"/>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firstLine="180"/>
              <w:jc w:val="left"/>
              <w:rPr>
                <w:rFonts w:ascii="Times New Roman;serif" w:hAnsi="Times New Roman;serif"/>
                <w:b w:val="false"/>
                <w:color w:val="000000"/>
                <w:sz w:val="17"/>
              </w:rPr>
            </w:pPr>
            <w:r>
              <w:rPr>
                <w:rFonts w:ascii="Times New Roman;serif" w:hAnsi="Times New Roman;serif"/>
                <w:b w:val="false"/>
                <w:color w:val="000000"/>
                <w:sz w:val="17"/>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732,601 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997,827 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Short-term investments (including nil and $50,000 associated with a related party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28,712 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631,093 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Accounts receivable, net (including $186,581 and $120,540 from a related party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223,050 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177,162 </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firstLine="180"/>
              <w:jc w:val="left"/>
              <w:rPr>
                <w:rFonts w:ascii="Times New Roman;serif" w:hAnsi="Times New Roman;serif"/>
                <w:b w:val="false"/>
                <w:color w:val="000000"/>
                <w:sz w:val="17"/>
              </w:rPr>
            </w:pPr>
            <w:r>
              <w:rPr>
                <w:rFonts w:ascii="Times New Roman;serif" w:hAnsi="Times New Roman;serif"/>
                <w:b w:val="false"/>
                <w:color w:val="000000"/>
                <w:sz w:val="17"/>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1,378,653 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1,109,529 </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firstLine="180"/>
              <w:jc w:val="left"/>
              <w:rPr>
                <w:rFonts w:ascii="Times New Roman;serif" w:hAnsi="Times New Roman;serif"/>
                <w:b w:val="false"/>
                <w:color w:val="000000"/>
                <w:sz w:val="17"/>
              </w:rPr>
            </w:pPr>
            <w:r>
              <w:rPr>
                <w:rFonts w:ascii="Times New Roman;serif" w:hAnsi="Times New Roman;serif"/>
                <w:b w:val="false"/>
                <w:color w:val="000000"/>
                <w:sz w:val="17"/>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72,458 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59,606 </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firstLine="180"/>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341,067 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324,434 </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firstLine="720"/>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2,776,541 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3,299,651 </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4,222,841 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3,978,132 </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249,019 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241,974 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Long-term investments (including $14,191 and $24,259 associated with a related party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512,241 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436,234 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354,983 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7"/>
              </w:rPr>
            </w:pPr>
            <w:r>
              <w:rPr>
                <w:rFonts w:ascii="Times New Roman;serif" w:hAnsi="Times New Roman;serif"/>
                <w:b/>
                <w:color w:val="000000"/>
                <w:sz w:val="17"/>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7"/>
              </w:rPr>
              <w:t>7,698,826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7"/>
              </w:rPr>
              <w:t>8,386,981</w:t>
            </w:r>
            <w:r>
              <w:rPr>
                <w:color w:val="000000"/>
              </w:rPr>
              <w:t> </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7"/>
              </w:rPr>
            </w:pPr>
            <w:r>
              <w:rPr>
                <w:rFonts w:ascii="Times New Roman;serif" w:hAnsi="Times New Roman;serif"/>
                <w:b/>
                <w:color w:val="000000"/>
                <w:sz w:val="17"/>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366,907 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487,521 </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firstLine="180"/>
              <w:jc w:val="left"/>
              <w:rPr>
                <w:rFonts w:ascii="Times New Roman;serif" w:hAnsi="Times New Roman;serif"/>
                <w:b w:val="false"/>
                <w:color w:val="000000"/>
                <w:sz w:val="17"/>
              </w:rPr>
            </w:pPr>
            <w:r>
              <w:rPr>
                <w:rFonts w:ascii="Times New Roman;serif" w:hAnsi="Times New Roman;serif"/>
                <w:b w:val="false"/>
                <w:color w:val="000000"/>
                <w:sz w:val="17"/>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5,045 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84,222 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Current portion of debt ($503,088 and $467,963 associated with a related party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707,142 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671,746 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Other current liabilities (including $73,134 and $81,580 associated with a related party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1,359,101 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1,392,641 </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firstLine="720"/>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2,438,195 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2,636,130 </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102,685 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104,559 </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Debt, net of current portion (including $497,426 and nil associated with a related party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2,546,556 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2,046,576 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Other long-term liabilities (including $123,504 and $123,198 associated with related parties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599,441 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582,739 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Derivative liabilities associated with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163,655 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16,200 </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firstLine="720"/>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5,850,532 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5,386,204 </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7"/>
              </w:rPr>
            </w:pPr>
            <w:r>
              <w:rPr>
                <w:rFonts w:ascii="Times New Roman;serif" w:hAnsi="Times New Roman;serif"/>
                <w:b/>
                <w:color w:val="000000"/>
                <w:sz w:val="17"/>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June 30, 2026 and December 31, 2025, Series A redeemable convertible preferred stock, par value $0.0001; 100,000 shares issued and outstanding as of June 30, 2026 and December 31, 2025; liquidation preference of $1,470,165 and $1,350,441 as of June 30, 2026 and December 31, 2025,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1,469,464 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1,339,641 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June 30, 2026 and December 31, 2025, Series B redeemable convertible preferred stock, par value $0.0001; 75,000 shares issued and outstanding as of June 30, 2026 and December 31, 2025; liquidation preference of $1,032,889 and $949,249 as of June 30, 2026 and December 31, 2025,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1,032,514 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943,849 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June 30, 2026 and December 31, 2025, Series C redeemable convertible preferred stock, par value $0.0001; 55,000 and 0 shares issued and outstanding as of June 30, 2026 and December 31, 2025; liquidation preference of $566,859 and nil as of June 30, 2026 and December 31, 2025,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404,279 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firstLine="720"/>
              <w:jc w:val="left"/>
              <w:rPr>
                <w:rFonts w:ascii="Times New Roman;serif" w:hAnsi="Times New Roman;serif"/>
                <w:b w:val="false"/>
                <w:color w:val="000000"/>
                <w:sz w:val="17"/>
              </w:rPr>
            </w:pPr>
            <w:r>
              <w:rPr>
                <w:rFonts w:ascii="Times New Roman;serif" w:hAnsi="Times New Roman;serif"/>
                <w:b w:val="false"/>
                <w:color w:val="000000"/>
                <w:sz w:val="17"/>
              </w:rPr>
              <w:t>Total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2,906,257 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2,283,490 </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7"/>
              </w:rPr>
            </w:pPr>
            <w:r>
              <w:rPr>
                <w:rFonts w:ascii="Times New Roman;serif" w:hAnsi="Times New Roman;serif"/>
                <w:b/>
                <w:color w:val="000000"/>
                <w:sz w:val="17"/>
              </w:rPr>
              <w:t>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Common stock, par value $0.0001; 1,500,000,000 shares authorized as of June 30, 2026 and December 31, 2025; 394,155,958 and 327,451,844 shares issued and 394,070,176 and 327,366,062 shares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16,636,039 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16,337,023 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Treasury stock, at cost, 85,782 shares at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(20,716)</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11,692 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(17,673,940)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(15,610,745)</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Total 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(1,057,963)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7"/>
              </w:rPr>
            </w:pPr>
            <w:r>
              <w:rPr>
                <w:rFonts w:ascii="Times New Roman;serif" w:hAnsi="Times New Roman;serif"/>
                <w:b w:val="false"/>
                <w:color w:val="000000"/>
                <w:sz w:val="17"/>
              </w:rPr>
              <w:t>717,287 </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360"/>
              <w:jc w:val="left"/>
              <w:rPr>
                <w:rFonts w:ascii="Times New Roman;serif" w:hAnsi="Times New Roman;serif"/>
                <w:b/>
                <w:color w:val="000000"/>
                <w:sz w:val="17"/>
              </w:rPr>
            </w:pPr>
            <w:r>
              <w:rPr>
                <w:rFonts w:ascii="Times New Roman;serif" w:hAnsi="Times New Roman;serif"/>
                <w:b/>
                <w:color w:val="000000"/>
                <w:sz w:val="17"/>
              </w:rPr>
              <w:t>TOTAL LIABILITIES, REDEEMABLE CONVERTIBLE PREFERRED STOCK AND STOCKHOLDERS’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7"/>
              </w:rPr>
              <w:t>7,698,826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7"/>
              </w:rPr>
              <w:t>8,386,981</w:t>
            </w:r>
            <w:r>
              <w:rPr>
                <w:color w:val="000000"/>
              </w:rPr>
              <w:t> </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LUCID GROUP, INC.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766"/>
        <w:gridCol w:w="1166"/>
        <w:gridCol w:w="1171"/>
        <w:gridCol w:w="196"/>
        <w:gridCol w:w="898"/>
        <w:gridCol w:w="109"/>
        <w:gridCol w:w="109"/>
        <w:gridCol w:w="109"/>
        <w:gridCol w:w="109"/>
        <w:gridCol w:w="217"/>
        <w:gridCol w:w="834"/>
        <w:gridCol w:w="109"/>
        <w:gridCol w:w="109"/>
        <w:gridCol w:w="109"/>
        <w:gridCol w:w="109"/>
        <w:gridCol w:w="196"/>
        <w:gridCol w:w="1051"/>
        <w:gridCol w:w="109"/>
        <w:gridCol w:w="109"/>
        <w:gridCol w:w="109"/>
        <w:gridCol w:w="109"/>
        <w:gridCol w:w="196"/>
        <w:gridCol w:w="1051"/>
        <w:gridCol w:w="155"/>
      </w:tblGrid>
      <w:tr>
        <w:trPr/>
        <w:tc>
          <w:tcPr>
            <w:tcW w:w="17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 (including $96,188 and $30,247 from a related party for the three months ended June 30, 2026 and 2025, and $134,558 and $35,343 for the six months ended June 30, 2026 and 2025, respectively)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494,480 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832,072 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1,426,242 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995,343 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525,085 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604,608 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469,032 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Workforce reduction charges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cost and expenses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1,487,515 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1,062,479 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2,759,465 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1,989,460 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(803,047)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(2,071,653)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(1,494,980)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Other income (expense),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 of a related party</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and subscription agreements associated with redeemable convertible preferred stock (related party)</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393,175 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96,527 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expense (including $23,363 and $4,912 to a related party for the three months ended June 30, 2026 and 2025, and $34,672 and $8,612 for the six months ended June 30, 2026 and 2025, respectively)</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(35,632)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6,537 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585,645 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Loss before provision for (benefit from) income taxes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(541,801)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(2,061,968)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(909,335)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loss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(1,034,851)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(539,432)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(2,063,195)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(905,603)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(224,425)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(199,823)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(330,387)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(564,748)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loss attributable to common stockholders, basic</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(1,259,276)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(739,255)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(2,393,582)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(1,470,351)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expense on 2026 Notes</w:t>
            </w:r>
          </w:p>
        </w:tc>
        <w:tc>
          <w:tcPr>
            <w:tcW w:w="10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4,283 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(116,360)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loss attributable to common stockholders, diluted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(1,259,276)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(855,306)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(2,393,582)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(1,582,428)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Weighted-average shares outstanding attributable to common stockholders</w:t>
            </w:r>
            <w:r>
              <w:rPr>
                <w:rFonts w:ascii="Times New Roman;serif" w:hAnsi="Times New Roman;serif"/>
                <w:b w:val="false"/>
                <w:color w:val="000000"/>
                <w:sz w:val="12"/>
              </w:rPr>
              <w:t>(1)</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382,098,609 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305,640,483 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355,340,787 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304,641,184 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382,098,609 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305,788,272 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355,340,787 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305,670,808 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Net loss per share attributable to common stockholders</w:t>
            </w:r>
            <w:r>
              <w:rPr>
                <w:rFonts w:ascii="Times New Roman;serif" w:hAnsi="Times New Roman;serif"/>
                <w:b w:val="false"/>
                <w:color w:val="000000"/>
                <w:sz w:val="12"/>
              </w:rPr>
              <w:t>(1)</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unrealized gains (losses) on investments, net of tax</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realized gains on investments included in net loss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16,715 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(1,037,749)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(530,166)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(2,074,272)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(888,888)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(224,425)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(199,823)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(330,387)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(564,748)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Comprehensive loss attributable to common stockholders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(1,262,174)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(729,989)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(2,404,659)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(1,453,636)</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weighted-average shares outstanding attributable to common stockholders and net loss per share attributable to common stockholders have been adjusted for the prior periods presented to reflect the one-for-ten (1:10) reverse stock split effected on August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LUCID GROUP,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0" w:after="0"/>
        <w:jc w:val="center"/>
        <w:rPr/>
      </w:pPr>
      <w:r>
        <w:rPr>
          <w:rFonts w:ascii="Times New Roman;serif" w:hAnsi="Times New Roman;serif"/>
          <w:b/>
          <w:color w:val="000000"/>
          <w:sz w:val="19"/>
        </w:rPr>
        <w:t>(in thousands</w:t>
      </w:r>
      <w:r>
        <w:rPr>
          <w:rFonts w:ascii="Times New Roman;serif" w:hAnsi="Times New Roman;serif"/>
          <w:b w:val="false"/>
          <w:color w:val="000000"/>
          <w:sz w:val="19"/>
        </w:rPr>
        <w:t>)</w:t>
      </w:r>
    </w:p>
    <w:tbl>
      <w:tblPr>
        <w:tblW w:w="10205" w:type="dxa"/>
        <w:jc w:val="center"/>
        <w:tblInd w:w="0" w:type="dxa"/>
        <w:tblLayout w:type="fixed"/>
        <w:tblCellMar>
          <w:top w:w="28" w:type="dxa"/>
          <w:left w:w="28" w:type="dxa"/>
          <w:bottom w:w="28" w:type="dxa"/>
          <w:right w:w="28" w:type="dxa"/>
        </w:tblCellMar>
      </w:tblPr>
      <w:tblGrid>
        <w:gridCol w:w="1762"/>
        <w:gridCol w:w="1214"/>
        <w:gridCol w:w="1222"/>
        <w:gridCol w:w="211"/>
        <w:gridCol w:w="1000"/>
        <w:gridCol w:w="109"/>
        <w:gridCol w:w="109"/>
        <w:gridCol w:w="109"/>
        <w:gridCol w:w="109"/>
        <w:gridCol w:w="211"/>
        <w:gridCol w:w="850"/>
        <w:gridCol w:w="109"/>
        <w:gridCol w:w="109"/>
        <w:gridCol w:w="109"/>
        <w:gridCol w:w="109"/>
        <w:gridCol w:w="211"/>
        <w:gridCol w:w="1000"/>
        <w:gridCol w:w="109"/>
        <w:gridCol w:w="109"/>
        <w:gridCol w:w="109"/>
        <w:gridCol w:w="109"/>
        <w:gridCol w:w="211"/>
        <w:gridCol w:w="850"/>
        <w:gridCol w:w="155"/>
      </w:tblGrid>
      <w:tr>
        <w:trPr/>
        <w:tc>
          <w:tcPr>
            <w:tcW w:w="176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(1,034,851)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(539,432)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(2,063,195)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(905,603)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209,047 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of insurance premium</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19,758 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83,834 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Inventory and firm purchase commitments write-downs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327,806 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 liability</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(18,183)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of equity securities of a related party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 and subscription agreements associated with redeemable convertible preferred stock (related party)</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(393,175)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accretion of investment discounts/premiums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(19,062)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(116,360)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non-cash items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 (including $(91,303) and $(9,715) from a related party for the three months ended June 30, 2026 and 2025, and $(66,041) and $(5,599) for the six months ended June 30, 2026 and 2025, respectively)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(269,157)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(379,573)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(845,554)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(586,043)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(27,677)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(55,824)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(1,222,231)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(830,241)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(2,407,890)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(1,258,854)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(including $(70,221) and $(25,675) from a related party for the three months ended June 30, 2026 and 2025, and $(117,355) and $(67,668) for the six months ended June 30, 2026 and 2025, respectively)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(506,994)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(343,904)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investments (including nil from a related party for the three months ended June 30, 2026 and 2025, and $50,000 and nil for the six months ended June 30, 2026 and 2025, respectively)</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1,961,485 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sale of investments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Purchases of investments (including nil from a related party for the three months ended June 30, 2026 and 2025, and nil and $(30,000) for the six months ended June 30, 2026 and 2025, respectively)</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(309,557)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(282,339)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694,003 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592,847 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1,308,024 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50"/>
        <w:gridCol w:w="915"/>
        <w:gridCol w:w="917"/>
        <w:gridCol w:w="253"/>
        <w:gridCol w:w="995"/>
        <w:gridCol w:w="130"/>
        <w:gridCol w:w="130"/>
        <w:gridCol w:w="130"/>
        <w:gridCol w:w="130"/>
        <w:gridCol w:w="253"/>
        <w:gridCol w:w="1175"/>
        <w:gridCol w:w="130"/>
        <w:gridCol w:w="130"/>
        <w:gridCol w:w="130"/>
        <w:gridCol w:w="130"/>
        <w:gridCol w:w="253"/>
        <w:gridCol w:w="995"/>
        <w:gridCol w:w="130"/>
        <w:gridCol w:w="130"/>
        <w:gridCol w:w="130"/>
        <w:gridCol w:w="130"/>
        <w:gridCol w:w="253"/>
        <w:gridCol w:w="1175"/>
        <w:gridCol w:w="211"/>
      </w:tblGrid>
      <w:tr>
        <w:trPr/>
        <w:tc>
          <w:tcPr>
            <w:tcW w:w="125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LUCID GROUP, INC.</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 continued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ableContents"/>
              <w:bidi w:val="0"/>
              <w:spacing w:lineRule="auto" w:line="288" w:before="0" w:after="0"/>
              <w:jc w:val="left"/>
              <w:rPr/>
            </w:pPr>
            <w:r>
              <w:rPr>
                <w:color w:val="000000"/>
              </w:rPr>
              <w:t>                                                                                                                   </w:t>
            </w:r>
            <w:r>
              <w:rPr>
                <w:rFonts w:ascii="Times New Roman;serif" w:hAnsi="Times New Roman;serif"/>
                <w:b/>
                <w:color w:val="000000"/>
                <w:sz w:val="18"/>
              </w:rPr>
              <w:t>(in thousands</w:t>
            </w:r>
            <w:r>
              <w:rPr>
                <w:rFonts w:ascii="Times New Roman;serif" w:hAnsi="Times New Roman;serif"/>
                <w:b w:val="false"/>
                <w:color w:val="000000"/>
                <w:sz w:val="18"/>
              </w:rPr>
              <w:t>)</w:t>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2026 Underwriting Agreement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Payments of issuance costs for the 2026 Underwriting Agreement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2026 Subscription Agreement to a related party</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Series C redeemable convertible preferred stock to a related party</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Payments of issuance costs for Series C redeemable convertible preferred stock</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Payments of transaction costs for the issuance of 2031 Notes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issuance of 2030 Notes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Payments of transaction costs for the issuance of 2030 Notes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 of capped calls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(118,250)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(118,250)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Repurchase of 2026 Notes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(931,433)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(931,433)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borrowings from related parties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535,994 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106,645 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Tax withholding payments for net settlement of employee awards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(6,172)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Payment for finance lease liabilities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(2,461)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Payments for credit facility issuance costs to related parties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1,545,816 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78,945 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1,581,096 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141,676 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41,246 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(57,293)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(233,947)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190,846 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Beginning cash, cash equivalents, and restricted cash</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765,720 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1,855,191 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1,040,913 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1,607,052 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Ending cash, cash equivalents, and restricted cash</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806,966 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1,797,898 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806,966 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1,797,898 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LUCID GROUP, INC. </w:t>
      </w:r>
    </w:p>
    <w:p>
      <w:pPr>
        <w:pStyle w:val="TextBody"/>
        <w:bidi w:val="0"/>
        <w:spacing w:lineRule="auto" w:line="288" w:before="0" w:after="0"/>
        <w:jc w:val="center"/>
        <w:rPr/>
      </w:pPr>
      <w:r>
        <w:rPr>
          <w:rFonts w:ascii="Times New Roman;serif" w:hAnsi="Times New Roman;serif"/>
          <w:b/>
          <w:color w:val="000000"/>
          <w:sz w:val="20"/>
        </w:rPr>
        <w:t>RECONCIL</w:t>
      </w:r>
      <w:r>
        <w:rPr>
          <w:rFonts w:ascii="Times New Roman;serif" w:hAnsi="Times New Roman;serif"/>
          <w:b/>
          <w:color w:val="000000"/>
          <w:sz w:val="19"/>
        </w:rPr>
        <w:t>IATION OF GAAP TO NON-GAAP FINANCIAL MEASURES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 except share and per share data)</w:t>
      </w:r>
    </w:p>
    <w:p>
      <w:pPr>
        <w:pStyle w:val="TextBody"/>
        <w:bidi w:val="0"/>
        <w:spacing w:lineRule="auto" w:line="288" w:before="200" w:after="283"/>
        <w:jc w:val="left"/>
        <w:rPr>
          <w:rFonts w:ascii="Times New Roman;serif" w:hAnsi="Times New Roman;serif"/>
          <w:b/>
          <w:color w:val="000000"/>
          <w:sz w:val="18"/>
          <w:u w:val="single"/>
        </w:rPr>
      </w:pPr>
      <w:r>
        <w:rPr>
          <w:rFonts w:ascii="Times New Roman;serif" w:hAnsi="Times New Roman;serif"/>
          <w:b/>
          <w:color w:val="000000"/>
          <w:sz w:val="18"/>
          <w:u w:val="single"/>
        </w:rPr>
        <w:t>Adjusted EBITDA</w:t>
      </w:r>
    </w:p>
    <w:tbl>
      <w:tblPr>
        <w:tblW w:w="10205" w:type="dxa"/>
        <w:jc w:val="left"/>
        <w:tblInd w:w="0" w:type="dxa"/>
        <w:tblLayout w:type="fixed"/>
        <w:tblCellMar>
          <w:top w:w="28" w:type="dxa"/>
          <w:left w:w="28" w:type="dxa"/>
          <w:bottom w:w="28" w:type="dxa"/>
          <w:right w:w="28" w:type="dxa"/>
        </w:tblCellMar>
      </w:tblPr>
      <w:tblGrid>
        <w:gridCol w:w="1639"/>
        <w:gridCol w:w="1407"/>
        <w:gridCol w:w="1415"/>
        <w:gridCol w:w="196"/>
        <w:gridCol w:w="907"/>
        <w:gridCol w:w="109"/>
        <w:gridCol w:w="109"/>
        <w:gridCol w:w="109"/>
        <w:gridCol w:w="109"/>
        <w:gridCol w:w="196"/>
        <w:gridCol w:w="772"/>
        <w:gridCol w:w="109"/>
        <w:gridCol w:w="109"/>
        <w:gridCol w:w="109"/>
        <w:gridCol w:w="109"/>
        <w:gridCol w:w="196"/>
        <w:gridCol w:w="907"/>
        <w:gridCol w:w="109"/>
        <w:gridCol w:w="109"/>
        <w:gridCol w:w="109"/>
        <w:gridCol w:w="109"/>
        <w:gridCol w:w="196"/>
        <w:gridCol w:w="907"/>
        <w:gridCol w:w="159"/>
      </w:tblGrid>
      <w:tr>
        <w:trPr/>
        <w:tc>
          <w:tcPr>
            <w:tcW w:w="163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8"/>
              </w:rPr>
            </w:pPr>
            <w:r>
              <w:rPr>
                <w:rFonts w:ascii="Times New Roman;serif" w:hAnsi="Times New Roman;serif"/>
                <w:b/>
                <w:color w:val="000000"/>
                <w:sz w:val="18"/>
              </w:rPr>
              <w:t>Net loss attributable to common stockholders, basic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(1,259,276)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(739,255)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(2,393,582)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(1,470,351)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35,632 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(96,527)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209,047 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83,834 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Workforce reduction charges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(18,183)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 of a related party</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and subscription agreements associated with redeemable convertible preferred stock (related party)</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(110,165)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(393,175)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564,748 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(116,360)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Adjusted EBITDA (non-GAAP)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(901,112)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(632,068)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(1,681,729)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(1,195,562)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18"/>
          <w:u w:val="single"/>
        </w:rPr>
      </w:pPr>
      <w:r>
        <w:rPr>
          <w:rFonts w:ascii="Times New Roman;serif" w:hAnsi="Times New Roman;serif"/>
          <w:b/>
          <w:color w:val="000000"/>
          <w:sz w:val="18"/>
          <w:u w:val="single"/>
        </w:rPr>
        <w:t>Adjusted Net Loss Attributable to Common Stockholders</w:t>
      </w:r>
    </w:p>
    <w:tbl>
      <w:tblPr>
        <w:tblW w:w="10205" w:type="dxa"/>
        <w:jc w:val="left"/>
        <w:tblInd w:w="0" w:type="dxa"/>
        <w:tblLayout w:type="fixed"/>
        <w:tblCellMar>
          <w:top w:w="28" w:type="dxa"/>
          <w:left w:w="28" w:type="dxa"/>
          <w:bottom w:w="28" w:type="dxa"/>
          <w:right w:w="28" w:type="dxa"/>
        </w:tblCellMar>
      </w:tblPr>
      <w:tblGrid>
        <w:gridCol w:w="1614"/>
        <w:gridCol w:w="1419"/>
        <w:gridCol w:w="1427"/>
        <w:gridCol w:w="196"/>
        <w:gridCol w:w="908"/>
        <w:gridCol w:w="109"/>
        <w:gridCol w:w="109"/>
        <w:gridCol w:w="109"/>
        <w:gridCol w:w="109"/>
        <w:gridCol w:w="196"/>
        <w:gridCol w:w="773"/>
        <w:gridCol w:w="109"/>
        <w:gridCol w:w="109"/>
        <w:gridCol w:w="109"/>
        <w:gridCol w:w="109"/>
        <w:gridCol w:w="196"/>
        <w:gridCol w:w="908"/>
        <w:gridCol w:w="109"/>
        <w:gridCol w:w="109"/>
        <w:gridCol w:w="109"/>
        <w:gridCol w:w="109"/>
        <w:gridCol w:w="196"/>
        <w:gridCol w:w="908"/>
        <w:gridCol w:w="156"/>
      </w:tblGrid>
      <w:tr>
        <w:trPr/>
        <w:tc>
          <w:tcPr>
            <w:tcW w:w="16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loss attributable to common stockholders, diluted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(1,259,276)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(855,306)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(2,393,582)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(1,582,428)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83,834 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Workforce reduction charges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(18,183)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 of a related party</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and subscription agreements associated with redeemable convertible preferred stock (related party)</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(111,475)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(110,165)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(393,175)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564,748 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8"/>
              </w:rPr>
            </w:pPr>
            <w:r>
              <w:rPr>
                <w:rFonts w:ascii="Times New Roman;serif" w:hAnsi="Times New Roman;serif"/>
                <w:b/>
                <w:color w:val="000000"/>
                <w:sz w:val="18"/>
              </w:rPr>
              <w:t>Adjusted net loss attributable to common stockholders, diluted (non-GAAP)</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(1,062,567)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(719,909)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(1,987,742)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(1,335,699)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color w:val="000000"/>
          <w:sz w:val="18"/>
          <w:u w:val="single"/>
        </w:rPr>
        <w:t>Adjusted Net Loss Per Share Attributable to Common Stockholders</w:t>
      </w:r>
      <w:r>
        <w:rPr>
          <w:rFonts w:ascii="Times New Roman;serif" w:hAnsi="Times New Roman;serif"/>
          <w:b/>
          <w:color w:val="000000"/>
          <w:sz w:val="12"/>
          <w:u w:val="single"/>
        </w:rPr>
        <w:t>(</w:t>
      </w:r>
      <w:r>
        <w:rPr>
          <w:rFonts w:ascii="Times New Roman;serif" w:hAnsi="Times New Roman;serif"/>
          <w:b/>
          <w:color w:val="000000"/>
          <w:sz w:val="12"/>
        </w:rPr>
        <w:t>1)</w:t>
      </w:r>
    </w:p>
    <w:tbl>
      <w:tblPr>
        <w:tblW w:w="10205" w:type="dxa"/>
        <w:jc w:val="left"/>
        <w:tblInd w:w="0" w:type="dxa"/>
        <w:tblLayout w:type="fixed"/>
        <w:tblCellMar>
          <w:top w:w="28" w:type="dxa"/>
          <w:left w:w="28" w:type="dxa"/>
          <w:bottom w:w="28" w:type="dxa"/>
          <w:right w:w="28" w:type="dxa"/>
        </w:tblCellMar>
      </w:tblPr>
      <w:tblGrid>
        <w:gridCol w:w="1998"/>
        <w:gridCol w:w="1573"/>
        <w:gridCol w:w="1582"/>
        <w:gridCol w:w="250"/>
        <w:gridCol w:w="615"/>
        <w:gridCol w:w="141"/>
        <w:gridCol w:w="109"/>
        <w:gridCol w:w="109"/>
        <w:gridCol w:w="109"/>
        <w:gridCol w:w="250"/>
        <w:gridCol w:w="615"/>
        <w:gridCol w:w="141"/>
        <w:gridCol w:w="109"/>
        <w:gridCol w:w="109"/>
        <w:gridCol w:w="109"/>
        <w:gridCol w:w="250"/>
        <w:gridCol w:w="615"/>
        <w:gridCol w:w="141"/>
        <w:gridCol w:w="109"/>
        <w:gridCol w:w="109"/>
        <w:gridCol w:w="109"/>
        <w:gridCol w:w="247"/>
        <w:gridCol w:w="608"/>
        <w:gridCol w:w="198"/>
      </w:tblGrid>
      <w:tr>
        <w:trPr/>
        <w:tc>
          <w:tcPr>
            <w:tcW w:w="199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Net loss per share attributable to common stockholders, diluted (GAAP)</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(3.30)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(2.80)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(6.74)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(5.18)</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Workforce reduction charges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 of a related party</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and subscription agreements associated with redeemable convertible preferred stock (related party)</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(0.36)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Adjusted net loss per share attributable to common stockholders, diluted (non-GAAP)</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(2.78)</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(2.35)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(5.59)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(4.37)</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8"/>
              </w:rPr>
            </w:pPr>
            <w:r>
              <w:rPr>
                <w:rFonts w:ascii="Times New Roman;serif" w:hAnsi="Times New Roman;serif"/>
                <w:b/>
                <w:color w:val="000000"/>
                <w:sz w:val="18"/>
              </w:rPr>
              <w:t>Weighted-average shares outstanding attributable to common stockholders, diluted</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382,098,609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305,788,272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355,340,787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305,670,808</w:t>
            </w:r>
          </w:p>
        </w:tc>
      </w:tr>
    </w:tbl>
    <w:p>
      <w:pPr>
        <w:pStyle w:val="TextBody"/>
        <w:bidi w:val="0"/>
        <w:spacing w:lineRule="auto" w:line="288" w:before="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weighted-average shares outstanding attributable to common stockholders, net loss per share attributable to common stockholders and adjusted net loss per share attributable to common stockholders have been adjusted for the prior periods presented to reflect the one-for-ten (1:10) reverse stock split effected on August 29, 2025.</w:t>
      </w:r>
    </w:p>
    <w:p>
      <w:pPr>
        <w:pStyle w:val="TextBody"/>
        <w:bidi w:val="0"/>
        <w:spacing w:before="20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LUCID GROUP, INC.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RECONCILIATION OF GAAP TO NON-GAAP FINANCIAL MEASURES - continued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Free Cash Flow</w:t>
      </w:r>
    </w:p>
    <w:tbl>
      <w:tblPr>
        <w:tblW w:w="9570" w:type="dxa"/>
        <w:jc w:val="left"/>
        <w:tblInd w:w="0" w:type="dxa"/>
        <w:tblLayout w:type="fixed"/>
        <w:tblCellMar>
          <w:top w:w="28" w:type="dxa"/>
          <w:left w:w="28" w:type="dxa"/>
          <w:bottom w:w="28" w:type="dxa"/>
          <w:right w:w="28" w:type="dxa"/>
        </w:tblCellMar>
      </w:tblPr>
      <w:tblGrid>
        <w:gridCol w:w="1282"/>
        <w:gridCol w:w="1125"/>
        <w:gridCol w:w="1133"/>
        <w:gridCol w:w="196"/>
        <w:gridCol w:w="946"/>
        <w:gridCol w:w="109"/>
        <w:gridCol w:w="109"/>
        <w:gridCol w:w="109"/>
        <w:gridCol w:w="109"/>
        <w:gridCol w:w="196"/>
        <w:gridCol w:w="946"/>
        <w:gridCol w:w="109"/>
        <w:gridCol w:w="109"/>
        <w:gridCol w:w="109"/>
        <w:gridCol w:w="109"/>
        <w:gridCol w:w="196"/>
        <w:gridCol w:w="946"/>
        <w:gridCol w:w="109"/>
        <w:gridCol w:w="109"/>
        <w:gridCol w:w="109"/>
        <w:gridCol w:w="109"/>
        <w:gridCol w:w="196"/>
        <w:gridCol w:w="946"/>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8"/>
              </w:rPr>
            </w:pPr>
            <w:r>
              <w:rPr>
                <w:rFonts w:ascii="Times New Roman;serif" w:hAnsi="Times New Roman;serif"/>
                <w:b/>
                <w:color w:val="000000"/>
                <w:sz w:val="18"/>
              </w:rPr>
              <w:t>Net cash used in operating activities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(1,222,231)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(830,241)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(2,407,890)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(1,258,854)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(182,663)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(506,994)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(343,904)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Free cash flow (non-GAAP)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(1,476,058)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(1,012,904)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(2,914,884)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(1,602,758)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5655</Words>
  <Characters>34673</Characters>
  <CharactersWithSpaces>39892</CharactersWithSpaces>
  <Paragraphs>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