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0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31750</wp:posOffset>
            </wp:positionH>
            <wp:positionV relativeFrom="paragraph">
              <wp:posOffset>-227965</wp:posOffset>
            </wp:positionV>
            <wp:extent cx="127635" cy="12763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635" cy="127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4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5"/>
        </w:trPr>
        <w:tc>
          <w:tcPr>
            <w:tcW w:w="6200" w:type="dxa"/>
            <w:vAlign w:val="bottom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00" w:type="dxa"/>
            <w:vAlign w:val="bottom"/>
            <w:vMerge w:val="restart"/>
          </w:tcPr>
          <w:p>
            <w:pPr>
              <w:jc w:val="center"/>
              <w:ind w:right="239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6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00" w:type="dxa"/>
            <w:vAlign w:val="bottom"/>
            <w:vMerge w:val="restart"/>
          </w:tcPr>
          <w:p>
            <w:pPr>
              <w:jc w:val="center"/>
              <w:ind w:right="259"/>
              <w:spacing w:after="0" w:line="1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62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8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6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6200" w:type="dxa"/>
            <w:vAlign w:val="bottom"/>
            <w:vMerge w:val="restart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5219065</wp:posOffset>
            </wp:positionH>
            <wp:positionV relativeFrom="paragraph">
              <wp:posOffset>-608965</wp:posOffset>
            </wp:positionV>
            <wp:extent cx="57150" cy="6223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2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3930015</wp:posOffset>
            </wp:positionH>
            <wp:positionV relativeFrom="paragraph">
              <wp:posOffset>-608965</wp:posOffset>
            </wp:positionV>
            <wp:extent cx="57150" cy="6223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2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-1688465</wp:posOffset>
            </wp:positionH>
            <wp:positionV relativeFrom="paragraph">
              <wp:posOffset>12065</wp:posOffset>
            </wp:positionV>
            <wp:extent cx="6997065" cy="51352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7065" cy="51352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440"/>
            <w:col w:w="844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0"/>
          <w:szCs w:val="20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0"/>
          <w:szCs w:val="20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Bach Eric</w:t>
        </w:r>
      </w:hyperlink>
    </w:p>
    <w:p>
      <w:pPr>
        <w:spacing w:after="0" w:line="29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0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1"/>
          <w:szCs w:val="11"/>
          <w:color w:val="auto"/>
        </w:rPr>
        <w:t>(Middle)</w:t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LUCID GROUP, INC.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7373 GATEWAY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Lucid Group, Inc.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LCID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9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07/23/2021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1" w:right="720" w:firstLine="1"/>
        <w:spacing w:after="0" w:line="230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199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55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SVP, Product &amp; Chief Engineer</w:t>
      </w:r>
    </w:p>
    <w:p>
      <w:pPr>
        <w:spacing w:after="0" w:line="5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1" w:space="720"/>
            <w:col w:w="3359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60" w:type="dxa"/>
            <w:vAlign w:val="bottom"/>
            <w:gridSpan w:val="7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4. If Amendment, Date of Original Filed (Month/Day/Year)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00" w:type="dxa"/>
            <w:vAlign w:val="bottom"/>
            <w:gridSpan w:val="9"/>
          </w:tcPr>
          <w:p>
            <w:pPr>
              <w:ind w:left="3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NEWARK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CA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94560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X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4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5"/>
              </w:rPr>
              <w:t>Form filed by One Reporting Person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3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7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40" w:type="dxa"/>
            <w:vAlign w:val="bottom"/>
            <w:gridSpan w:val="5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8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60" w:type="dxa"/>
            <w:vAlign w:val="bottom"/>
            <w:gridSpan w:val="6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8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3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07/23/2021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1,173,177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A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right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jc w:val="right"/>
              <w:ind w:right="2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1,173,177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07/23/2021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jc w:val="right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661,000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A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right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jc w:val="right"/>
              <w:ind w:right="2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1,834,177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560" w:type="dxa"/>
            <w:vAlign w:val="bottom"/>
            <w:gridSpan w:val="1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40" w:type="dxa"/>
            <w:vAlign w:val="bottom"/>
            <w:gridSpan w:val="4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40" w:type="dxa"/>
            <w:vAlign w:val="bottom"/>
            <w:gridSpan w:val="4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0" w:type="dxa"/>
            <w:vAlign w:val="bottom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jc w:val="center"/>
              <w:ind w:lef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3"/>
              </w:rPr>
              <w:t>879,698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right"/>
              <w:ind w:righ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(3)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0.83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jc w:val="right"/>
              <w:ind w:right="177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07/23/2021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0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63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879,698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04/21/2029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jc w:val="right"/>
              <w:ind w:right="16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879,698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jc w:val="center"/>
              <w:ind w:lef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jc w:val="center"/>
              <w:ind w:lef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1,850,800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right"/>
              <w:ind w:righ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(3)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0.93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jc w:val="right"/>
              <w:ind w:right="177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07/23/2021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0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3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1,850,800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07/15/2030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jc w:val="right"/>
              <w:ind w:right="12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1,850,800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jc w:val="center"/>
              <w:ind w:lef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-2153285</wp:posOffset>
            </wp:positionV>
            <wp:extent cx="28575" cy="215836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2158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 w:right="200" w:hanging="2"/>
        <w:spacing w:after="0" w:line="237" w:lineRule="auto"/>
        <w:tabs>
          <w:tab w:leader="none" w:pos="165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Received in exchange for 443,713 shares of common stock (the "Common Stock") of Atieva, Inc., d/b/a Lucid Motors ("Lucid") in connection with the merger by and among Churchill Capital Corp IV, Atieva, Inc., d/b/a Lucid Motors and Air Merger Sub, Inc. (the "Merger").</w:t>
      </w:r>
    </w:p>
    <w:p>
      <w:pPr>
        <w:spacing w:after="0" w:line="3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60" w:hanging="2"/>
        <w:spacing w:after="0" w:line="237" w:lineRule="auto"/>
        <w:tabs>
          <w:tab w:leader="none" w:pos="165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restricted stock units ("RSUs") received in exchange for 250,000 RSUs of Lucid in connection with the Merger. 25% of the RSUs will vest on August 2022 with the remaining 75% of the RSUs vesting in twelve equal quarterly installments through June 2025 subject to continued employment through each applicable vesting date.</w:t>
      </w:r>
    </w:p>
    <w:p>
      <w:pPr>
        <w:spacing w:after="0" w:line="3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22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Lucid stock option was exchanged in the Merger for a stock option to acquire 2.644 shares of common stock of Lucid Group, Inc.</w:t>
      </w:r>
    </w:p>
    <w:p>
      <w:pPr>
        <w:spacing w:after="0" w:line="3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22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options were granted in April 2019. 44,067 of these options remain unvested and 50% will vest on August 1, 2021 and the remaining 50% will vest on September 1, 2021.</w:t>
      </w:r>
    </w:p>
    <w:p>
      <w:pPr>
        <w:spacing w:after="0" w:line="3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22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options were granted in July 2020. 1,310,985 of these options remain unvested and will vest in equal quarterly installments through May 2024.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/s/ Jonathan Butler, as attorney-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07/27/2021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1340" w:type="dxa"/>
            <w:vAlign w:val="bottom"/>
            <w:vMerge w:val="restart"/>
          </w:tcPr>
          <w:p>
            <w:pPr>
              <w:spacing w:after="0" w:line="1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4"/>
              </w:rPr>
              <w:t>in-fact for Eric Bach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13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jc w:val="both"/>
        <w:ind w:left="40" w:right="3800" w:hanging="2"/>
        <w:spacing w:after="0" w:line="352" w:lineRule="auto"/>
        <w:tabs>
          <w:tab w:leader="none" w:pos="172" w:val="left"/>
        </w:tabs>
        <w:numPr>
          <w:ilvl w:val="0"/>
          <w:numId w:val="3"/>
        </w:numPr>
        <w:rPr>
          <w:rFonts w:ascii="Arial" w:cs="Arial" w:eastAsia="Arial" w:hAnsi="Arial"/>
          <w:sz w:val="11"/>
          <w:szCs w:val="11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1"/>
          <w:szCs w:val="11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72817" TargetMode="External"/><Relationship Id="rId13" Type="http://schemas.openxmlformats.org/officeDocument/2006/relationships/hyperlink" Target="http://www.sec.gov/cgi-bin/browse-edgar?action=getcompany&amp;CIK=000181121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2021-07-27T17:02:28Z</dcterms:created>
  <dcterms:modified xsi:type="dcterms:W3CDTF">2021-07-27T17:02:28Z</dcterms:modified>
</cp:coreProperties>
</file>