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3619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189865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26" w:lineRule="exact"/>
        <w:rPr>
          <w:sz w:val="24"/>
          <w:szCs w:val="24"/>
          <w:color w:val="auto"/>
        </w:rPr>
      </w:pPr>
    </w:p>
    <w:p>
      <w:pPr>
        <w:jc w:val="center"/>
        <w:ind w:right="-48"/>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1" w:lineRule="exact"/>
        <w:rPr>
          <w:sz w:val="24"/>
          <w:szCs w:val="24"/>
          <w:color w:val="auto"/>
        </w:rPr>
      </w:pPr>
    </w:p>
    <w:p>
      <w:pPr>
        <w:jc w:val="center"/>
        <w:ind w:right="-48"/>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134620</wp:posOffset>
            </wp:positionV>
            <wp:extent cx="17887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8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CURRENT REPORT</w:t>
      </w:r>
    </w:p>
    <w:p>
      <w:pPr>
        <w:spacing w:after="0" w:line="191"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Pursuant to Section 13 or 15(d)</w:t>
      </w:r>
    </w:p>
    <w:p>
      <w:pPr>
        <w:spacing w:after="0" w:line="2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78" w:lineRule="exact"/>
        <w:rPr>
          <w:sz w:val="24"/>
          <w:szCs w:val="24"/>
          <w:color w:val="auto"/>
        </w:rPr>
      </w:pPr>
    </w:p>
    <w:p>
      <w:pPr>
        <w:jc w:val="center"/>
        <w:ind w:right="-48"/>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color w:val="auto"/>
        </w:rPr>
        <w:t>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130810</wp:posOffset>
            </wp:positionV>
            <wp:extent cx="17887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6" w:lineRule="exact"/>
        <w:rPr>
          <w:sz w:val="24"/>
          <w:szCs w:val="24"/>
          <w:color w:val="auto"/>
        </w:rPr>
      </w:pPr>
    </w:p>
    <w:p>
      <w:pPr>
        <w:jc w:val="center"/>
        <w:ind w:right="-48"/>
        <w:spacing w:after="0"/>
        <w:rPr>
          <w:sz w:val="20"/>
          <w:szCs w:val="20"/>
          <w:color w:val="auto"/>
        </w:rPr>
      </w:pPr>
      <w:r>
        <w:rPr>
          <w:rFonts w:ascii="Arial" w:cs="Arial" w:eastAsia="Arial" w:hAnsi="Arial"/>
          <w:sz w:val="27"/>
          <w:szCs w:val="27"/>
          <w:b w:val="1"/>
          <w:bCs w:val="1"/>
          <w:color w:val="auto"/>
        </w:rPr>
        <w:t>Churchill Capital Corp IV</w:t>
      </w:r>
    </w:p>
    <w:p>
      <w:pPr>
        <w:spacing w:after="0" w:line="32" w:lineRule="exact"/>
        <w:rPr>
          <w:sz w:val="24"/>
          <w:szCs w:val="24"/>
          <w:color w:val="auto"/>
        </w:rPr>
      </w:pPr>
    </w:p>
    <w:p>
      <w:pPr>
        <w:jc w:val="center"/>
        <w:ind w:right="-48"/>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71" w:lineRule="exact"/>
        <w:rPr>
          <w:sz w:val="24"/>
          <w:szCs w:val="24"/>
          <w:color w:val="auto"/>
        </w:rPr>
      </w:pPr>
    </w:p>
    <w:tbl>
      <w:tblPr>
        <w:tblLayout w:type="fixed"/>
        <w:tblInd w:w="1489" w:type="dxa"/>
        <w:tblCellMar>
          <w:top w:w="0" w:type="dxa"/>
          <w:left w:w="0" w:type="dxa"/>
          <w:bottom w:w="0" w:type="dxa"/>
          <w:right w:w="0" w:type="dxa"/>
        </w:tblCellMar>
      </w:tblPr>
      <w:tr>
        <w:trPr>
          <w:trHeight w:val="186"/>
        </w:trPr>
        <w:tc>
          <w:tcPr>
            <w:tcW w:w="2300" w:type="dxa"/>
            <w:vAlign w:val="bottom"/>
          </w:tcPr>
          <w:p>
            <w:pPr>
              <w:jc w:val="center"/>
              <w:ind w:right="1364"/>
              <w:spacing w:after="0"/>
              <w:rPr>
                <w:sz w:val="20"/>
                <w:szCs w:val="20"/>
                <w:color w:val="auto"/>
              </w:rPr>
            </w:pPr>
            <w:r>
              <w:rPr>
                <w:rFonts w:ascii="Arial" w:cs="Arial" w:eastAsia="Arial" w:hAnsi="Arial"/>
                <w:sz w:val="15"/>
                <w:szCs w:val="15"/>
                <w:b w:val="1"/>
                <w:bCs w:val="1"/>
                <w:color w:val="auto"/>
                <w:w w:val="94"/>
              </w:rPr>
              <w:t>Delaware</w:t>
            </w:r>
          </w:p>
        </w:tc>
        <w:tc>
          <w:tcPr>
            <w:tcW w:w="3820" w:type="dxa"/>
            <w:vAlign w:val="bottom"/>
          </w:tcPr>
          <w:p>
            <w:pPr>
              <w:jc w:val="center"/>
              <w:ind w:left="44"/>
              <w:spacing w:after="0"/>
              <w:rPr>
                <w:sz w:val="20"/>
                <w:szCs w:val="20"/>
                <w:color w:val="auto"/>
              </w:rPr>
            </w:pPr>
            <w:r>
              <w:rPr>
                <w:rFonts w:ascii="Arial" w:cs="Arial" w:eastAsia="Arial" w:hAnsi="Arial"/>
                <w:sz w:val="15"/>
                <w:szCs w:val="15"/>
                <w:b w:val="1"/>
                <w:bCs w:val="1"/>
                <w:color w:val="auto"/>
                <w:w w:val="91"/>
              </w:rPr>
              <w:t>001-39408</w:t>
            </w:r>
          </w:p>
        </w:tc>
        <w:tc>
          <w:tcPr>
            <w:tcW w:w="2420" w:type="dxa"/>
            <w:vAlign w:val="bottom"/>
          </w:tcPr>
          <w:p>
            <w:pPr>
              <w:jc w:val="center"/>
              <w:ind w:left="1224"/>
              <w:spacing w:after="0"/>
              <w:rPr>
                <w:sz w:val="20"/>
                <w:szCs w:val="20"/>
                <w:color w:val="auto"/>
              </w:rPr>
            </w:pPr>
            <w:r>
              <w:rPr>
                <w:rFonts w:ascii="Arial" w:cs="Arial" w:eastAsia="Arial" w:hAnsi="Arial"/>
                <w:sz w:val="15"/>
                <w:szCs w:val="15"/>
                <w:b w:val="1"/>
                <w:bCs w:val="1"/>
                <w:color w:val="auto"/>
                <w:w w:val="89"/>
              </w:rPr>
              <w:t>85-0891392</w:t>
            </w:r>
          </w:p>
        </w:tc>
      </w:tr>
      <w:tr>
        <w:trPr>
          <w:trHeight w:val="182"/>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89"/>
              </w:rPr>
              <w:t>(State or other</w:t>
            </w:r>
          </w:p>
        </w:tc>
        <w:tc>
          <w:tcPr>
            <w:tcW w:w="3820" w:type="dxa"/>
            <w:vAlign w:val="bottom"/>
          </w:tcPr>
          <w:p>
            <w:pPr>
              <w:jc w:val="center"/>
              <w:ind w:left="44"/>
              <w:spacing w:after="0"/>
              <w:rPr>
                <w:sz w:val="20"/>
                <w:szCs w:val="20"/>
                <w:color w:val="auto"/>
              </w:rPr>
            </w:pPr>
            <w:r>
              <w:rPr>
                <w:rFonts w:ascii="Arial" w:cs="Arial" w:eastAsia="Arial" w:hAnsi="Arial"/>
                <w:sz w:val="15"/>
                <w:szCs w:val="15"/>
                <w:color w:val="auto"/>
                <w:w w:val="94"/>
              </w:rPr>
              <w:t>(Commission File</w:t>
            </w:r>
          </w:p>
        </w:tc>
        <w:tc>
          <w:tcPr>
            <w:tcW w:w="2420" w:type="dxa"/>
            <w:vAlign w:val="bottom"/>
          </w:tcPr>
          <w:p>
            <w:pPr>
              <w:jc w:val="center"/>
              <w:ind w:left="1224"/>
              <w:spacing w:after="0"/>
              <w:rPr>
                <w:sz w:val="20"/>
                <w:szCs w:val="20"/>
                <w:color w:val="auto"/>
              </w:rPr>
            </w:pPr>
            <w:r>
              <w:rPr>
                <w:rFonts w:ascii="Arial" w:cs="Arial" w:eastAsia="Arial" w:hAnsi="Arial"/>
                <w:sz w:val="15"/>
                <w:szCs w:val="15"/>
                <w:color w:val="auto"/>
                <w:w w:val="94"/>
              </w:rPr>
              <w:t>(I.R.S. Employer</w:t>
            </w:r>
          </w:p>
        </w:tc>
      </w:tr>
      <w:tr>
        <w:trPr>
          <w:trHeight w:val="182"/>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98"/>
              </w:rPr>
              <w:t>jurisdiction of</w:t>
            </w:r>
          </w:p>
        </w:tc>
        <w:tc>
          <w:tcPr>
            <w:tcW w:w="3820" w:type="dxa"/>
            <w:vAlign w:val="bottom"/>
          </w:tcPr>
          <w:p>
            <w:pPr>
              <w:jc w:val="center"/>
              <w:ind w:left="44"/>
              <w:spacing w:after="0"/>
              <w:rPr>
                <w:sz w:val="20"/>
                <w:szCs w:val="20"/>
                <w:color w:val="auto"/>
              </w:rPr>
            </w:pPr>
            <w:r>
              <w:rPr>
                <w:rFonts w:ascii="Arial" w:cs="Arial" w:eastAsia="Arial" w:hAnsi="Arial"/>
                <w:sz w:val="15"/>
                <w:szCs w:val="15"/>
                <w:color w:val="auto"/>
                <w:w w:val="92"/>
              </w:rPr>
              <w:t>Number)</w:t>
            </w:r>
          </w:p>
        </w:tc>
        <w:tc>
          <w:tcPr>
            <w:tcW w:w="2420" w:type="dxa"/>
            <w:vAlign w:val="bottom"/>
          </w:tcPr>
          <w:p>
            <w:pPr>
              <w:jc w:val="center"/>
              <w:ind w:left="1224"/>
              <w:spacing w:after="0"/>
              <w:rPr>
                <w:sz w:val="20"/>
                <w:szCs w:val="20"/>
                <w:color w:val="auto"/>
              </w:rPr>
            </w:pPr>
            <w:r>
              <w:rPr>
                <w:rFonts w:ascii="Arial" w:cs="Arial" w:eastAsia="Arial" w:hAnsi="Arial"/>
                <w:sz w:val="15"/>
                <w:szCs w:val="15"/>
                <w:color w:val="auto"/>
                <w:w w:val="95"/>
              </w:rPr>
              <w:t>Identification No.)</w:t>
            </w:r>
          </w:p>
        </w:tc>
      </w:tr>
      <w:tr>
        <w:trPr>
          <w:trHeight w:val="191"/>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93"/>
              </w:rPr>
              <w:t>incorporation)</w:t>
            </w:r>
          </w:p>
        </w:tc>
        <w:tc>
          <w:tcPr>
            <w:tcW w:w="3820" w:type="dxa"/>
            <w:vAlign w:val="bottom"/>
          </w:tcPr>
          <w:p>
            <w:pPr>
              <w:spacing w:after="0"/>
              <w:rPr>
                <w:sz w:val="16"/>
                <w:szCs w:val="16"/>
                <w:color w:val="auto"/>
              </w:rPr>
            </w:pPr>
          </w:p>
        </w:tc>
        <w:tc>
          <w:tcPr>
            <w:tcW w:w="2420" w:type="dxa"/>
            <w:vAlign w:val="bottom"/>
          </w:tcPr>
          <w:p>
            <w:pPr>
              <w:spacing w:after="0"/>
              <w:rPr>
                <w:sz w:val="16"/>
                <w:szCs w:val="16"/>
                <w:color w:val="auto"/>
              </w:rPr>
            </w:pPr>
          </w:p>
        </w:tc>
      </w:tr>
    </w:tbl>
    <w:p>
      <w:pPr>
        <w:spacing w:after="0" w:line="170" w:lineRule="exact"/>
        <w:rPr>
          <w:sz w:val="24"/>
          <w:szCs w:val="24"/>
          <w:color w:val="auto"/>
        </w:rPr>
      </w:pPr>
    </w:p>
    <w:p>
      <w:pPr>
        <w:sectPr>
          <w:pgSz w:w="11900" w:h="16838" w:orient="portrait"/>
          <w:cols w:equalWidth="0" w:num="1">
            <w:col w:w="11209"/>
          </w:cols>
          <w:pgMar w:left="311" w:top="469" w:right="379" w:bottom="1440" w:gutter="0" w:footer="0" w:header="0"/>
        </w:sectPr>
      </w:pPr>
    </w:p>
    <w:p>
      <w:pPr>
        <w:jc w:val="center"/>
        <w:ind w:right="1791"/>
        <w:spacing w:after="0"/>
        <w:rPr>
          <w:sz w:val="20"/>
          <w:szCs w:val="20"/>
          <w:color w:val="auto"/>
        </w:rPr>
      </w:pPr>
      <w:r>
        <w:rPr>
          <w:rFonts w:ascii="Arial" w:cs="Arial" w:eastAsia="Arial" w:hAnsi="Arial"/>
          <w:sz w:val="15"/>
          <w:szCs w:val="15"/>
          <w:b w:val="1"/>
          <w:bCs w:val="1"/>
          <w:color w:val="auto"/>
        </w:rPr>
        <w:t>640 Fifth Avenue, 12</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w:t>
      </w:r>
    </w:p>
    <w:p>
      <w:pPr>
        <w:spacing w:after="0" w:line="55" w:lineRule="exact"/>
        <w:rPr>
          <w:sz w:val="24"/>
          <w:szCs w:val="24"/>
          <w:color w:val="auto"/>
        </w:rPr>
      </w:pPr>
    </w:p>
    <w:p>
      <w:pPr>
        <w:jc w:val="center"/>
        <w:ind w:right="1791"/>
        <w:spacing w:after="0"/>
        <w:rPr>
          <w:sz w:val="20"/>
          <w:szCs w:val="20"/>
          <w:color w:val="auto"/>
        </w:rPr>
      </w:pPr>
      <w:r>
        <w:rPr>
          <w:rFonts w:ascii="Arial" w:cs="Arial" w:eastAsia="Arial" w:hAnsi="Arial"/>
          <w:sz w:val="15"/>
          <w:szCs w:val="15"/>
          <w:b w:val="1"/>
          <w:bCs w:val="1"/>
          <w:color w:val="auto"/>
        </w:rPr>
        <w:t>New York, NY</w:t>
      </w:r>
    </w:p>
    <w:p>
      <w:pPr>
        <w:spacing w:after="0" w:line="9" w:lineRule="exact"/>
        <w:rPr>
          <w:sz w:val="24"/>
          <w:szCs w:val="24"/>
          <w:color w:val="auto"/>
        </w:rPr>
      </w:pPr>
    </w:p>
    <w:p>
      <w:pPr>
        <w:jc w:val="center"/>
        <w:ind w:right="1791"/>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Arial" w:cs="Arial" w:eastAsia="Arial" w:hAnsi="Arial"/>
          <w:sz w:val="15"/>
          <w:szCs w:val="15"/>
          <w:b w:val="1"/>
          <w:bCs w:val="1"/>
          <w:color w:val="auto"/>
        </w:rPr>
        <w:t>10019</w:t>
      </w:r>
    </w:p>
    <w:p>
      <w:pPr>
        <w:spacing w:after="0" w:line="22" w:lineRule="exact"/>
        <w:rPr>
          <w:sz w:val="24"/>
          <w:szCs w:val="24"/>
          <w:color w:val="auto"/>
        </w:rPr>
      </w:pPr>
    </w:p>
    <w:p>
      <w:pPr>
        <w:jc w:val="center"/>
        <w:ind w:right="2360"/>
        <w:spacing w:after="0"/>
        <w:rPr>
          <w:sz w:val="20"/>
          <w:szCs w:val="20"/>
          <w:color w:val="auto"/>
        </w:rPr>
      </w:pPr>
      <w:r>
        <w:rPr>
          <w:rFonts w:ascii="Arial" w:cs="Arial" w:eastAsia="Arial" w:hAnsi="Arial"/>
          <w:sz w:val="14"/>
          <w:szCs w:val="14"/>
          <w:color w:val="auto"/>
        </w:rPr>
        <w:t>(Zip Code)</w:t>
      </w:r>
    </w:p>
    <w:p>
      <w:pPr>
        <w:spacing w:after="0" w:line="189" w:lineRule="exact"/>
        <w:rPr>
          <w:sz w:val="24"/>
          <w:szCs w:val="24"/>
          <w:color w:val="auto"/>
        </w:rPr>
      </w:pPr>
    </w:p>
    <w:p>
      <w:pPr>
        <w:sectPr>
          <w:pgSz w:w="11900" w:h="16838" w:orient="portrait"/>
          <w:cols w:equalWidth="0" w:num="2">
            <w:col w:w="7449" w:space="720"/>
            <w:col w:w="3040"/>
          </w:cols>
          <w:pgMar w:left="311" w:top="469" w:right="379" w:bottom="1440" w:gutter="0" w:footer="0" w:header="0"/>
          <w:type w:val="continuous"/>
        </w:sectPr>
      </w:pPr>
    </w:p>
    <w:p>
      <w:pPr>
        <w:jc w:val="center"/>
        <w:ind w:right="-48"/>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380-7500</w:t>
      </w:r>
    </w:p>
    <w:p>
      <w:pPr>
        <w:spacing w:after="0" w:line="191"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Not Applicable</w:t>
      </w:r>
    </w:p>
    <w:p>
      <w:pPr>
        <w:spacing w:after="0" w:line="22" w:lineRule="exact"/>
        <w:rPr>
          <w:sz w:val="24"/>
          <w:szCs w:val="24"/>
          <w:color w:val="auto"/>
        </w:rPr>
      </w:pPr>
    </w:p>
    <w:p>
      <w:pPr>
        <w:jc w:val="center"/>
        <w:ind w:right="-48"/>
        <w:spacing w:after="0"/>
        <w:rPr>
          <w:sz w:val="20"/>
          <w:szCs w:val="20"/>
          <w:color w:val="auto"/>
        </w:rPr>
      </w:pPr>
      <w:r>
        <w:rPr>
          <w:rFonts w:ascii="Arial" w:cs="Arial" w:eastAsia="Arial" w:hAnsi="Arial"/>
          <w:sz w:val="15"/>
          <w:szCs w:val="15"/>
          <w:i w:val="1"/>
          <w:iCs w:val="1"/>
          <w:color w:val="auto"/>
        </w:rPr>
        <w:t>(Former name or former address, if changed since last report)</w:t>
      </w:r>
    </w:p>
    <w:p>
      <w:pPr>
        <w:spacing w:after="0" w:line="182" w:lineRule="exact"/>
        <w:rPr>
          <w:sz w:val="24"/>
          <w:szCs w:val="24"/>
          <w:color w:val="auto"/>
        </w:rPr>
      </w:pPr>
    </w:p>
    <w:p>
      <w:pPr>
        <w:ind w:left="9" w:right="240"/>
        <w:spacing w:after="0" w:line="27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46"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77" w:lineRule="exact"/>
        <w:rPr>
          <w:sz w:val="24"/>
          <w:szCs w:val="24"/>
          <w:color w:val="auto"/>
        </w:rPr>
      </w:pPr>
    </w:p>
    <w:tbl>
      <w:tblPr>
        <w:tblLayout w:type="fixed"/>
        <w:tblInd w:w="89"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3080" w:type="dxa"/>
            <w:vAlign w:val="bottom"/>
            <w:gridSpan w:val="2"/>
          </w:tcPr>
          <w:p>
            <w:pPr>
              <w:jc w:val="center"/>
              <w:ind w:right="2000"/>
              <w:spacing w:after="0"/>
              <w:rPr>
                <w:sz w:val="20"/>
                <w:szCs w:val="20"/>
                <w:color w:val="auto"/>
              </w:rPr>
            </w:pPr>
            <w:r>
              <w:rPr>
                <w:rFonts w:ascii="Arial" w:cs="Arial" w:eastAsia="Arial" w:hAnsi="Arial"/>
                <w:sz w:val="15"/>
                <w:szCs w:val="15"/>
                <w:color w:val="auto"/>
                <w:w w:val="89"/>
              </w:rPr>
              <w:t>Title of each class</w:t>
            </w:r>
          </w:p>
        </w:tc>
        <w:tc>
          <w:tcPr>
            <w:tcW w:w="2740" w:type="dxa"/>
            <w:vAlign w:val="bottom"/>
            <w:gridSpan w:val="3"/>
          </w:tcPr>
          <w:p>
            <w:pPr>
              <w:jc w:val="center"/>
              <w:ind w:right="1160"/>
              <w:spacing w:after="0"/>
              <w:rPr>
                <w:sz w:val="20"/>
                <w:szCs w:val="20"/>
                <w:color w:val="auto"/>
              </w:rPr>
            </w:pPr>
            <w:r>
              <w:rPr>
                <w:rFonts w:ascii="Arial" w:cs="Arial" w:eastAsia="Arial" w:hAnsi="Arial"/>
                <w:sz w:val="15"/>
                <w:szCs w:val="15"/>
                <w:color w:val="auto"/>
                <w:w w:val="93"/>
              </w:rPr>
              <w:t>Trading Symbol</w:t>
            </w:r>
          </w:p>
        </w:tc>
        <w:tc>
          <w:tcPr>
            <w:tcW w:w="2680" w:type="dxa"/>
            <w:vAlign w:val="bottom"/>
          </w:tcPr>
          <w:p>
            <w:pPr>
              <w:jc w:val="center"/>
              <w:spacing w:after="0"/>
              <w:rPr>
                <w:sz w:val="20"/>
                <w:szCs w:val="20"/>
                <w:color w:val="auto"/>
              </w:rPr>
            </w:pPr>
            <w:r>
              <w:rPr>
                <w:rFonts w:ascii="Arial" w:cs="Arial" w:eastAsia="Arial" w:hAnsi="Arial"/>
                <w:sz w:val="15"/>
                <w:szCs w:val="15"/>
                <w:color w:val="auto"/>
                <w:w w:val="90"/>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85"/>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0"/>
              </w:rPr>
              <w:t>Units, each consisting of one share of Class A common stock, $0.0001 par</w:t>
            </w:r>
          </w:p>
        </w:tc>
        <w:tc>
          <w:tcPr>
            <w:tcW w:w="300" w:type="dxa"/>
            <w:vAlign w:val="bottom"/>
          </w:tcPr>
          <w:p>
            <w:pPr>
              <w:spacing w:after="0"/>
              <w:rPr>
                <w:sz w:val="16"/>
                <w:szCs w:val="16"/>
                <w:color w:val="auto"/>
              </w:rPr>
            </w:pPr>
          </w:p>
        </w:tc>
        <w:tc>
          <w:tcPr>
            <w:tcW w:w="2440" w:type="dxa"/>
            <w:vAlign w:val="bottom"/>
            <w:gridSpan w:val="2"/>
          </w:tcPr>
          <w:p>
            <w:pPr>
              <w:jc w:val="center"/>
              <w:ind w:right="1480"/>
              <w:spacing w:after="0"/>
              <w:rPr>
                <w:sz w:val="20"/>
                <w:szCs w:val="20"/>
                <w:color w:val="auto"/>
              </w:rPr>
            </w:pPr>
            <w:r>
              <w:rPr>
                <w:rFonts w:ascii="Arial" w:cs="Arial" w:eastAsia="Arial" w:hAnsi="Arial"/>
                <w:sz w:val="15"/>
                <w:szCs w:val="15"/>
                <w:color w:val="auto"/>
                <w:w w:val="94"/>
              </w:rPr>
              <w:t>CCIV.U</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191"/>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2"/>
              </w:rPr>
              <w:t>value, and one-fifth of one warrant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363"/>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0"/>
              </w:rPr>
              <w:t>Shares of Class A common Stock</w:t>
            </w:r>
          </w:p>
        </w:tc>
        <w:tc>
          <w:tcPr>
            <w:tcW w:w="300" w:type="dxa"/>
            <w:vAlign w:val="bottom"/>
          </w:tcPr>
          <w:p>
            <w:pPr>
              <w:spacing w:after="0"/>
              <w:rPr>
                <w:sz w:val="24"/>
                <w:szCs w:val="24"/>
                <w:color w:val="auto"/>
              </w:rPr>
            </w:pPr>
          </w:p>
        </w:tc>
        <w:tc>
          <w:tcPr>
            <w:tcW w:w="2440" w:type="dxa"/>
            <w:vAlign w:val="bottom"/>
            <w:gridSpan w:val="2"/>
          </w:tcPr>
          <w:p>
            <w:pPr>
              <w:jc w:val="center"/>
              <w:ind w:right="1480"/>
              <w:spacing w:after="0"/>
              <w:rPr>
                <w:sz w:val="20"/>
                <w:szCs w:val="20"/>
                <w:color w:val="auto"/>
              </w:rPr>
            </w:pPr>
            <w:r>
              <w:rPr>
                <w:rFonts w:ascii="Arial" w:cs="Arial" w:eastAsia="Arial" w:hAnsi="Arial"/>
                <w:sz w:val="15"/>
                <w:szCs w:val="15"/>
                <w:color w:val="auto"/>
              </w:rPr>
              <w:t>CCIV</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363"/>
        </w:trPr>
        <w:tc>
          <w:tcPr>
            <w:tcW w:w="1720" w:type="dxa"/>
            <w:vAlign w:val="bottom"/>
          </w:tcPr>
          <w:p>
            <w:pPr>
              <w:spacing w:after="0"/>
              <w:rPr>
                <w:sz w:val="24"/>
                <w:szCs w:val="24"/>
                <w:color w:val="auto"/>
              </w:rPr>
            </w:pPr>
          </w:p>
        </w:tc>
        <w:tc>
          <w:tcPr>
            <w:tcW w:w="3080" w:type="dxa"/>
            <w:vAlign w:val="bottom"/>
            <w:gridSpan w:val="2"/>
          </w:tcPr>
          <w:p>
            <w:pPr>
              <w:jc w:val="center"/>
              <w:ind w:right="2020"/>
              <w:spacing w:after="0"/>
              <w:rPr>
                <w:sz w:val="20"/>
                <w:szCs w:val="20"/>
                <w:color w:val="auto"/>
              </w:rPr>
            </w:pPr>
            <w:r>
              <w:rPr>
                <w:rFonts w:ascii="Arial" w:cs="Arial" w:eastAsia="Arial" w:hAnsi="Arial"/>
                <w:sz w:val="15"/>
                <w:szCs w:val="15"/>
                <w:color w:val="auto"/>
                <w:w w:val="88"/>
              </w:rPr>
              <w:t>Warrants</w:t>
            </w:r>
          </w:p>
        </w:tc>
        <w:tc>
          <w:tcPr>
            <w:tcW w:w="300" w:type="dxa"/>
            <w:vAlign w:val="bottom"/>
          </w:tcPr>
          <w:p>
            <w:pPr>
              <w:spacing w:after="0"/>
              <w:rPr>
                <w:sz w:val="24"/>
                <w:szCs w:val="24"/>
                <w:color w:val="auto"/>
              </w:rPr>
            </w:pPr>
          </w:p>
        </w:tc>
        <w:tc>
          <w:tcPr>
            <w:tcW w:w="2440" w:type="dxa"/>
            <w:vAlign w:val="bottom"/>
            <w:gridSpan w:val="2"/>
          </w:tcPr>
          <w:p>
            <w:pPr>
              <w:jc w:val="center"/>
              <w:ind w:right="1480"/>
              <w:spacing w:after="0"/>
              <w:rPr>
                <w:sz w:val="20"/>
                <w:szCs w:val="20"/>
                <w:color w:val="auto"/>
              </w:rPr>
            </w:pPr>
            <w:r>
              <w:rPr>
                <w:rFonts w:ascii="Arial" w:cs="Arial" w:eastAsia="Arial" w:hAnsi="Arial"/>
                <w:sz w:val="15"/>
                <w:szCs w:val="15"/>
                <w:color w:val="auto"/>
                <w:w w:val="99"/>
              </w:rPr>
              <w:t>CCIV WS</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bl>
    <w:p>
      <w:pPr>
        <w:spacing w:after="0" w:line="173" w:lineRule="exact"/>
        <w:rPr>
          <w:sz w:val="24"/>
          <w:szCs w:val="24"/>
          <w:color w:val="auto"/>
        </w:rPr>
      </w:pPr>
    </w:p>
    <w:p>
      <w:pPr>
        <w:ind w:left="9" w:right="400"/>
        <w:spacing w:after="0" w:line="27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21" w:lineRule="exact"/>
        <w:rPr>
          <w:sz w:val="24"/>
          <w:szCs w:val="24"/>
          <w:color w:val="auto"/>
        </w:rPr>
      </w:pPr>
    </w:p>
    <w:p>
      <w:pPr>
        <w:ind w:left="9"/>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539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53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278765</wp:posOffset>
            </wp:positionV>
            <wp:extent cx="7153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9"/>
          </w:cols>
          <w:pgMar w:left="311" w:top="469" w:right="379" w:bottom="1440" w:gutter="0" w:footer="0" w:header="0"/>
          <w:type w:val="continuous"/>
        </w:sectPr>
      </w:pPr>
    </w:p>
    <w:bookmarkStart w:id="1" w:name="page2"/>
    <w:bookmarkEnd w:id="1"/>
    <w:p>
      <w:pPr>
        <w:ind w:left="5"/>
        <w:spacing w:after="0"/>
        <w:tabs>
          <w:tab w:leader="none" w:pos="1085"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5"/>
          <w:szCs w:val="15"/>
          <w:color w:val="auto"/>
        </w:rPr>
        <w:t>Attached as Exhibit 99.1 and incorporated by reference herein is information discussed by Atieva, Inc. d/b/a Lucid Motors at its analyst day on May 13, 2021.</w:t>
      </w:r>
    </w:p>
    <w:p>
      <w:pPr>
        <w:spacing w:after="0" w:line="191" w:lineRule="exact"/>
        <w:rPr>
          <w:sz w:val="20"/>
          <w:szCs w:val="20"/>
          <w:color w:val="auto"/>
        </w:rPr>
      </w:pPr>
    </w:p>
    <w:p>
      <w:pPr>
        <w:ind w:left="5"/>
        <w:spacing w:after="0" w:line="261" w:lineRule="auto"/>
        <w:rPr>
          <w:sz w:val="20"/>
          <w:szCs w:val="20"/>
          <w:color w:val="auto"/>
        </w:rPr>
      </w:pPr>
      <w:r>
        <w:rPr>
          <w:rFonts w:ascii="Arial" w:cs="Arial" w:eastAsia="Arial" w:hAnsi="Arial"/>
          <w:sz w:val="15"/>
          <w:szCs w:val="15"/>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Churchill Capital Corp IV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54" w:lineRule="exact"/>
        <w:rPr>
          <w:sz w:val="20"/>
          <w:szCs w:val="20"/>
          <w:color w:val="auto"/>
        </w:rPr>
      </w:pPr>
    </w:p>
    <w:p>
      <w:pPr>
        <w:ind w:left="5"/>
        <w:spacing w:after="0"/>
        <w:tabs>
          <w:tab w:leader="none" w:pos="1085"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91" w:lineRule="exact"/>
        <w:rPr>
          <w:sz w:val="20"/>
          <w:szCs w:val="20"/>
          <w:color w:val="auto"/>
        </w:rPr>
      </w:pPr>
    </w:p>
    <w:p>
      <w:pPr>
        <w:ind w:left="545" w:hanging="545"/>
        <w:spacing w:after="0"/>
        <w:tabs>
          <w:tab w:leader="none" w:pos="545"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94" w:lineRule="exact"/>
        <w:rPr>
          <w:rFonts w:ascii="Arial" w:cs="Arial" w:eastAsia="Arial" w:hAnsi="Arial"/>
          <w:sz w:val="15"/>
          <w:szCs w:val="15"/>
          <w:b w:val="1"/>
          <w:bCs w:val="1"/>
          <w:color w:val="auto"/>
        </w:rPr>
      </w:pPr>
    </w:p>
    <w:p>
      <w:pPr>
        <w:ind w:left="545"/>
        <w:spacing w:after="0"/>
        <w:rPr>
          <w:rFonts w:ascii="Arial" w:cs="Arial" w:eastAsia="Arial" w:hAnsi="Arial"/>
          <w:sz w:val="15"/>
          <w:szCs w:val="15"/>
          <w:b w:val="1"/>
          <w:bCs w:val="1"/>
          <w:color w:val="auto"/>
        </w:rPr>
      </w:pPr>
      <w:r>
        <w:rPr>
          <w:rFonts w:ascii="Arial" w:cs="Arial" w:eastAsia="Arial" w:hAnsi="Arial"/>
          <w:sz w:val="15"/>
          <w:szCs w:val="15"/>
          <w:color w:val="auto"/>
        </w:rPr>
        <w:t>The Exhibit Index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5"/>
          </w:cols>
          <w:pgMar w:left="315" w:top="613"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5"/>
          <w:szCs w:val="15"/>
          <w:b w:val="1"/>
          <w:bCs w:val="1"/>
          <w:color w:val="auto"/>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60" w:type="dxa"/>
            <w:vAlign w:val="bottom"/>
            <w:gridSpan w:val="3"/>
          </w:tcPr>
          <w:p>
            <w:pPr>
              <w:spacing w:after="0"/>
              <w:rPr>
                <w:sz w:val="20"/>
                <w:szCs w:val="20"/>
                <w:color w:val="auto"/>
              </w:rPr>
            </w:pPr>
            <w:r>
              <w:rPr>
                <w:rFonts w:ascii="Arial" w:cs="Arial" w:eastAsia="Arial" w:hAnsi="Arial"/>
                <w:sz w:val="15"/>
                <w:szCs w:val="15"/>
                <w:b w:val="1"/>
                <w:bCs w:val="1"/>
                <w:color w:val="auto"/>
              </w:rPr>
              <w:t>Exhibit No.</w:t>
            </w:r>
          </w:p>
        </w:tc>
        <w:tc>
          <w:tcPr>
            <w:tcW w:w="990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r>
      <w:tr>
        <w:trPr>
          <w:trHeight w:val="140"/>
        </w:trPr>
        <w:tc>
          <w:tcPr>
            <w:tcW w:w="1120" w:type="dxa"/>
            <w:vAlign w:val="bottom"/>
            <w:tcBorders>
              <w:top w:val="single" w:sz="8" w:color="auto"/>
            </w:tcBorders>
            <w:gridSpan w:val="2"/>
          </w:tcPr>
          <w:p>
            <w:pPr>
              <w:spacing w:after="0" w:line="140" w:lineRule="exact"/>
              <w:rPr>
                <w:rFonts w:ascii="Arial" w:cs="Arial" w:eastAsia="Arial" w:hAnsi="Arial"/>
                <w:sz w:val="15"/>
                <w:szCs w:val="15"/>
                <w:color w:val="0000EE"/>
              </w:rPr>
            </w:pPr>
            <w:hyperlink w:anchor="page5">
              <w:r>
                <w:rPr>
                  <w:rFonts w:ascii="Arial" w:cs="Arial" w:eastAsia="Arial" w:hAnsi="Arial"/>
                  <w:sz w:val="15"/>
                  <w:szCs w:val="15"/>
                  <w:color w:val="0000EE"/>
                </w:rPr>
                <w:t>99.</w:t>
              </w:r>
              <w:r>
                <w:rPr>
                  <w:rFonts w:ascii="Arial" w:cs="Arial" w:eastAsia="Arial" w:hAnsi="Arial"/>
                  <w:sz w:val="15"/>
                  <w:szCs w:val="15"/>
                  <w:u w:val="single" w:color="auto"/>
                  <w:color w:val="0000EE"/>
                </w:rPr>
                <w:t>1</w:t>
              </w:r>
            </w:hyperlink>
          </w:p>
        </w:tc>
        <w:tc>
          <w:tcPr>
            <w:tcW w:w="240" w:type="dxa"/>
            <w:vAlign w:val="bottom"/>
          </w:tcPr>
          <w:p>
            <w:pPr>
              <w:spacing w:after="0"/>
              <w:rPr>
                <w:sz w:val="12"/>
                <w:szCs w:val="12"/>
                <w:color w:val="auto"/>
              </w:rPr>
            </w:pPr>
          </w:p>
        </w:tc>
        <w:tc>
          <w:tcPr>
            <w:tcW w:w="9900" w:type="dxa"/>
            <w:vAlign w:val="bottom"/>
            <w:tcBorders>
              <w:top w:val="single" w:sz="8" w:color="auto"/>
            </w:tcBorders>
            <w:gridSpan w:val="2"/>
          </w:tcPr>
          <w:p>
            <w:pPr>
              <w:spacing w:after="0" w:line="140" w:lineRule="exact"/>
              <w:rPr>
                <w:rFonts w:ascii="Arial" w:cs="Arial" w:eastAsia="Arial" w:hAnsi="Arial"/>
                <w:sz w:val="15"/>
                <w:szCs w:val="15"/>
                <w:color w:val="0000EE"/>
              </w:rPr>
            </w:pPr>
            <w:hyperlink w:anchor="page5">
              <w:r>
                <w:rPr>
                  <w:rFonts w:ascii="Arial" w:cs="Arial" w:eastAsia="Arial" w:hAnsi="Arial"/>
                  <w:sz w:val="15"/>
                  <w:szCs w:val="15"/>
                  <w:color w:val="0000EE"/>
                </w:rPr>
                <w:t>Analyst Day Information.</w:t>
              </w:r>
            </w:hyperlink>
          </w:p>
        </w:tc>
      </w:tr>
      <w:tr>
        <w:trPr>
          <w:trHeight w:val="582"/>
        </w:trPr>
        <w:tc>
          <w:tcPr>
            <w:tcW w:w="26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4" w:right="31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5"/>
          <w:szCs w:val="15"/>
          <w:b w:val="1"/>
          <w:bCs w:val="1"/>
          <w:color w:val="auto"/>
        </w:rPr>
        <w:t>SIGNATURE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Dated: May 13, 2021</w:t>
      </w:r>
    </w:p>
    <w:p>
      <w:pPr>
        <w:spacing w:after="0" w:line="9" w:lineRule="exact"/>
        <w:rPr>
          <w:sz w:val="20"/>
          <w:szCs w:val="20"/>
          <w:color w:val="auto"/>
        </w:rPr>
      </w:pPr>
    </w:p>
    <w:p>
      <w:pPr>
        <w:ind w:left="6760"/>
        <w:spacing w:after="0"/>
        <w:tabs>
          <w:tab w:leader="none" w:pos="71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6985</wp:posOffset>
            </wp:positionV>
            <wp:extent cx="26466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6680" cy="698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5"/>
          <w:szCs w:val="15"/>
          <w:color w:val="auto"/>
        </w:rPr>
        <w:t>Name: Jay Taragin</w:t>
      </w:r>
    </w:p>
    <w:p>
      <w:pPr>
        <w:spacing w:after="0" w:line="18"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539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060"/>
          </w:cols>
          <w:pgMar w:left="320" w:top="784" w:right="519" w:bottom="1440" w:gutter="0" w:footer="0" w:header="0"/>
        </w:sectPr>
      </w:pPr>
    </w:p>
    <w:bookmarkStart w:id="4" w:name="page5"/>
    <w:bookmarkEnd w:id="4"/>
    <w:p>
      <w:pPr>
        <w:ind w:left="9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157480</wp:posOffset>
            </wp:positionV>
            <wp:extent cx="7206615" cy="431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0" w:num="1">
            <w:col w:w="10140"/>
          </w:cols>
          <w:pgMar w:left="1440" w:top="321"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34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6615" cy="4334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26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6615" cy="432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26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6615" cy="432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406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440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276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6615" cy="427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48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6615" cy="4348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2906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661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41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6615" cy="4341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290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661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26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6615" cy="432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34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6615" cy="4334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2021-05-13T15:27:42Z</dcterms:created>
  <dcterms:modified xsi:type="dcterms:W3CDTF">2021-05-13T15:27:42Z</dcterms:modified>
</cp:coreProperties>
</file>