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039729.xml.htm"/>
      <w:bookmarkStart w:id="1" w:name="kswkform4_17810397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Dhingra Gagan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LUCID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GATEWAY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Lucid Group, Inc.</w:t>
              </w:r>
            </w:hyperlink>
            <w:r>
              <w:rPr/>
              <w:t xml:space="preserve"> [ </w:t>
            </w:r>
            <w:r>
              <w:rPr>
                <w:rFonts w:ascii="Times;serif" w:hAnsi="Times;serif"/>
                <w:color w:val="0000FF"/>
                <w:sz w:val="24"/>
                <w:shd w:fill="FFFFFF" w:val="clear"/>
              </w:rPr>
              <w:t>LCID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&amp; Accounting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6,801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5.68</w:t>
            </w:r>
            <w:r>
              <w:rPr/>
              <w:t xml:space="preserve"> </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145,749</w:t>
            </w:r>
            <w:r>
              <w:rPr>
                <w:rFonts w:ascii="Times;serif" w:hAnsi="Times;serif"/>
                <w:color w:val="008000"/>
                <w:position w:val="7"/>
                <w:sz w:val="16"/>
                <w:sz w:val="20"/>
                <w:shd w:fill="FFFFFF" w:val="clear"/>
              </w:rPr>
              <w:t>(2)</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tax withholding and remittance obligations in connection with the settlement of performance-based stock units ("PSUs"), for which service-based vesting requirements have been satisfied, and the vesting of time-based restricted stock units ("RSUs"). The acquisition of such PSUs and RSUs was previously reported on Form 4s filed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427 shares of Class A Common Stock purchased pursuant to the Lucid Group, Inc. 2021 Employee Stock Purchase Plan not previously reported.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Dhingra serves as the issuer's Principal Accounting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Wang, as attorney-in-fact for Gagan Dhingra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dhingra.htm"/>
      <w:bookmarkStart w:id="3" w:name="kssection16poadhingra"/>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LUCID GROUP, INC. POWER OF ATTORNEY Know all by these present, that I, the undersigned director and/or officer of Lucid Group, Inc., a Delaware corporation (the “Company”), hereby constitute and appoint, Brian Tomkiel, Doug Stewart and Bruce Wang and each of them, my true and lawful attorneys-in-fact and agents, with full power to act, together or each without the other, with full power of substitution and resubstitution, for me and in my name, place and stead, in any and all capacities: (i) to execute and file for and on behalf of the undersigned any reports on Forms 3, 4, and 5 (including any amendments thereto and any successors to such Forms) with respect to ownership acquisition or disposition of securities of the Company in accordance with Section 16(a) of the Securities Exchange Act of 1934, as amended (the “Exchange Act”), and the rules promulgated thereunder; (ii) to request electronic filing codes from the U.S. Securities and Exchange Commission by filing the Form ID (including amendments thereto) and any other documents necessary or appropriate to obtain codes and passwords enabling the undersigned to file such reports electronically; (iii) to prepare, file, and submit any Notices of Proposed Sale of Securities Pursuant to Rule 144 (“Form 144”) to permit the undersigned to sell Company common stock without registration under the Securities Act of 1933, as amended (the “Securities Act”) in reliance on Rule 144 as amended from time to time; or (iv) take any other action of any type whatsoever requisite, necessary or advisable to be done in the exercise of any of the rights and powers herein granted, as fully to all intents and purposes as the undersigned might or could do if personally present, it being understood that the documents executed by such attorneys-in-fact on behalf of the undersigned pursuant to this Power of Attorney shall be in such form and shall contain such terms and conditions as such attorneys-in-fact may approve in such attorney-in-fact’s or attorneys-in-fact’s discretion. The undersigned acknowledges that the foregoing attorneys-in-fact,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 This Power of Attorney shall remain in full force and effect until the undersigned is no longer required to file Forms 3, 4, or 5 or Form 144 with respect to the undersigned’s holdings of and transactions in securities issued by the Company, unless earlier revoked by the undersigned in a signed writing delivered to the foregoing attorneys-in-fact. This Power of Attorney revokes and replaces any prior Power of Attorney executed by the undersigned with respect to the ownership, acquisition, or disposition of securities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___________________________________. Name: Gagan Dhingra June 1, 2026 /s/ Gagan Dhingra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9939" TargetMode="External"/><Relationship Id="rId5" Type="http://schemas.openxmlformats.org/officeDocument/2006/relationships/hyperlink" Target="http://www.sec.gov/cgi-bin/browse-edgar?action=getcompany&amp;CIK=00018112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1175</Words>
  <Characters>6339</Characters>
  <CharactersWithSpaces>7456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section16poadhingra</dc:title>
</cp:coreProperties>
</file>