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Date of Report (Date of earliest event reported): September 17, 2020</w:t>
      </w:r>
    </w:p>
    <w:p>
      <w:pPr>
        <w:spacing w:after="0" w:line="4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Churchill Capital Corp IV</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(Exact name of registrant as specified in its charter)</w:t>
      </w:r>
    </w:p>
    <w:p>
      <w:pPr>
        <w:spacing w:after="0" w:line="1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ectPr>
          <w:pgSz w:w="11900" w:h="16838" w:orient="portrait"/>
          <w:cols w:equalWidth="0" w:num="1">
            <w:col w:w="11240"/>
          </w:cols>
          <w:pgMar w:left="320" w:top="540" w:right="339" w:bottom="1440" w:gutter="0" w:footer="0" w:header="0"/>
        </w:sectPr>
      </w:pPr>
    </w:p>
    <w:p>
      <w:pPr>
        <w:spacing w:after="0" w:line="104"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of incorporation)</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001-39408</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i w:val="1"/>
          <w:iCs w:val="1"/>
          <w:color w:val="auto"/>
        </w:rPr>
        <w:t>(Commission</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i w:val="1"/>
          <w:iCs w:val="1"/>
          <w:color w:val="auto"/>
        </w:rPr>
        <w:t>File Number)</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85-0891392</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Identification No.)</w:t>
      </w:r>
    </w:p>
    <w:p>
      <w:pPr>
        <w:spacing w:after="0" w:line="211" w:lineRule="exact"/>
        <w:rPr>
          <w:sz w:val="24"/>
          <w:szCs w:val="24"/>
          <w:color w:val="auto"/>
        </w:rPr>
      </w:pPr>
    </w:p>
    <w:p>
      <w:pPr>
        <w:sectPr>
          <w:pgSz w:w="11900" w:h="16838" w:orient="portrait"/>
          <w:cols w:equalWidth="0" w:num="3">
            <w:col w:w="4420" w:space="720"/>
            <w:col w:w="2840" w:space="720"/>
            <w:col w:w="2540"/>
          </w:cols>
          <w:pgMar w:left="320" w:top="540" w:right="339" w:bottom="1440" w:gutter="0" w:footer="0" w:header="0"/>
          <w:type w:val="continuous"/>
        </w:sectPr>
      </w:pPr>
    </w:p>
    <w:p>
      <w:pPr>
        <w:spacing w:after="0" w:line="4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640 Fifth Avenue, 12</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4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10019</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540" w:right="339" w:bottom="1440" w:gutter="0" w:footer="0" w:header="0"/>
          <w:type w:val="continuous"/>
        </w:sectPr>
      </w:pP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(212) 380-7500</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(Registrant’s telephone number, including area code)</w:t>
      </w:r>
    </w:p>
    <w:p>
      <w:pPr>
        <w:sectPr>
          <w:pgSz w:w="11900" w:h="16838" w:orient="portrait"/>
          <w:cols w:equalWidth="0" w:num="1">
            <w:col w:w="11240"/>
          </w:cols>
          <w:pgMar w:left="320" w:top="540" w:right="339" w:bottom="1440" w:gutter="0" w:footer="0" w:header="0"/>
          <w:type w:val="continuous"/>
        </w:sect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(Former name or former address, if changed since last report)</w:t>
      </w:r>
    </w:p>
    <w:p>
      <w:pPr>
        <w:spacing w:after="0" w:line="1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113" w:lineRule="exact"/>
        <w:rPr>
          <w:sz w:val="24"/>
          <w:szCs w:val="24"/>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Check the appropriate box below if the Form 8-K is intended to simultaneously satisfy the filing obligation of the registrant under any of the following provisions:</w:t>
      </w:r>
    </w:p>
    <w:p>
      <w:pPr>
        <w:spacing w:after="0" w:line="112"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4"/>
        </w:trPr>
        <w:tc>
          <w:tcPr>
            <w:tcW w:w="40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Units, each consisting of one share of</w:t>
            </w:r>
          </w:p>
        </w:tc>
        <w:tc>
          <w:tcPr>
            <w:tcW w:w="320" w:type="dxa"/>
            <w:vAlign w:val="bottom"/>
          </w:tcPr>
          <w:p>
            <w:pPr>
              <w:spacing w:after="0"/>
              <w:rPr>
                <w:sz w:val="14"/>
                <w:szCs w:val="14"/>
                <w:color w:val="auto"/>
              </w:rPr>
            </w:pPr>
          </w:p>
        </w:tc>
        <w:tc>
          <w:tcPr>
            <w:tcW w:w="20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175"/>
        </w:trPr>
        <w:tc>
          <w:tcPr>
            <w:tcW w:w="4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CCIV.U</w:t>
            </w:r>
          </w:p>
        </w:tc>
        <w:tc>
          <w:tcPr>
            <w:tcW w:w="4560" w:type="dxa"/>
            <w:vAlign w:val="bottom"/>
          </w:tcPr>
          <w:p>
            <w:pPr>
              <w:spacing w:after="0"/>
              <w:rPr>
                <w:sz w:val="15"/>
                <w:szCs w:val="15"/>
                <w:color w:val="auto"/>
              </w:rPr>
            </w:pPr>
          </w:p>
        </w:tc>
      </w:tr>
      <w:tr>
        <w:trPr>
          <w:trHeight w:val="190"/>
        </w:trPr>
        <w:tc>
          <w:tcPr>
            <w:tcW w:w="4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$0.0001 par value, and one-fifth of one warrant</w:t>
            </w: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560" w:type="dxa"/>
            <w:vAlign w:val="bottom"/>
          </w:tcPr>
          <w:p>
            <w:pPr>
              <w:spacing w:after="0"/>
              <w:rPr>
                <w:sz w:val="16"/>
                <w:szCs w:val="16"/>
                <w:color w:val="auto"/>
              </w:rPr>
            </w:pPr>
          </w:p>
        </w:tc>
      </w:tr>
      <w:tr>
        <w:trPr>
          <w:trHeight w:val="310"/>
        </w:trPr>
        <w:tc>
          <w:tcPr>
            <w:tcW w:w="4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 Class A common stock</w:t>
            </w:r>
          </w:p>
        </w:tc>
        <w:tc>
          <w:tcPr>
            <w:tcW w:w="2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CCIV</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97"/>
        </w:trPr>
        <w:tc>
          <w:tcPr>
            <w:tcW w:w="4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Warrants included as part of the units</w:t>
            </w:r>
          </w:p>
        </w:tc>
        <w:tc>
          <w:tcPr>
            <w:tcW w:w="2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CCIV WS</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158" w:lineRule="exact"/>
        <w:rPr>
          <w:sz w:val="24"/>
          <w:szCs w:val="24"/>
          <w:color w:val="auto"/>
        </w:rPr>
      </w:pPr>
    </w:p>
    <w:p>
      <w:pPr>
        <w:ind w:right="380"/>
        <w:spacing w:after="0" w:line="284"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227" w:lineRule="exact"/>
        <w:rPr>
          <w:sz w:val="24"/>
          <w:szCs w:val="24"/>
          <w:color w:val="auto"/>
        </w:rPr>
      </w:pPr>
    </w:p>
    <w:p>
      <w:pPr>
        <w:ind w:right="140"/>
        <w:spacing w:after="0" w:line="287"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2"/>
          <w:szCs w:val="22"/>
          <w:color w:val="auto"/>
        </w:rPr>
        <w:t>On September 17, 2020, Churchill Capital Corp IV (the “Company”) issued a press release, a copy of which is attached as Exhibit 99.1 to this Current Report on Form 8-K, announcing that the holders of the Company’s units may elect to separately trade the Class A ordinary shares and warrants comprising the units commencing on September 18, 2020. Those units not separated will continue to trade on the New York Stock Exchange under the symbol “CCIV.U,” and each of the Class A ordinary shares and warrants that are separated will trade on the New York Stock Exchange under the symbols “CCIV” and “CCIV WS,” respectively.</w:t>
      </w:r>
    </w:p>
    <w:p>
      <w:pPr>
        <w:spacing w:after="0" w:line="13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3" w:lineRule="exact"/>
        <w:rPr>
          <w:sz w:val="20"/>
          <w:szCs w:val="20"/>
          <w:color w:val="auto"/>
        </w:rPr>
      </w:pPr>
    </w:p>
    <w:p>
      <w:pPr>
        <w:ind w:left="1440" w:hanging="784"/>
        <w:spacing w:after="0"/>
        <w:tabs>
          <w:tab w:leader="none" w:pos="14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 The following exhibits are filed with this Form 8-K:</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1"/>
                <w:szCs w:val="21"/>
                <w:color w:val="auto"/>
              </w:rPr>
            </w:pPr>
          </w:p>
        </w:tc>
        <w:tc>
          <w:tcPr>
            <w:tcW w:w="9900" w:type="dxa"/>
            <w:vAlign w:val="bottom"/>
            <w:tcBorders>
              <w:bottom w:val="single" w:sz="8" w:color="auto"/>
            </w:tcBorders>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34"/>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99.1</w:t>
            </w:r>
          </w:p>
        </w:tc>
        <w:tc>
          <w:tcPr>
            <w:tcW w:w="100" w:type="dxa"/>
            <w:vAlign w:val="bottom"/>
          </w:tcPr>
          <w:p>
            <w:pPr>
              <w:spacing w:after="0"/>
              <w:rPr>
                <w:sz w:val="20"/>
                <w:szCs w:val="20"/>
                <w:color w:val="auto"/>
              </w:rPr>
            </w:pPr>
          </w:p>
        </w:tc>
        <w:tc>
          <w:tcPr>
            <w:tcW w:w="990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September 17, 2020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Churchill Capital Corp IV</w:t>
      </w:r>
    </w:p>
    <w:p>
      <w:pPr>
        <w:spacing w:after="0" w:line="200" w:lineRule="exact"/>
        <w:rPr>
          <w:sz w:val="20"/>
          <w:szCs w:val="20"/>
          <w:color w:val="auto"/>
        </w:rPr>
      </w:pPr>
    </w:p>
    <w:p>
      <w:pPr>
        <w:spacing w:after="0" w:line="241" w:lineRule="exact"/>
        <w:rPr>
          <w:sz w:val="20"/>
          <w:szCs w:val="20"/>
          <w:color w:val="auto"/>
        </w:rPr>
      </w:pPr>
    </w:p>
    <w:p>
      <w:pPr>
        <w:spacing w:after="0"/>
        <w:tabs>
          <w:tab w:leader="none" w:pos="5900" w:val="left"/>
          <w:tab w:leader="none" w:pos="6480" w:val="left"/>
        </w:tabs>
        <w:rPr>
          <w:sz w:val="20"/>
          <w:szCs w:val="20"/>
          <w:color w:val="auto"/>
        </w:rPr>
      </w:pPr>
      <w:r>
        <w:rPr>
          <w:rFonts w:ascii="Times New Roman" w:cs="Times New Roman" w:eastAsia="Times New Roman" w:hAnsi="Times New Roman"/>
          <w:sz w:val="18"/>
          <w:szCs w:val="18"/>
          <w:color w:val="auto"/>
        </w:rPr>
        <w:t>Date: September 17,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26035</wp:posOffset>
            </wp:positionV>
            <wp:extent cx="22542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 Jay Taragin</w:t>
      </w:r>
    </w:p>
    <w:p>
      <w:pPr>
        <w:spacing w:after="0" w:line="27" w:lineRule="exact"/>
        <w:rPr>
          <w:sz w:val="20"/>
          <w:szCs w:val="20"/>
          <w:color w:val="auto"/>
        </w:rPr>
      </w:pPr>
    </w:p>
    <w:p>
      <w:pPr>
        <w:ind w:left="6500"/>
        <w:spacing w:after="0"/>
        <w:tabs>
          <w:tab w:leader="none" w:pos="70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22" w:right="9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Churchill Capital Corp IV Announces the Separate Trading of its Class A Common Stock and Warrants, Commencing September 18, 2020</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YORK, NY, SEPTEMBER 17, 2020 </w:t>
      </w:r>
      <w:r>
        <w:rPr>
          <w:rFonts w:ascii="Times New Roman" w:cs="Times New Roman" w:eastAsia="Times New Roman" w:hAnsi="Times New Roman"/>
          <w:sz w:val="18"/>
          <w:szCs w:val="18"/>
          <w:color w:val="auto"/>
        </w:rPr>
        <w:t>– Churchill Capital Corp IV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Churchill</w:t>
      </w:r>
      <w:r>
        <w:rPr>
          <w:rFonts w:ascii="Times New Roman" w:cs="Times New Roman" w:eastAsia="Times New Roman" w:hAnsi="Times New Roman"/>
          <w:sz w:val="18"/>
          <w:szCs w:val="18"/>
          <w:color w:val="auto"/>
        </w:rPr>
        <w:t>”) announced that commencing September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holders of the units sold in the Company’s initial public offering of 207,000,000 units may elect to separately trade the Class A ordinary shares and warrants included in the units. Class A ordinary shares and warrants that are separated will trade on the New York Stock Exchange under the symbols “CCIV” and “CCIV WS,” respectively. Those units not separated will continue to trade on the New York Stock Exchange under the symbol “CCIV.U”. No fractional warrants will be issued upon separation of the units and only whole warrants will trade.</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 securities of the Company, nor shall there be any sale of these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Churchill Capital Corp IV</w:t>
      </w:r>
    </w:p>
    <w:p>
      <w:pPr>
        <w:spacing w:after="0" w:line="2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Churchill Capital Corp IV was founded by Michael Klein, who is also the founder and managing partner of M. Klein and Company. The Company was formed for the purpose of effecting a merger, capital stock exchange, asset acquisition, stock purchase, reorganization or similar business combination with one or more businesses. It may pursue an initial business combination target in any business or industry.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may include, and oral statements made from time to time by representatives of Churchill Capital Corp IV may include, “forward-looking statements” within the meaning of Section 27A of the Securities Act of 1933, as amended, and Section 21E of the Securities Exchange Act of 1934, as amended. Statements regarding possible business combinations and the financing thereof, and related matters, as well as all other statements other than statements of historical fact included in this press release are forward-looking statements. When used in this press release, words such as “anticipate,” “believe,” “continue,” “could,” “estimate,” “expect,” “intend,” “may,” “might,” “plan,” “possible,” “potential,” “predict,” “project,” “should,” “would” and similar expressions, as they relate to us or our management team,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the Company’s filings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All subsequent written or oral forward-looking statements attributable to us or persons acting on our behalf are qualified in their entirety by this paragraph. Forward-looking statements are subject to numerous conditions, many of which are beyond the control of the Company, including those set forth in the Risk Factors section of the Company’s registration statement and prospectus for the Company’s initial public offering filed with the SEC. The Company undertakes no obligation to update these statements for revisions or changes after the date of this release,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Churchill Capital Corp IV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info@churchillcapitalcorp.com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2020-09-17T15:19:09Z</dcterms:created>
  <dcterms:modified xsi:type="dcterms:W3CDTF">2020-09-17T15:19:09Z</dcterms:modified>
</cp:coreProperties>
</file>