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Rawlinson Peter Dore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LUCID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GATEWAY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NEWARK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LCID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1047"/>
        <w:gridCol w:w="438"/>
        <w:gridCol w:w="656"/>
        <w:gridCol w:w="1345"/>
        <w:gridCol w:w="97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466,751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</w:t>
            </w:r>
            <w:r>
              <w:rPr/>
              <w:t xml:space="preserve"> 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19,779,396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 shares that have been withheld by the Issuer to satisfy tax withholding and remittance obligations in connection with the vesting of restricted stock units reported on a Form 4 filed on July 27, 2021.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Uy, as attorney-in-fact for Peter Rawlinson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12/07/2023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3374" TargetMode="External"/><Relationship Id="rId4" Type="http://schemas.openxmlformats.org/officeDocument/2006/relationships/hyperlink" Target="http://www.sec.gov/cgi-bin/browse-edgar?action=getcompany&amp;CIK=000181121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3271</Characters>
  <CharactersWithSpaces>3812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