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Rawlinson Peter Dore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Chief Technology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466,749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21,243,870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 shares that have been withheld by the Issuer to satisfy income tax withholding and remittance obligations in connection with the vesting of restricted stock units reported on a Form 4 filed on July 27,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Peter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Rawlinson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374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2022-09-08T18:30:59Z</dcterms:created>
  <dcterms:modified xsi:type="dcterms:W3CDTF">2022-09-08T18:30:59Z</dcterms:modified>
</cp:coreProperties>
</file>