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February 21, 2024</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Lucid Group, Inc. (“Lucid”) issued a press release announcing its results for the fourth quarter and full year ended December 31, 2023.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000000"/>
          <w:sz w:val="20"/>
          <w:u w:val="single"/>
        </w:rPr>
        <w:t>ir.lucidmotors.com</w:t>
      </w:r>
      <w:r>
        <w:rPr>
          <w:color w:val="000000"/>
        </w:rPr>
        <w:t xml:space="preserve"> </w:t>
      </w:r>
      <w:r>
        <w:rPr>
          <w:rFonts w:ascii="Times New Roman;sans-serif" w:hAnsi="Times New Roman;sans-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423ex991k.htm">
              <w:r>
                <w:rPr>
                  <w:rStyle w:val="InternetLink"/>
                  <w:rFonts w:ascii="Times New Roman;sans-serif" w:hAnsi="Times New Roman;sans-serif"/>
                  <w:b w:val="false"/>
                  <w:color w:val="000080"/>
                  <w:sz w:val="20"/>
                  <w:u w:val="single"/>
                </w:rPr>
                <w:t>Lucid Press Release Dated February 2</w:t>
              </w:r>
            </w:hyperlink>
            <w:hyperlink w:anchor="q423ex991k.htm">
              <w:r>
                <w:rPr>
                  <w:rStyle w:val="InternetLink"/>
                  <w:rFonts w:ascii="Times New Roman;sans-serif" w:hAnsi="Times New Roman;sans-serif"/>
                  <w:b w:val="false"/>
                  <w:color w:val="000080"/>
                  <w:sz w:val="20"/>
                  <w:u w:val="single"/>
                </w:rPr>
                <w:t>1</w:t>
              </w:r>
            </w:hyperlink>
            <w:hyperlink w:anchor="q423ex991k.htm">
              <w:r>
                <w:rPr>
                  <w:rStyle w:val="InternetLink"/>
                  <w:rFonts w:ascii="Times New Roman;sans-serif" w:hAnsi="Times New Roman;sans-serif"/>
                  <w:b w:val="false"/>
                  <w:color w:val="000080"/>
                  <w:sz w:val="20"/>
                  <w:u w:val="single"/>
                </w:rPr>
                <w:t>, 202</w:t>
              </w:r>
            </w:hyperlink>
            <w:hyperlink w:anchor="q423ex991k.htm">
              <w:r>
                <w:rPr>
                  <w:rStyle w:val="InternetLink"/>
                  <w:rFonts w:ascii="Times New Roman;sans-serif" w:hAnsi="Times New Roman;sans-serif"/>
                  <w:b w:val="false"/>
                  <w:color w:val="000080"/>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564" w:type="dxa"/>
        <w:jc w:val="left"/>
        <w:tblInd w:w="0" w:type="dxa"/>
        <w:tblLayout w:type="fixed"/>
        <w:tblCellMar>
          <w:top w:w="28" w:type="dxa"/>
          <w:left w:w="28" w:type="dxa"/>
          <w:bottom w:w="28" w:type="dxa"/>
          <w:right w:w="28" w:type="dxa"/>
        </w:tblCellMar>
      </w:tblPr>
      <w:tblGrid>
        <w:gridCol w:w="792"/>
        <w:gridCol w:w="696"/>
        <w:gridCol w:w="702"/>
        <w:gridCol w:w="245"/>
        <w:gridCol w:w="245"/>
        <w:gridCol w:w="245"/>
        <w:gridCol w:w="771"/>
        <w:gridCol w:w="771"/>
        <w:gridCol w:w="109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February 21, 2024</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Fourth Quarter and Full Year 2023 Financial Results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Delivered 1,734 vehicles in Q4 and 6,001 vehicles in 2023, up 37% compared to full year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Produced 2,391 vehicles in Q4 and 8,428 vehicles in 2023, meeting the higher-end of 2023 annual production guidance of 8,000 to 8,500 vehicles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Q4 revenue of $157.2 million and annual revenue of $595.3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Ended the quarter with approximately $4.78 billion of total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Lucid is embarking on the Company’s next transformational phase, with the expansion of its vehicle lineup and total addressable market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2024 production guidance of approximately 9,000 vehicles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 xml:space="preserve">NEWARK, Calif. — February 21, 2024 — Lucid Group, Inc. (NASDAQ: LCID), setting new standards for luxury electric experience with the Lucid Air, America’s most awarded new luxury vehicle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2"/>
        </w:rPr>
        <w:t>and selected to Car and Driver’s 10Best list for 2024, today announced financial results for its fourth quarter and full year ended December 31, 2023. The earnings presentation is available on its investor relations website (https://ir.lucidmotors.com).</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produced 2,391 vehicles during Q4 and delivered 1,734 vehicles during the same period. On a full-year basis, the Company produced 8,428 vehicles, meeting the higher end of the 2023 annual production guidance of 8,000 to 8,500 vehicles, and delivered 6,001 vehicles in 2023. Lucid today also announced its 2024 annual production guidance of approximately 9,000 vehicles, and will continue to prudently manage and adjust production to meet sales and delivery needs.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reported fourth quarter revenue of $157.2 million and annual revenue of $595.3 million, ending the quarter with approximately $4.78 billion of total liquidity.</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Lucid is investing for the long term in technology, manufacturing and partnerships to further solidify our place in the market as the premier luxury EV brand in the world,” said Peter Rawlinson, Lucid’s CEO and CTO. “In 2023, we made our first strategic technology arrangement, gained market share, completed the Air lineup, and unveiled Gravity. As we start 2024, I’m very excited about the year ahead and beyond. We are entering the next transformational phase of the Lucid vehicle lineup and are laser-focused on growth.”</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I’d like to echo Peter’s excitement as we start the year,” said Gagan Dhingra, Lucid’s Interim Chief Financial Officer and Principal Accounting Officer. “We outpaced our total addressable market and made headway with our cost optimization programs - a key strategic priority for the Company. I’m excited about the future as Gravity start of production is scheduled for late 2024 and the start of production for our high-volume Midsize platform is scheduled for late 2026.”</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will host a conference call for analysts and investors at 2:30 P.M. PT / 5:30 P.M. ET on February 21, 2024.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before="240" w:after="283"/>
        <w:jc w:val="left"/>
        <w:rPr/>
      </w:pPr>
      <w:r>
        <w:rPr/>
      </w:r>
    </w:p>
    <w:p>
      <w:pPr>
        <w:pStyle w:val="TextBody"/>
        <w:bidi w:val="0"/>
        <w:spacing w:lineRule="auto" w:line="288" w:before="0" w:after="0"/>
        <w:jc w:val="left"/>
        <w:rPr/>
      </w:pPr>
      <w:r>
        <w:rPr>
          <w:rFonts w:ascii="Times New Roman;sans-serif" w:hAnsi="Times New Roman;sans-serif"/>
          <w:b/>
          <w:color w:val="000000"/>
          <w:sz w:val="14"/>
        </w:rPr>
        <w:t xml:space="preserve">1 </w:t>
      </w:r>
      <w:r>
        <w:rPr>
          <w:rFonts w:ascii="Times New Roman;sans-serif" w:hAnsi="Times New Roman;sans-serif"/>
          <w:b w:val="false"/>
          <w:color w:val="000000"/>
          <w:sz w:val="22"/>
        </w:rPr>
        <w:t>Based on percentage of major industry awards and accolades earned by new luxury vehicles launched in the last three years and on sale in the United States.</w:t>
      </w:r>
    </w:p>
    <w:p>
      <w:pPr>
        <w:pStyle w:val="TextBody"/>
        <w:bidi w:val="0"/>
        <w:spacing w:lineRule="auto" w:line="288" w:before="240" w:after="1"/>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Assembled at Lucid’s factories in Casa Grande, Arizona, and King Abdullah Economic City (KAEC), Saudi Arabia, deliveries of Lucid Air are currently underway to customers in the U.S., Canada, Europe, and the Middle East.</w:t>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240" w:after="1"/>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pStyle w:val="TextBody"/>
        <w:bidi w:val="0"/>
        <w:spacing w:lineRule="auto" w:line="288" w:before="240" w:after="1"/>
        <w:jc w:val="left"/>
        <w:rPr>
          <w:rFonts w:ascii="Times New Roman;sans-serif" w:hAnsi="Times New Roman;sans-serif"/>
          <w:b/>
          <w:color w:val="1B1B1B"/>
          <w:sz w:val="22"/>
        </w:rPr>
      </w:pPr>
      <w:r>
        <w:rPr>
          <w:rFonts w:ascii="Times New Roman;sans-serif" w:hAnsi="Times New Roman;sans-serif"/>
          <w:b/>
          <w:color w:val="1B1B1B"/>
          <w:sz w:val="22"/>
        </w:rPr>
        <w:t xml:space="preserve">Trademarks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capital expenditures and other operating expenses, ability to control costs, expectations and timing related to commercial product launches, including the Lucid Gravity and Midsize platform, production and delivery volumes, expectations regarding market opportunities and demand for Lucid’s products, the range and performance of Lucid’s vehicles, plans and expectations regarding the Lucid Gravity, including performance, driving range, features, specifications, and Gravity’s potential impact on markets, plans and expectations regarding Lucid’s software, plans and expectations regarding Lucid’s systems approach to the design of the vehicles, plans and expectations regarding Lucid’s integration with North American Charging Standard, including timing and benefits, estimate of the length of time Lucid’s existing cash, cash equivalents and investments will be sufficient to fund planned operations, plans and expectations regarding its future capital raises and funding strategy, the timing of vehicle deliveries, plans and expectations regarding future manufacturing capabilities and facilities, studio and service center openings, ability to mitigate supply chain and logistics risks, plans and expectations regarding the Phase 2 expansion of Lucid’s AMP-1 factory, including potential benefits, ability to vertically integrate production processes, future sales channels and strategies, future market launches and international expansion, including plans and expectations for the AMP-2 manufacturing facility in Saudi Arabia, plans and expectations regarding the purchase agreement with the government of Saudi Arabia, including the total number of vehicles that may be purchased under the agreement, expected order quantities, and the quantity and timing of vehicle deliveries, Lucid’s ability to grow its brand awareness, the potential success of Lucid’s direct-to-consumer sales strategy and future vehicle programs, potential automotive partnerships, including plans and expectations regarding Lucid’s strategic technology arrangement with Aston Martin,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risks related to changes in overall demand for Lucid’s products and services and cancellation of reservations and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w:t>
      </w: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2"/>
        </w:rPr>
        <w:t>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and buybacks; Lucid’s ability to establish and expand its brand, and capture additional market share, and the risks associated with negative press or reputational harm; Lucid’s ability to effectively utilize or obtain certain credits and other incentives; Lucid’s ability to conduct equity, equity-linked or debt financings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those factors discussed under the heading “Risk Factors” in Part II, Item 1A of Lucid’s Quarterly</w:t>
      </w:r>
      <w:r>
        <w:rPr>
          <w:color w:val="000000"/>
        </w:rPr>
        <w:t xml:space="preserve"> </w:t>
      </w:r>
      <w:r>
        <w:rPr>
          <w:rFonts w:ascii="Times New Roman;sans-serif" w:hAnsi="Times New Roman;sans-serif"/>
          <w:b w:val="false"/>
          <w:color w:val="000000"/>
          <w:sz w:val="22"/>
        </w:rPr>
        <w:t>Report on Form 10-Q for the quarter ended September 30, 2023, as well as in other documents Lucid has filed or will file with the Securities and Exchange Commission, including Lucid’s Annual Report on Form 10-K for the year ended December 31, 2023.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 and Key Business Metrics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Consolidated financial information has been presented in accordance with US GAAP (“GAAP”) as well as on a non-GAAP basis to supplement our consolidated financial results. Lucid’s non-GAAP financial measures include Adjusted EBITDA and Free Cash Flow which are discussed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before (1) interest expense, (2) interest income, (3) provision for (benefit from) income taxes, (4) depreciation and amortization, (5) change in fair value of common stock warrant liability, (6) change in fair value of equity securities, (7) stock-based compensation, and (8) restructuring charges. Lucid believes that Adjusted EBITDA provides useful information to Lucid’s management and investors about Lucid’s financial performance. 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0"/>
        <w:gridCol w:w="2009"/>
        <w:gridCol w:w="1974"/>
        <w:gridCol w:w="109"/>
        <w:gridCol w:w="109"/>
        <w:gridCol w:w="109"/>
        <w:gridCol w:w="211"/>
        <w:gridCol w:w="991"/>
        <w:gridCol w:w="109"/>
        <w:gridCol w:w="109"/>
        <w:gridCol w:w="109"/>
        <w:gridCol w:w="109"/>
        <w:gridCol w:w="211"/>
        <w:gridCol w:w="991"/>
        <w:gridCol w:w="155"/>
      </w:tblGrid>
      <w:tr>
        <w:trPr/>
        <w:tc>
          <w:tcPr>
            <w:tcW w:w="2900"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8,512,718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December 31, 2023 and 2022; 2,300,111,489 and 1,830,172,561 shares issued and 2,299,253,664 and 1,829,314,736 shares outstanding as of December 31,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December 31, 2023 and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(7,370,332)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8,512,718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33"/>
        <w:gridCol w:w="984"/>
        <w:gridCol w:w="981"/>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43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3,202,172 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(2,593,991)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net</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(benefit from)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dilutive warrants</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diluted</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(2,558,678)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attributable to common stockholders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2,292,032,497 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1,712,951,982 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2,081,772,622 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1,678,346,079 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2,292,032,497 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1,712,951,982 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2,081,772,622 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1,693,258,608 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unrealized gains (losses) on investments, net of tax</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(1,316,032)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667"/>
        <w:gridCol w:w="1353"/>
        <w:gridCol w:w="1357"/>
        <w:gridCol w:w="196"/>
        <w:gridCol w:w="871"/>
        <w:gridCol w:w="109"/>
        <w:gridCol w:w="109"/>
        <w:gridCol w:w="109"/>
        <w:gridCol w:w="109"/>
        <w:gridCol w:w="196"/>
        <w:gridCol w:w="871"/>
        <w:gridCol w:w="109"/>
        <w:gridCol w:w="109"/>
        <w:gridCol w:w="109"/>
        <w:gridCol w:w="109"/>
        <w:gridCol w:w="196"/>
        <w:gridCol w:w="918"/>
        <w:gridCol w:w="109"/>
        <w:gridCol w:w="109"/>
        <w:gridCol w:w="109"/>
        <w:gridCol w:w="109"/>
        <w:gridCol w:w="196"/>
        <w:gridCol w:w="918"/>
        <w:gridCol w:w="158"/>
      </w:tblGrid>
      <w:tr>
        <w:trPr/>
        <w:tc>
          <w:tcPr>
            <w:tcW w:w="166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(1,304,460)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insurance premium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and firm purchase commitments write-downs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common stock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(1,254,218)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accretion of investment discounts/premiums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(1,256,349)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(2,226,258)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(1,074,852)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government grant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(3,854,129)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1,149,714 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(3,681,677)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Underwriting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2023 Subscription Agreement,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At-the-Market Offering,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2022 Subscription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short-term insurance financing note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for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failed sale-leaseback transaction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for net settlement of employee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credit facility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1,347,235 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(4,560,700)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6,298,020 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1,737,320 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EBITDA</w:t>
      </w:r>
    </w:p>
    <w:tbl>
      <w:tblPr>
        <w:tblW w:w="10205" w:type="dxa"/>
        <w:jc w:val="left"/>
        <w:tblInd w:w="0" w:type="dxa"/>
        <w:tblLayout w:type="fixed"/>
        <w:tblCellMar>
          <w:top w:w="28" w:type="dxa"/>
          <w:left w:w="28" w:type="dxa"/>
          <w:bottom w:w="28" w:type="dxa"/>
          <w:right w:w="28" w:type="dxa"/>
        </w:tblCellMar>
      </w:tblPr>
      <w:tblGrid>
        <w:gridCol w:w="1514"/>
        <w:gridCol w:w="1254"/>
        <w:gridCol w:w="1264"/>
        <w:gridCol w:w="211"/>
        <w:gridCol w:w="891"/>
        <w:gridCol w:w="109"/>
        <w:gridCol w:w="109"/>
        <w:gridCol w:w="109"/>
        <w:gridCol w:w="109"/>
        <w:gridCol w:w="211"/>
        <w:gridCol w:w="891"/>
        <w:gridCol w:w="109"/>
        <w:gridCol w:w="109"/>
        <w:gridCol w:w="109"/>
        <w:gridCol w:w="109"/>
        <w:gridCol w:w="211"/>
        <w:gridCol w:w="1041"/>
        <w:gridCol w:w="109"/>
        <w:gridCol w:w="109"/>
        <w:gridCol w:w="109"/>
        <w:gridCol w:w="109"/>
        <w:gridCol w:w="211"/>
        <w:gridCol w:w="1041"/>
        <w:gridCol w:w="157"/>
      </w:tblGrid>
      <w:tr>
        <w:trPr/>
        <w:tc>
          <w:tcPr>
            <w:tcW w:w="151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(653,766)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(472,648)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(2,828,420)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(1,304,460)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(604,584)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(623,610)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(2,582,875)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(1,974,376)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205" w:type="dxa"/>
        <w:jc w:val="left"/>
        <w:tblInd w:w="0" w:type="dxa"/>
        <w:tblLayout w:type="fixed"/>
        <w:tblCellMar>
          <w:top w:w="28" w:type="dxa"/>
          <w:left w:w="28" w:type="dxa"/>
          <w:bottom w:w="28" w:type="dxa"/>
          <w:right w:w="28" w:type="dxa"/>
        </w:tblCellMar>
      </w:tblPr>
      <w:tblGrid>
        <w:gridCol w:w="1339"/>
        <w:gridCol w:w="1167"/>
        <w:gridCol w:w="1175"/>
        <w:gridCol w:w="109"/>
        <w:gridCol w:w="109"/>
        <w:gridCol w:w="109"/>
        <w:gridCol w:w="211"/>
        <w:gridCol w:w="897"/>
        <w:gridCol w:w="109"/>
        <w:gridCol w:w="109"/>
        <w:gridCol w:w="109"/>
        <w:gridCol w:w="109"/>
        <w:gridCol w:w="211"/>
        <w:gridCol w:w="897"/>
        <w:gridCol w:w="109"/>
        <w:gridCol w:w="109"/>
        <w:gridCol w:w="109"/>
        <w:gridCol w:w="109"/>
        <w:gridCol w:w="211"/>
        <w:gridCol w:w="1047"/>
        <w:gridCol w:w="109"/>
        <w:gridCol w:w="109"/>
        <w:gridCol w:w="109"/>
        <w:gridCol w:w="109"/>
        <w:gridCol w:w="211"/>
        <w:gridCol w:w="1047"/>
        <w:gridCol w:w="157"/>
      </w:tblGrid>
      <w:tr>
        <w:trPr/>
        <w:tc>
          <w:tcPr>
            <w:tcW w:w="133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(474,549)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(648,515)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(2,489,753)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(2,226,258)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Free cash flow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(747,191)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(938,403)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(3,400,397)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(3,301,110)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3688</Words>
  <Characters>22407</Characters>
  <CharactersWithSpaces>25701</CharactersWithSpaces>
  <Paragraphs>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