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1, 2024</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74" w:lineRule="exact"/>
        <w:rPr>
          <w:sz w:val="24"/>
          <w:szCs w:val="24"/>
          <w:color w:val="auto"/>
        </w:rPr>
      </w:pPr>
    </w:p>
    <w:tbl>
      <w:tblPr>
        <w:tblLayout w:type="fixed"/>
        <w:tblInd w:w="400" w:type="dxa"/>
        <w:tblCellMar>
          <w:top w:w="0" w:type="dxa"/>
          <w:left w:w="0" w:type="dxa"/>
          <w:bottom w:w="0" w:type="dxa"/>
          <w:right w:w="0" w:type="dxa"/>
        </w:tblCellMar>
      </w:tblPr>
      <w:tr>
        <w:trPr>
          <w:trHeight w:val="238"/>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52"/>
        </w:trPr>
        <w:tc>
          <w:tcPr>
            <w:tcW w:w="3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7373 Gateway Boulevard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8"/>
        </w:trPr>
        <w:tc>
          <w:tcPr>
            <w:tcW w:w="37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126"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3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LCID</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52"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156"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May 6, 2024, Lucid Group, Inc. (“Lucid” or the “Company”) issued a press release announcing its results for the first quarter ended March 31, 2024. A copy of the press release is attached as Exhibit 99.1 to this current report on Form 8-K and is incorporated by reference herein.</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 Departure of Directors or Certain Officers, Election of Directors; Appointment of Certain Officers; Compensatory Arrangements of Certain Officers</w:t>
      </w:r>
    </w:p>
    <w:p>
      <w:pPr>
        <w:spacing w:after="0" w:line="186"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On May 6, 2024, the Company announced that Michael Bell, Lucid’s Senior Vice President of Digital, is resigning from his position, effective immediately, in order to pursue other opportunities. Mr. Bell will be available in an advisory role through August 12, 2024, to assist in the transition of his duties.</w:t>
      </w:r>
    </w:p>
    <w:p>
      <w:pPr>
        <w:spacing w:after="0" w:line="1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Effective immediately, Derrick Carty, Vice President, Platform Software will lead the Company’s Digital organization on an interim basis, reporting directly to Peter Rawlinson, the Company’s Chief Executive Officer and Chief Technology Officer. Mr. Carty has served as Vice President, Platform Software at Lucid since June 2022. Prior to joining Lucid, Mr. Carty spent over two decades at Apple, Inc. and operated a consulting business that provided technical and management consulting services. Mr. Carty holds a bachelor’s degree in Computer Science from Stanford University.</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has agreed to provide Mr. Bell severance benefits under the Company’s Executive Severance Plan, subject to the terms and conditions thereof. In addition, subject to the terms of his separation agreement, Mr. Bell will receive $25,000 to cover tax preparation costs for 2024 and a $125,000 consulting fee for the advisory period.</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Lucid uses its </w:t>
      </w:r>
      <w:r>
        <w:rPr>
          <w:rFonts w:ascii="Times New Roman" w:cs="Times New Roman" w:eastAsia="Times New Roman" w:hAnsi="Times New Roman"/>
          <w:sz w:val="18"/>
          <w:szCs w:val="18"/>
          <w:u w:val="single" w:color="auto"/>
          <w:color w:val="auto"/>
        </w:rPr>
        <w:t>ir.lucidmotors.com</w:t>
      </w:r>
      <w:r>
        <w:rPr>
          <w:rFonts w:ascii="Times New Roman" w:cs="Times New Roman" w:eastAsia="Times New Roman" w:hAnsi="Times New Roman"/>
          <w:sz w:val="18"/>
          <w:szCs w:val="18"/>
          <w:color w:val="auto"/>
        </w:rPr>
        <w:t xml:space="preserve"> website as a means of disclosing material non-public information and for complying with its disclosure obligations under Regulation FD.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8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Lucid Press Release Dated May 6, 2024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60"/>
        </w:trPr>
        <w:tc>
          <w:tcPr>
            <w:tcW w:w="124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7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6, 2024</w:t>
      </w:r>
    </w:p>
    <w:p>
      <w:pPr>
        <w:spacing w:after="0" w:line="3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Lucid Group, Inc.</w:t>
      </w:r>
    </w:p>
    <w:p>
      <w:pPr>
        <w:spacing w:after="0" w:line="333" w:lineRule="exact"/>
        <w:rPr>
          <w:sz w:val="20"/>
          <w:szCs w:val="20"/>
          <w:color w:val="auto"/>
        </w:rPr>
      </w:pPr>
    </w:p>
    <w:p>
      <w:pPr>
        <w:ind w:left="5400"/>
        <w:spacing w:after="0"/>
        <w:tabs>
          <w:tab w:leader="none" w:pos="5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43180</wp:posOffset>
            </wp:positionV>
            <wp:extent cx="3420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7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Gagan Dhingra</w:t>
      </w:r>
    </w:p>
    <w:p>
      <w:pPr>
        <w:spacing w:after="0" w:line="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1240"/>
          </w:cols>
          <w:pgMar w:left="320" w:top="110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525905"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25905" cy="214630"/>
                    </a:xfrm>
                    <a:prstGeom prst="rect">
                      <a:avLst/>
                    </a:prstGeom>
                    <a:noFill/>
                  </pic:spPr>
                </pic:pic>
              </a:graphicData>
            </a:graphic>
          </wp:anchor>
        </w:drawing>
        <w:t>Exhibit 99.1</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Lucid Announces First Quarter 2024 Financial Results</w:t>
      </w:r>
    </w:p>
    <w:p>
      <w:pPr>
        <w:spacing w:after="0" w:line="30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0"/>
          <w:szCs w:val="20"/>
          <w:color w:val="auto"/>
        </w:rPr>
        <w:t>Produced 1,728 vehicles in Q1; on track for annual production of approximately 9,000 vehicles</w:t>
      </w: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Delivered 1,967 vehicles in Q1, up 39.9% compared to Q1 2023</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Q1 revenue of $172.7 million</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raised $1.0 billion via private placement to an affiliate of the Public Investment Fund (PIF)</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Ended the quarter with approximately $5.03 billion of total liquidity</w:t>
      </w:r>
    </w:p>
    <w:p>
      <w:pPr>
        <w:spacing w:after="0" w:line="23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NEWARK, Calif. — May 6, 2024 — Lucid Group, Inc. (NASDAQ: LCID), maker of the world’s most advanced electric vehicles, today announced financial results for its first quarter ended March 31, 2024. The earnings presentation is available on its investor relations website (https://ir.lucidmotors.com).</w:t>
      </w:r>
    </w:p>
    <w:p>
      <w:pPr>
        <w:spacing w:after="0" w:line="16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20"/>
          <w:szCs w:val="20"/>
          <w:color w:val="auto"/>
        </w:rPr>
        <w:t>Lucid reported Q1 revenue of $172.7 million on deliveries of 1,967 vehicles and expects to manufacture approximately 9,000 vehicles in 2024. In Q1, Lucid raised $1.0 billion in financing via a private placement to an affiliate of the PIF, reflecting the PIF’s continued and steadfast support of the Company. Lucid ended the first quarter with approximately $5.03 billion in total liquidity.</w:t>
      </w:r>
    </w:p>
    <w:p>
      <w:pPr>
        <w:spacing w:after="0" w:line="1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0"/>
          <w:szCs w:val="20"/>
          <w:color w:val="auto"/>
        </w:rPr>
        <w:t>“I believe there are two factors that set Lucid apart – our superior, in-house technology and the partnership with the PIF,” said Peter Rawlinson, CEO and CTO at Lucid. “Our sales momentum is building, our focus upon cost remains relentless, and we believe Gravity is on track to become the best SUV in the world.”</w:t>
      </w:r>
    </w:p>
    <w:p>
      <w:pPr>
        <w:spacing w:after="0" w:line="181"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20"/>
          <w:szCs w:val="20"/>
          <w:color w:val="auto"/>
        </w:rPr>
        <w:t>“We continue to make significant progress on our cost optimization programs,” said Gagan Dhingra, Interim Chief Financial Officer and Principal Accounting Officer at Lucid. “We’re focused on significant growth as we enter the next transformational phase of Lucid’s end markets while simultaneously driving cost discipline.”</w:t>
      </w:r>
    </w:p>
    <w:p>
      <w:pPr>
        <w:spacing w:after="0" w:line="1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Lucid will host a conference call for analysts and investors at 2:30 P.M. PT / 5:30 P.M. ET on May 6, 2024. The live webcast of the conference call will be available on the Investor Relations website at ir.lucidmotors.com. Following the completion of the call, a replay will be available on the same website. Lucid uses its ir.lucidmotors.com website as a means of disclosing material non-public information and for complying with its disclosure obligations under Regulation FD.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Lucid Group</w:t>
      </w:r>
    </w:p>
    <w:p>
      <w:pPr>
        <w:spacing w:after="0" w:line="22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Lucid’s mission is to inspire the adoption of sustainable energy by creating advanced technologies and the most captivating luxury electric vehicles centered around the human experience. The Company’s first car, the Air, is a state-of-the-art luxury sedan with a California-inspired design. Assembled at Lucid’s factories in Casa Grande, Arizona, and King Abdullah Economic City (KAEC), Saudi Arabia, deliveries of Lucid Air are currently underway to customers in the U.S., Canada, Europe, and the Middle East.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investor@lucidmotors.com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media@lucidmotors.com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B1B1B"/>
        </w:rPr>
        <w:t>Trademarks</w:t>
      </w:r>
    </w:p>
    <w:p>
      <w:pPr>
        <w:spacing w:after="0" w:line="233"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0"/>
          <w:szCs w:val="20"/>
          <w:color w:val="auto"/>
        </w:rPr>
        <w:t>This communication contains trademarks, service marks, trade names and copyrights of Lucid Group, Inc. and its subsidiaries and other companies, which are the property of their respective owners.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20"/>
          </w:cols>
          <w:pgMar w:left="320" w:top="31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23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financial and operating outlook and guidance, future capital expenditures and other operating expenses, ability to control costs, expectations and timing related to commercial product launches, including the Gravity SUV and Midsize programs, production and delivery volumes, expectations regarding market opportunities and demand for Lucid’s products, the range and performance of Lucid’s vehicles, plans and expectations regarding the Gravity SUV program, including performance, driving range, features, specifications, and potential impact on markets, plans and expectations regarding Lucid’s software, plans and expectations regarding Lucid’s systems approach to the design of the vehicles, plans and expectations regarding Lucid’s integration with North American Charging Standard, including timing and benefits, estimate of the length of time Lucid’s existing cash, cash equivalents and investments will be sufficient to fund planned operations, plans and expectations regarding its future capital raises and funding strategy, the timing of vehicle deliveries, plans and expectations regarding future manufacturing capabilities and facilities, studio and service center openings, ability to mitigate supply chain and logistics risks, plans and expectations regarding Lucid’s AMP-1 and AMP-2 manufacturing facilities, including potential benefits, ability to vertically integrate production processes, future sales channels and strategies, future market launches and international expansion, plans and expectations regarding the purchase agreement with the government of Saudi Arabia, including the total number of vehicles that may be purchased under the agreement, expected order quantities, and the quantity and timing of vehicle deliveries, Lucid’s ability to grow its brand awareness, the potential success of Lucid’s direct-to-consumer sales strategy and future vehicle programs, potential automotive partnerships, including plans and expectations regarding Lucid’s strategic technology arrangement with Aston Martin, and the promise of Lucid’s technology.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changes in domestic and foreign business, market, financial, political and legal conditions, including government closures of banks and liquidity concerns at other financial institutions, a potential global economic recession or other downturn and global conflicts or other geopolitical events; risks related to changes in overall demand for Lucid’s products and services and cancellation of orders for Lucid’s vehicles; risks related to prices and availability of commodities, Lucid’s supply chain, logistics, inventory management and quality control, and Lucid’s ability to complete the tooling of its manufacturing facilities over time and scale production of the Lucid Air and other vehicles; risks related to the uncertainty of Lucid’s projected financial information; risks related to the timing of expected business milestones and commercial product launches; risks related to the expansion of Lucid’s manufacturing facility, the construction of new manufacturing facilities and the increase of Lucid’s production capacity; Lucid’s ability to manage expenses and control costs;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enter into or maintain partnerships with original equipment manufacturers, vendors and technology providers; Lucid’s ability to effectively manage its growth and recruit and retain key employees, including its chief executive officer and executive team; risks related to potential vehicle recalls and buybacks; Lucid’s ability to establish and expand its brand, and capture additional market share, and the risks associated with negative press or reputational harm; Lucid’s ability to effectively utilize or obtain certain credits and other incentives; Lucid’s ability to conduct equity, equity-linked or debt financings in the future; Lucid’s ability to pay interest and principal on its indebtedness; future changes to vehicle specifications which may impact performance, pricing and other expectations; the outcome of any potential litigation, government and regulatory proceedings, investigations and inquiries; and those factors discussed under the heading “Risk Factors” in Part II, Item 1A of Lucid’s Quarterly Report on Form 10-Q for the quarter ended March 31, 2024, as well as in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w:t>
      </w:r>
    </w:p>
    <w:p>
      <w:pPr>
        <w:sectPr>
          <w:pgSz w:w="11900" w:h="16838" w:orient="portrait"/>
          <w:cols w:equalWidth="0" w:num="1">
            <w:col w:w="11240"/>
          </w:cols>
          <w:pgMar w:left="320" w:top="13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14" w:right="339" w:bottom="1440" w:gutter="0" w:footer="0" w:header="0"/>
          <w:type w:val="continuous"/>
        </w:sectPr>
      </w:pPr>
    </w:p>
    <w:bookmarkStart w:id="5" w:name="page6"/>
    <w:bookmarkEnd w:id="5"/>
    <w:p>
      <w:pPr>
        <w:ind w:right="200"/>
        <w:spacing w:after="0" w:line="257" w:lineRule="auto"/>
        <w:rPr>
          <w:sz w:val="20"/>
          <w:szCs w:val="20"/>
          <w:color w:val="auto"/>
        </w:rPr>
      </w:pPr>
      <w:r>
        <w:rPr>
          <w:rFonts w:ascii="Times New Roman" w:cs="Times New Roman" w:eastAsia="Times New Roman" w:hAnsi="Times New Roman"/>
          <w:sz w:val="20"/>
          <w:szCs w:val="20"/>
          <w:color w:val="auto"/>
        </w:rPr>
        <w:t>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 and Key Business Metrics</w:t>
      </w:r>
    </w:p>
    <w:p>
      <w:pPr>
        <w:spacing w:after="0" w:line="23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Condensed consolidated financial information has been presented in accordance with US GAAP (“GAAP”) as well as on a non-GAAP basis to supplement our condensed consolidated financial results. Lucid’s non-GAAP financial measures include Adjusted EBITDA and Free Cash Flow which are discussed below.</w:t>
      </w:r>
    </w:p>
    <w:p>
      <w:pPr>
        <w:spacing w:after="0" w:line="1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Adjusted EBITDA is defined as net loss before (1) interest expense, (2) interest income, (3) provision for income taxes, (4) depreciation and amortization, (5) change in fair value of common stock warrant liability, (6) change in fair value of equity securities of a related party, (7) stock-based compensation, and (8) restructuring charges. Lucid believes that Adjusted EBITDA provides useful information to Lucid’s management and investors about Lucid’s financial performance. Free Cash Flow is defined as net cash used in operating activities less capital expenditures. Lucid believes that Free Cash Flow provides useful information to Lucid’s management and investors about the amount of cash generated by the business after necessary capital expenditures.</w:t>
      </w:r>
    </w:p>
    <w:p>
      <w:pPr>
        <w:spacing w:after="0" w:line="17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These non-GAAP financial measures facilitate management’s internal comparisons to Lucid’s historical performance. Management believes that it is useful to supplement its GAAP financial statements with this non-GAAP information because management uses such information internally for its operating, budgeting, and financial planning purposes. Management also believes that presentation of the non-GAAP financial measures provides useful information to Lucid’s investors regarding measures of our financial condition and results of operations that Lucid uses to run the business and therefore allows investors to better understand Lucid’s performance. However, these non-GAAP financial and key performance measures have limitations as analytical tools and you should not consider them in isolation or as substitutes for analysis of our results as reported under GAAP.</w:t>
      </w:r>
    </w:p>
    <w:p>
      <w:pPr>
        <w:spacing w:after="0" w:line="17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9"/>
          <w:szCs w:val="19"/>
          <w:color w:val="auto"/>
        </w:rPr>
        <w:t>Non-GAAP information is not prepared under a comprehensive set of accounting rules and therefore, should only be read in conjunction with financial information reported under GAAP when understanding Lucid’s operating performance. In addition, other companies, including companies in Lucid’s industry, may calculate non-GAAP financial measures and key performance measures differently or may use other measures to evaluate their performance, all of which could reduce the usefulness of Lucid’s non-GAAP financial measures and key performance measures as tools for comparison. A reconciliation between GAAP and non-GAAP financial information is presented below.</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20"/>
          </w:cols>
          <w:pgMar w:left="320" w:top="1318"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8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2,169,489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1,369,947</w:t>
            </w:r>
          </w:p>
        </w:tc>
        <w:tc>
          <w:tcPr>
            <w:tcW w:w="0" w:type="dxa"/>
            <w:vAlign w:val="bottom"/>
          </w:tcPr>
          <w:p>
            <w:pPr>
              <w:spacing w:after="0"/>
              <w:rPr>
                <w:sz w:val="1"/>
                <w:szCs w:val="1"/>
                <w:color w:val="auto"/>
              </w:rPr>
            </w:pPr>
          </w:p>
        </w:tc>
      </w:tr>
      <w:tr>
        <w:trPr>
          <w:trHeight w:val="243"/>
        </w:trPr>
        <w:tc>
          <w:tcPr>
            <w:tcW w:w="8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1,824,900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2,489,798</w:t>
            </w:r>
          </w:p>
        </w:tc>
        <w:tc>
          <w:tcPr>
            <w:tcW w:w="0" w:type="dxa"/>
            <w:vAlign w:val="bottom"/>
          </w:tcPr>
          <w:p>
            <w:pPr>
              <w:spacing w:after="0"/>
              <w:rPr>
                <w:sz w:val="1"/>
                <w:szCs w:val="1"/>
                <w:color w:val="auto"/>
              </w:rPr>
            </w:pPr>
          </w:p>
        </w:tc>
      </w:tr>
      <w:tr>
        <w:trPr>
          <w:trHeight w:val="40"/>
        </w:trPr>
        <w:tc>
          <w:tcPr>
            <w:tcW w:w="8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(including $84,884 and $35,526 from a related party as of March 31, 2024 and</w:t>
            </w:r>
          </w:p>
        </w:tc>
        <w:tc>
          <w:tcPr>
            <w:tcW w:w="220" w:type="dxa"/>
            <w:vAlign w:val="bottom"/>
            <w:shd w:val="clear" w:color="auto" w:fill="CCEEFF"/>
          </w:tcPr>
          <w:p>
            <w:pPr>
              <w:spacing w:after="0"/>
              <w:rPr>
                <w:sz w:val="20"/>
                <w:szCs w:val="2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51,822</w:t>
            </w:r>
          </w:p>
        </w:tc>
        <w:tc>
          <w:tcPr>
            <w:tcW w:w="0" w:type="dxa"/>
            <w:vAlign w:val="bottom"/>
          </w:tcPr>
          <w:p>
            <w:pPr>
              <w:spacing w:after="0"/>
              <w:rPr>
                <w:sz w:val="1"/>
                <w:szCs w:val="1"/>
                <w:color w:val="auto"/>
              </w:rPr>
            </w:pPr>
          </w:p>
        </w:tc>
      </w:tr>
      <w:tr>
        <w:trPr>
          <w:trHeight w:val="241"/>
        </w:trPr>
        <w:tc>
          <w:tcPr>
            <w:tcW w:w="85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565,653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696,236</w:t>
            </w:r>
          </w:p>
        </w:tc>
        <w:tc>
          <w:tcPr>
            <w:tcW w:w="0" w:type="dxa"/>
            <w:vAlign w:val="bottom"/>
          </w:tcPr>
          <w:p>
            <w:pPr>
              <w:spacing w:after="0"/>
              <w:rPr>
                <w:sz w:val="1"/>
                <w:szCs w:val="1"/>
                <w:color w:val="auto"/>
              </w:rPr>
            </w:pPr>
          </w:p>
        </w:tc>
      </w:tr>
      <w:tr>
        <w:trPr>
          <w:trHeight w:val="41"/>
        </w:trPr>
        <w:tc>
          <w:tcPr>
            <w:tcW w:w="8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72,135</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69,682</w:t>
            </w:r>
          </w:p>
        </w:tc>
        <w:tc>
          <w:tcPr>
            <w:tcW w:w="0" w:type="dxa"/>
            <w:vAlign w:val="bottom"/>
          </w:tcPr>
          <w:p>
            <w:pPr>
              <w:spacing w:after="0"/>
              <w:rPr>
                <w:sz w:val="1"/>
                <w:szCs w:val="1"/>
                <w:color w:val="auto"/>
              </w:rPr>
            </w:pPr>
          </w:p>
        </w:tc>
      </w:tr>
      <w:tr>
        <w:trPr>
          <w:trHeight w:val="243"/>
        </w:trPr>
        <w:tc>
          <w:tcPr>
            <w:tcW w:w="8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74,890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79,670</w:t>
            </w:r>
          </w:p>
        </w:tc>
        <w:tc>
          <w:tcPr>
            <w:tcW w:w="0" w:type="dxa"/>
            <w:vAlign w:val="bottom"/>
          </w:tcPr>
          <w:p>
            <w:pPr>
              <w:spacing w:after="0"/>
              <w:rPr>
                <w:sz w:val="1"/>
                <w:szCs w:val="1"/>
                <w:color w:val="auto"/>
              </w:rPr>
            </w:pPr>
          </w:p>
        </w:tc>
      </w:tr>
      <w:tr>
        <w:trPr>
          <w:trHeight w:val="40"/>
        </w:trPr>
        <w:tc>
          <w:tcPr>
            <w:tcW w:w="84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85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4,833,997</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4,757,155</w:t>
            </w:r>
          </w:p>
        </w:tc>
        <w:tc>
          <w:tcPr>
            <w:tcW w:w="0" w:type="dxa"/>
            <w:vAlign w:val="bottom"/>
          </w:tcPr>
          <w:p>
            <w:pPr>
              <w:spacing w:after="0"/>
              <w:rPr>
                <w:sz w:val="1"/>
                <w:szCs w:val="1"/>
                <w:color w:val="auto"/>
              </w:rPr>
            </w:pPr>
          </w:p>
        </w:tc>
      </w:tr>
      <w:tr>
        <w:trPr>
          <w:trHeight w:val="237"/>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2,971,601</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2,810,867</w:t>
            </w:r>
          </w:p>
        </w:tc>
        <w:tc>
          <w:tcPr>
            <w:tcW w:w="0" w:type="dxa"/>
            <w:vAlign w:val="bottom"/>
          </w:tcPr>
          <w:p>
            <w:pPr>
              <w:spacing w:after="0"/>
              <w:rPr>
                <w:sz w:val="1"/>
                <w:szCs w:val="1"/>
                <w:color w:val="auto"/>
              </w:rPr>
            </w:pPr>
          </w:p>
        </w:tc>
      </w:tr>
      <w:tr>
        <w:trPr>
          <w:trHeight w:val="41"/>
        </w:trPr>
        <w:tc>
          <w:tcPr>
            <w:tcW w:w="8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217,699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221,508</w:t>
            </w:r>
          </w:p>
        </w:tc>
        <w:tc>
          <w:tcPr>
            <w:tcW w:w="0" w:type="dxa"/>
            <w:vAlign w:val="bottom"/>
          </w:tcPr>
          <w:p>
            <w:pPr>
              <w:spacing w:after="0"/>
              <w:rPr>
                <w:sz w:val="1"/>
                <w:szCs w:val="1"/>
                <w:color w:val="auto"/>
              </w:rPr>
            </w:pPr>
          </w:p>
        </w:tc>
      </w:tr>
      <w:tr>
        <w:trPr>
          <w:trHeight w:val="24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627,591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461,029</w:t>
            </w:r>
          </w:p>
        </w:tc>
        <w:tc>
          <w:tcPr>
            <w:tcW w:w="0" w:type="dxa"/>
            <w:vAlign w:val="bottom"/>
          </w:tcPr>
          <w:p>
            <w:pPr>
              <w:spacing w:after="0"/>
              <w:rPr>
                <w:sz w:val="1"/>
                <w:szCs w:val="1"/>
                <w:color w:val="auto"/>
              </w:rPr>
            </w:pPr>
          </w:p>
        </w:tc>
      </w:tr>
      <w:tr>
        <w:trPr>
          <w:trHeight w:val="40"/>
        </w:trPr>
        <w:tc>
          <w:tcPr>
            <w:tcW w:w="8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185,352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180,626</w:t>
            </w:r>
          </w:p>
        </w:tc>
        <w:tc>
          <w:tcPr>
            <w:tcW w:w="0" w:type="dxa"/>
            <w:vAlign w:val="bottom"/>
          </w:tcPr>
          <w:p>
            <w:pPr>
              <w:spacing w:after="0"/>
              <w:rPr>
                <w:sz w:val="1"/>
                <w:szCs w:val="1"/>
                <w:color w:val="auto"/>
              </w:rPr>
            </w:pPr>
          </w:p>
        </w:tc>
      </w:tr>
      <w:tr>
        <w:trPr>
          <w:trHeight w:val="24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 in equity securities of a related party</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81,533</w:t>
            </w:r>
          </w:p>
        </w:tc>
        <w:tc>
          <w:tcPr>
            <w:tcW w:w="0" w:type="dxa"/>
            <w:vAlign w:val="bottom"/>
          </w:tcPr>
          <w:p>
            <w:pPr>
              <w:spacing w:after="0"/>
              <w:rPr>
                <w:sz w:val="1"/>
                <w:szCs w:val="1"/>
                <w:color w:val="auto"/>
              </w:rPr>
            </w:pPr>
          </w:p>
        </w:tc>
      </w:tr>
      <w:tr>
        <w:trPr>
          <w:trHeight w:val="40"/>
        </w:trPr>
        <w:tc>
          <w:tcPr>
            <w:tcW w:w="84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8,897,041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8,512,718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101,489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108,724</w:t>
            </w:r>
          </w:p>
        </w:tc>
        <w:tc>
          <w:tcPr>
            <w:tcW w:w="0" w:type="dxa"/>
            <w:vAlign w:val="bottom"/>
          </w:tcPr>
          <w:p>
            <w:pPr>
              <w:spacing w:after="0"/>
              <w:rPr>
                <w:sz w:val="1"/>
                <w:szCs w:val="1"/>
                <w:color w:val="auto"/>
              </w:rPr>
            </w:pPr>
          </w:p>
        </w:tc>
      </w:tr>
      <w:tr>
        <w:trPr>
          <w:trHeight w:val="243"/>
        </w:trPr>
        <w:tc>
          <w:tcPr>
            <w:tcW w:w="8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100,641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92,494</w:t>
            </w:r>
          </w:p>
        </w:tc>
        <w:tc>
          <w:tcPr>
            <w:tcW w:w="0" w:type="dxa"/>
            <w:vAlign w:val="bottom"/>
          </w:tcPr>
          <w:p>
            <w:pPr>
              <w:spacing w:after="0"/>
              <w:rPr>
                <w:sz w:val="1"/>
                <w:szCs w:val="1"/>
                <w:color w:val="auto"/>
              </w:rPr>
            </w:pPr>
          </w:p>
        </w:tc>
      </w:tr>
      <w:tr>
        <w:trPr>
          <w:trHeight w:val="40"/>
        </w:trPr>
        <w:tc>
          <w:tcPr>
            <w:tcW w:w="8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liabilities, current portion</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w:t>
            </w:r>
          </w:p>
        </w:tc>
        <w:tc>
          <w:tcPr>
            <w:tcW w:w="0" w:type="dxa"/>
            <w:vAlign w:val="bottom"/>
          </w:tcPr>
          <w:p>
            <w:pPr>
              <w:spacing w:after="0"/>
              <w:rPr>
                <w:sz w:val="1"/>
                <w:szCs w:val="1"/>
                <w:color w:val="auto"/>
              </w:rPr>
            </w:pPr>
          </w:p>
        </w:tc>
      </w:tr>
      <w:tr>
        <w:trPr>
          <w:trHeight w:val="238"/>
        </w:trPr>
        <w:tc>
          <w:tcPr>
            <w:tcW w:w="8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liabilities (including $99,201 and $92,258 associated with related parties as of March 31, 2024 and</w:t>
            </w:r>
          </w:p>
        </w:tc>
        <w:tc>
          <w:tcPr>
            <w:tcW w:w="22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827,041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798,990</w:t>
            </w:r>
          </w:p>
        </w:tc>
        <w:tc>
          <w:tcPr>
            <w:tcW w:w="0" w:type="dxa"/>
            <w:vAlign w:val="bottom"/>
          </w:tcPr>
          <w:p>
            <w:pPr>
              <w:spacing w:after="0"/>
              <w:rPr>
                <w:sz w:val="1"/>
                <w:szCs w:val="1"/>
                <w:color w:val="auto"/>
              </w:rPr>
            </w:pPr>
          </w:p>
        </w:tc>
      </w:tr>
      <w:tr>
        <w:trPr>
          <w:trHeight w:val="234"/>
        </w:trPr>
        <w:tc>
          <w:tcPr>
            <w:tcW w:w="8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1,036,719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1,008,410</w:t>
            </w:r>
          </w:p>
        </w:tc>
        <w:tc>
          <w:tcPr>
            <w:tcW w:w="0" w:type="dxa"/>
            <w:vAlign w:val="bottom"/>
          </w:tcPr>
          <w:p>
            <w:pPr>
              <w:spacing w:after="0"/>
              <w:rPr>
                <w:sz w:val="1"/>
                <w:szCs w:val="1"/>
                <w:color w:val="auto"/>
              </w:rPr>
            </w:pPr>
          </w:p>
        </w:tc>
      </w:tr>
      <w:tr>
        <w:trPr>
          <w:trHeight w:val="24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liabilities, net of current portion</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77,653</w:t>
            </w:r>
          </w:p>
        </w:tc>
        <w:tc>
          <w:tcPr>
            <w:tcW w:w="0" w:type="dxa"/>
            <w:vAlign w:val="bottom"/>
          </w:tcPr>
          <w:p>
            <w:pPr>
              <w:spacing w:after="0"/>
              <w:rPr>
                <w:sz w:val="1"/>
                <w:szCs w:val="1"/>
                <w:color w:val="auto"/>
              </w:rPr>
            </w:pPr>
          </w:p>
        </w:tc>
      </w:tr>
      <w:tr>
        <w:trPr>
          <w:trHeight w:val="40"/>
        </w:trPr>
        <w:tc>
          <w:tcPr>
            <w:tcW w:w="8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 liability</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53,664</w:t>
            </w:r>
          </w:p>
        </w:tc>
        <w:tc>
          <w:tcPr>
            <w:tcW w:w="0" w:type="dxa"/>
            <w:vAlign w:val="bottom"/>
          </w:tcPr>
          <w:p>
            <w:pPr>
              <w:spacing w:after="0"/>
              <w:rPr>
                <w:sz w:val="1"/>
                <w:szCs w:val="1"/>
                <w:color w:val="auto"/>
              </w:rPr>
            </w:pPr>
          </w:p>
        </w:tc>
      </w:tr>
      <w:tr>
        <w:trPr>
          <w:trHeight w:val="24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1,998,251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1,996,960</w:t>
            </w:r>
          </w:p>
        </w:tc>
        <w:tc>
          <w:tcPr>
            <w:tcW w:w="0" w:type="dxa"/>
            <w:vAlign w:val="bottom"/>
          </w:tcPr>
          <w:p>
            <w:pPr>
              <w:spacing w:after="0"/>
              <w:rPr>
                <w:sz w:val="1"/>
                <w:szCs w:val="1"/>
                <w:color w:val="auto"/>
              </w:rPr>
            </w:pPr>
          </w:p>
        </w:tc>
      </w:tr>
      <w:tr>
        <w:trPr>
          <w:trHeight w:val="40"/>
        </w:trPr>
        <w:tc>
          <w:tcPr>
            <w:tcW w:w="8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 (including $163,424 and $178,311 associated with related parties as of March 31, 2024</w:t>
            </w:r>
          </w:p>
        </w:tc>
        <w:tc>
          <w:tcPr>
            <w:tcW w:w="220" w:type="dxa"/>
            <w:vAlign w:val="bottom"/>
            <w:shd w:val="clear" w:color="auto" w:fill="CCEEFF"/>
          </w:tcPr>
          <w:p>
            <w:pPr>
              <w:spacing w:after="0"/>
              <w:rPr>
                <w:sz w:val="20"/>
                <w:szCs w:val="2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525,914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524,339</w:t>
            </w:r>
          </w:p>
        </w:tc>
        <w:tc>
          <w:tcPr>
            <w:tcW w:w="0" w:type="dxa"/>
            <w:vAlign w:val="bottom"/>
          </w:tcPr>
          <w:p>
            <w:pPr>
              <w:spacing w:after="0"/>
              <w:rPr>
                <w:sz w:val="1"/>
                <w:szCs w:val="1"/>
                <w:color w:val="auto"/>
              </w:rPr>
            </w:pPr>
          </w:p>
        </w:tc>
      </w:tr>
      <w:tr>
        <w:trPr>
          <w:trHeight w:val="241"/>
        </w:trPr>
        <w:tc>
          <w:tcPr>
            <w:tcW w:w="85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liability (related party)</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84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85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4,160,401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3,661,026</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REDEEMABLE CONVERTIBLE PREFERRED STOCK</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 (related party), par value $0.0001; 10,000,000 shares authorized as of</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March 31, 2024 and December 31, 2023; 100,000 and 0 shares issued and outstanding as of March 31, 2024 and</w:t>
            </w:r>
          </w:p>
        </w:tc>
        <w:tc>
          <w:tcPr>
            <w:tcW w:w="22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504,450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par value $0.0001; 15,000,000,000 shares authorized as of March 31, 2024 and December 31, 2023;</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2,307,786,638 and 2,300,111,489 shares issued and 2,306,928,813 and 2,299,253,664 shares outstanding as of</w:t>
            </w:r>
          </w:p>
        </w:tc>
        <w:tc>
          <w:tcPr>
            <w:tcW w:w="22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41"/>
        </w:trPr>
        <w:tc>
          <w:tcPr>
            <w:tcW w:w="85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March 31, 2024 and December 31, 2023,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15,134,686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15,066,080</w:t>
            </w:r>
          </w:p>
        </w:tc>
        <w:tc>
          <w:tcPr>
            <w:tcW w:w="0" w:type="dxa"/>
            <w:vAlign w:val="bottom"/>
          </w:tcPr>
          <w:p>
            <w:pPr>
              <w:spacing w:after="0"/>
              <w:rPr>
                <w:sz w:val="1"/>
                <w:szCs w:val="1"/>
                <w:color w:val="auto"/>
              </w:rPr>
            </w:pPr>
          </w:p>
        </w:tc>
      </w:tr>
      <w:tr>
        <w:trPr>
          <w:trHeight w:val="41"/>
        </w:trPr>
        <w:tc>
          <w:tcPr>
            <w:tcW w:w="8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at cost, 857,825 shares at March 31, 2024 and December 31, 2023</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(20,716)</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(20,716)</w:t>
            </w:r>
          </w:p>
        </w:tc>
        <w:tc>
          <w:tcPr>
            <w:tcW w:w="0" w:type="dxa"/>
            <w:vAlign w:val="bottom"/>
          </w:tcPr>
          <w:p>
            <w:pPr>
              <w:spacing w:after="0"/>
              <w:rPr>
                <w:sz w:val="1"/>
                <w:szCs w:val="1"/>
                <w:color w:val="auto"/>
              </w:rPr>
            </w:pPr>
          </w:p>
        </w:tc>
      </w:tr>
      <w:tr>
        <w:trPr>
          <w:trHeight w:val="24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0" w:type="dxa"/>
            <w:vAlign w:val="bottom"/>
          </w:tcPr>
          <w:p>
            <w:pPr>
              <w:spacing w:after="0"/>
              <w:rPr>
                <w:sz w:val="1"/>
                <w:szCs w:val="1"/>
                <w:color w:val="auto"/>
              </w:rPr>
            </w:pPr>
          </w:p>
        </w:tc>
      </w:tr>
      <w:tr>
        <w:trPr>
          <w:trHeight w:val="40"/>
        </w:trPr>
        <w:tc>
          <w:tcPr>
            <w:tcW w:w="8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(10,879,611)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(10,198,752)</w:t>
            </w:r>
          </w:p>
        </w:tc>
        <w:tc>
          <w:tcPr>
            <w:tcW w:w="0" w:type="dxa"/>
            <w:vAlign w:val="bottom"/>
          </w:tcPr>
          <w:p>
            <w:pPr>
              <w:spacing w:after="0"/>
              <w:rPr>
                <w:sz w:val="1"/>
                <w:szCs w:val="1"/>
                <w:color w:val="auto"/>
              </w:rPr>
            </w:pPr>
          </w:p>
        </w:tc>
      </w:tr>
      <w:tr>
        <w:trPr>
          <w:trHeight w:val="236"/>
        </w:trPr>
        <w:tc>
          <w:tcPr>
            <w:tcW w:w="8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4,232,190</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4,851,692</w:t>
            </w:r>
          </w:p>
        </w:tc>
        <w:tc>
          <w:tcPr>
            <w:tcW w:w="0" w:type="dxa"/>
            <w:vAlign w:val="bottom"/>
          </w:tcPr>
          <w:p>
            <w:pPr>
              <w:spacing w:after="0"/>
              <w:rPr>
                <w:sz w:val="1"/>
                <w:szCs w:val="1"/>
                <w:color w:val="auto"/>
              </w:rPr>
            </w:pPr>
          </w:p>
        </w:tc>
      </w:tr>
      <w:tr>
        <w:trPr>
          <w:trHeight w:val="41"/>
        </w:trPr>
        <w:tc>
          <w:tcPr>
            <w:tcW w:w="84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REDEEMABLE CONVERTIBLE PREFERRED STOCK AND STOCKHOLDERS’</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8,897,041</w:t>
            </w:r>
          </w:p>
        </w:tc>
        <w:tc>
          <w:tcPr>
            <w:tcW w:w="8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8,512,718</w:t>
            </w:r>
          </w:p>
        </w:tc>
        <w:tc>
          <w:tcPr>
            <w:tcW w:w="0" w:type="dxa"/>
            <w:vAlign w:val="bottom"/>
          </w:tcPr>
          <w:p>
            <w:pPr>
              <w:spacing w:after="0"/>
              <w:rPr>
                <w:sz w:val="1"/>
                <w:szCs w:val="1"/>
                <w:color w:val="auto"/>
              </w:rPr>
            </w:pPr>
          </w:p>
        </w:tc>
      </w:tr>
      <w:tr>
        <w:trPr>
          <w:trHeight w:val="258"/>
        </w:trPr>
        <w:tc>
          <w:tcPr>
            <w:tcW w:w="85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10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ectPr>
          <w:pgSz w:w="11900" w:h="16838" w:orient="portrait"/>
          <w:cols w:equalWidth="0" w:num="1">
            <w:col w:w="11200"/>
          </w:cols>
          <w:pgMar w:left="340" w:top="617" w:right="359" w:bottom="577" w:gutter="0" w:footer="0" w:header="0"/>
        </w:sect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00"/>
          </w:cols>
          <w:pgMar w:left="340" w:top="617" w:right="359" w:bottom="577" w:gutter="0" w:footer="0" w:header="0"/>
          <w:type w:val="continuous"/>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5389245</wp:posOffset>
            </wp:positionH>
            <wp:positionV relativeFrom="paragraph">
              <wp:posOffset>33020</wp:posOffset>
            </wp:positionV>
            <wp:extent cx="16630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1"/>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Revenue (including $51,366 and $0 revenue from a related party for three months ended March 31, 2024</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73"/>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and 2023, respectively)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149,432</w:t>
            </w:r>
          </w:p>
        </w:tc>
      </w:tr>
      <w:tr>
        <w:trPr>
          <w:trHeight w:val="270"/>
        </w:trPr>
        <w:tc>
          <w:tcPr>
            <w:tcW w:w="8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7"/>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Costs and expenses</w:t>
            </w:r>
          </w:p>
        </w:tc>
        <w:tc>
          <w:tcPr>
            <w:tcW w:w="1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r>
      <w:tr>
        <w:trPr>
          <w:trHeight w:val="243"/>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404,796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500,524</w:t>
            </w:r>
          </w:p>
        </w:tc>
      </w:tr>
      <w:tr>
        <w:trPr>
          <w:trHeight w:val="40"/>
        </w:trPr>
        <w:tc>
          <w:tcPr>
            <w:tcW w:w="8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8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284,627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229,803</w:t>
            </w:r>
          </w:p>
        </w:tc>
      </w:tr>
      <w:tr>
        <w:trPr>
          <w:trHeight w:val="276"/>
        </w:trPr>
        <w:tc>
          <w:tcPr>
            <w:tcW w:w="8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213,232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168,770</w:t>
            </w:r>
          </w:p>
        </w:tc>
      </w:tr>
      <w:tr>
        <w:trPr>
          <w:trHeight w:val="21"/>
        </w:trPr>
        <w:tc>
          <w:tcPr>
            <w:tcW w:w="8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97"/>
        </w:trPr>
        <w:tc>
          <w:tcPr>
            <w:tcW w:w="8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Restructuring charges</w:t>
            </w: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22,496</w:t>
            </w:r>
          </w:p>
        </w:tc>
      </w:tr>
      <w:tr>
        <w:trPr>
          <w:trHeight w:val="256"/>
        </w:trPr>
        <w:tc>
          <w:tcPr>
            <w:tcW w:w="84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Total cost and expenses</w:t>
            </w:r>
          </w:p>
        </w:tc>
        <w:tc>
          <w:tcPr>
            <w:tcW w:w="1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902,655</w:t>
            </w: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921,593</w:t>
            </w:r>
          </w:p>
        </w:tc>
      </w:tr>
      <w:tr>
        <w:trPr>
          <w:trHeight w:val="21"/>
        </w:trPr>
        <w:tc>
          <w:tcPr>
            <w:tcW w:w="8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8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76"/>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(729,915)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(772,161)</w:t>
            </w:r>
          </w:p>
        </w:tc>
      </w:tr>
      <w:tr>
        <w:trPr>
          <w:trHeight w:val="21"/>
        </w:trPr>
        <w:tc>
          <w:tcPr>
            <w:tcW w:w="8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0"/>
        </w:trPr>
        <w:tc>
          <w:tcPr>
            <w:tcW w:w="8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76"/>
        </w:trPr>
        <w:tc>
          <w:tcPr>
            <w:tcW w:w="8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Other income (expense), net</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
        </w:trPr>
        <w:tc>
          <w:tcPr>
            <w:tcW w:w="8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7"/>
        </w:trPr>
        <w:tc>
          <w:tcPr>
            <w:tcW w:w="8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Change in fair value of common stock warrant liability</w:t>
            </w:r>
          </w:p>
        </w:tc>
        <w:tc>
          <w:tcPr>
            <w:tcW w:w="1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(40,802)</w:t>
            </w:r>
          </w:p>
        </w:tc>
      </w:tr>
      <w:tr>
        <w:trPr>
          <w:trHeight w:val="276"/>
        </w:trPr>
        <w:tc>
          <w:tcPr>
            <w:tcW w:w="8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Change in fair value of equity securities of a related party</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8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7"/>
        </w:trPr>
        <w:tc>
          <w:tcPr>
            <w:tcW w:w="8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Interest income</w:t>
            </w:r>
          </w:p>
        </w:tc>
        <w:tc>
          <w:tcPr>
            <w:tcW w:w="1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40,005</w:t>
            </w:r>
          </w:p>
        </w:tc>
      </w:tr>
      <w:tr>
        <w:trPr>
          <w:trHeight w:val="276"/>
        </w:trPr>
        <w:tc>
          <w:tcPr>
            <w:tcW w:w="8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Interest expense</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w:t>
            </w:r>
          </w:p>
        </w:tc>
      </w:tr>
      <w:tr>
        <w:trPr>
          <w:trHeight w:val="21"/>
        </w:trPr>
        <w:tc>
          <w:tcPr>
            <w:tcW w:w="8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97"/>
        </w:trPr>
        <w:tc>
          <w:tcPr>
            <w:tcW w:w="8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Other income (expense), net</w:t>
            </w:r>
          </w:p>
        </w:tc>
        <w:tc>
          <w:tcPr>
            <w:tcW w:w="1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56"/>
        </w:trPr>
        <w:tc>
          <w:tcPr>
            <w:tcW w:w="84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Total other income (expense), net</w:t>
            </w:r>
          </w:p>
        </w:tc>
        <w:tc>
          <w:tcPr>
            <w:tcW w:w="1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49,244</w:t>
            </w: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(7,238)</w:t>
            </w:r>
          </w:p>
        </w:tc>
      </w:tr>
      <w:tr>
        <w:trPr>
          <w:trHeight w:val="21"/>
        </w:trPr>
        <w:tc>
          <w:tcPr>
            <w:tcW w:w="8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7"/>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Loss before provision for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(680,671)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(779,399)</w:t>
            </w:r>
          </w:p>
        </w:tc>
      </w:tr>
      <w:tr>
        <w:trPr>
          <w:trHeight w:val="276"/>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
        </w:trPr>
        <w:tc>
          <w:tcPr>
            <w:tcW w:w="8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7"/>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Net loss</w:t>
            </w:r>
          </w:p>
        </w:tc>
        <w:tc>
          <w:tcPr>
            <w:tcW w:w="1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(680,859)</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(779,528)</w:t>
            </w:r>
          </w:p>
        </w:tc>
      </w:tr>
      <w:tr>
        <w:trPr>
          <w:trHeight w:val="256"/>
        </w:trPr>
        <w:tc>
          <w:tcPr>
            <w:tcW w:w="8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Accretion of redeemable convertible preferred stock (related party)</w:t>
            </w:r>
          </w:p>
        </w:tc>
        <w:tc>
          <w:tcPr>
            <w:tcW w:w="1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8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02"/>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Net loss attributable to common stockholders, 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(684,760)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(779,528)</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77"/>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Weighted average shares outstanding attributable to common stockholders, basic and diluted</w:t>
            </w:r>
          </w:p>
        </w:tc>
        <w:tc>
          <w:tcPr>
            <w:tcW w:w="1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2,301,870,644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1,831,725,009</w:t>
            </w:r>
          </w:p>
        </w:tc>
      </w:tr>
      <w:tr>
        <w:trPr>
          <w:trHeight w:val="270"/>
        </w:trPr>
        <w:tc>
          <w:tcPr>
            <w:tcW w:w="8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7"/>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loss per share attributable to common stockholders, basic and 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56"/>
        </w:trPr>
        <w:tc>
          <w:tcPr>
            <w:tcW w:w="8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b w:val="1"/>
                <w:bCs w:val="1"/>
                <w:color w:val="auto"/>
              </w:rPr>
              <w:t>Other comprehensive income (loss)</w:t>
            </w:r>
          </w:p>
        </w:tc>
        <w:tc>
          <w:tcPr>
            <w:tcW w:w="1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r>
      <w:tr>
        <w:trPr>
          <w:trHeight w:val="276"/>
        </w:trPr>
        <w:tc>
          <w:tcPr>
            <w:tcW w:w="8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Net unrealized gains (losses) on investments, net of tax</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w:t>
            </w:r>
          </w:p>
        </w:tc>
      </w:tr>
      <w:tr>
        <w:trPr>
          <w:trHeight w:val="21"/>
        </w:trPr>
        <w:tc>
          <w:tcPr>
            <w:tcW w:w="8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97"/>
        </w:trPr>
        <w:tc>
          <w:tcPr>
            <w:tcW w:w="8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1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4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Total other comprehensive income (loss)</w:t>
            </w:r>
          </w:p>
        </w:tc>
        <w:tc>
          <w:tcPr>
            <w:tcW w:w="1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4,035</w:t>
            </w:r>
          </w:p>
        </w:tc>
      </w:tr>
      <w:tr>
        <w:trPr>
          <w:trHeight w:val="21"/>
        </w:trPr>
        <w:tc>
          <w:tcPr>
            <w:tcW w:w="8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7"/>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Comprehensive loss</w:t>
            </w:r>
          </w:p>
        </w:tc>
        <w:tc>
          <w:tcPr>
            <w:tcW w:w="1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(688,109)</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(775,493)</w:t>
            </w:r>
          </w:p>
        </w:tc>
      </w:tr>
      <w:tr>
        <w:trPr>
          <w:trHeight w:val="256"/>
        </w:trPr>
        <w:tc>
          <w:tcPr>
            <w:tcW w:w="8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Accretion of redeemable convertible preferred stock (related party)</w:t>
            </w:r>
          </w:p>
        </w:tc>
        <w:tc>
          <w:tcPr>
            <w:tcW w:w="1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8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02"/>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Comprehensive loss attributable to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(692,010)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(775,493)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400" w:top="819" w:right="399" w:bottom="1440" w:gutter="0" w:footer="0" w:header="0"/>
        </w:sectPr>
      </w:pP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00"/>
          </w:cols>
          <w:pgMar w:left="400" w:top="819" w:right="399" w:bottom="1440" w:gutter="0" w:footer="0" w:header="0"/>
          <w:type w:val="continuous"/>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33020</wp:posOffset>
            </wp:positionV>
            <wp:extent cx="16459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(680,859)</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(779,528)</w:t>
            </w:r>
          </w:p>
        </w:tc>
      </w:tr>
      <w:tr>
        <w:trPr>
          <w:trHeight w:val="40"/>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3"/>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68,838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49,838</w:t>
            </w:r>
          </w:p>
        </w:tc>
      </w:tr>
      <w:tr>
        <w:trPr>
          <w:trHeight w:val="40"/>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4"/>
        </w:trPr>
        <w:tc>
          <w:tcPr>
            <w:tcW w:w="8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insurance premium</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w:t>
            </w:r>
          </w:p>
        </w:tc>
      </w:tr>
      <w:tr>
        <w:trPr>
          <w:trHeight w:val="243"/>
        </w:trPr>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w:t>
            </w:r>
          </w:p>
        </w:tc>
      </w:tr>
      <w:tr>
        <w:trPr>
          <w:trHeight w:val="41"/>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3"/>
        </w:trPr>
        <w:tc>
          <w:tcPr>
            <w:tcW w:w="8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53,819</w:t>
            </w:r>
          </w:p>
        </w:tc>
      </w:tr>
      <w:tr>
        <w:trPr>
          <w:trHeight w:val="243"/>
        </w:trPr>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 and firm purchase commitments write-downs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132,298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227,048</w:t>
            </w:r>
          </w:p>
        </w:tc>
      </w:tr>
      <w:tr>
        <w:trPr>
          <w:trHeight w:val="40"/>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3"/>
        </w:trPr>
        <w:tc>
          <w:tcPr>
            <w:tcW w:w="8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common stock warrant liability</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40,802</w:t>
            </w:r>
          </w:p>
        </w:tc>
      </w:tr>
      <w:tr>
        <w:trPr>
          <w:trHeight w:val="243"/>
        </w:trPr>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accretion of investment discounts/premiums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(21,395)</w:t>
            </w:r>
          </w:p>
        </w:tc>
      </w:tr>
      <w:tr>
        <w:trPr>
          <w:trHeight w:val="40"/>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4"/>
        </w:trPr>
        <w:tc>
          <w:tcPr>
            <w:tcW w:w="8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equity securities of a related party</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19,933</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non-cash items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41"/>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3"/>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25"/>
        </w:trPr>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(including $(49,358) and $0 from a related party for the three months ended March 31, 2024</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2023, respectively)</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(75,196)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17,009</w:t>
            </w:r>
          </w:p>
        </w:tc>
      </w:tr>
      <w:tr>
        <w:trPr>
          <w:trHeight w:val="40"/>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4"/>
        </w:trPr>
        <w:tc>
          <w:tcPr>
            <w:tcW w:w="8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(354,154)</w:t>
            </w:r>
          </w:p>
        </w:tc>
      </w:tr>
      <w:tr>
        <w:trPr>
          <w:trHeight w:val="243"/>
        </w:trPr>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(9,082)</w:t>
            </w:r>
          </w:p>
        </w:tc>
      </w:tr>
      <w:tr>
        <w:trPr>
          <w:trHeight w:val="40"/>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4"/>
        </w:trPr>
        <w:tc>
          <w:tcPr>
            <w:tcW w:w="8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22,193</w:t>
            </w:r>
          </w:p>
        </w:tc>
      </w:tr>
      <w:tr>
        <w:trPr>
          <w:trHeight w:val="243"/>
        </w:trPr>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(27,337)</w:t>
            </w:r>
          </w:p>
        </w:tc>
      </w:tr>
      <w:tr>
        <w:trPr>
          <w:trHeight w:val="40"/>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3"/>
        </w:trPr>
        <w:tc>
          <w:tcPr>
            <w:tcW w:w="8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(66,174)</w:t>
            </w:r>
          </w:p>
        </w:tc>
      </w:tr>
      <w:tr>
        <w:trPr>
          <w:trHeight w:val="243"/>
        </w:trPr>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21,545</w:t>
            </w:r>
          </w:p>
        </w:tc>
      </w:tr>
      <w:tr>
        <w:trPr>
          <w:trHeight w:val="40"/>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3"/>
        </w:trPr>
        <w:tc>
          <w:tcPr>
            <w:tcW w:w="8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r>
      <w:tr>
        <w:trPr>
          <w:trHeight w:val="243"/>
        </w:trPr>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w:t>
            </w:r>
          </w:p>
        </w:tc>
      </w:tr>
      <w:tr>
        <w:trPr>
          <w:trHeight w:val="40"/>
        </w:trPr>
        <w:tc>
          <w:tcPr>
            <w:tcW w:w="86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77"/>
        </w:trPr>
        <w:tc>
          <w:tcPr>
            <w:tcW w:w="86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(516,745)</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(801,264)</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40"/>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25"/>
        </w:trPr>
        <w:tc>
          <w:tcPr>
            <w:tcW w:w="8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property, plant and equipment (including $(6,026) and $(20,421) from a related party for the three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5"/>
        </w:trPr>
        <w:tc>
          <w:tcPr>
            <w:tcW w:w="8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months ended March 31, 2024 and 2023, respectively)</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(198,197)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(241,770)</w:t>
            </w:r>
          </w:p>
        </w:tc>
      </w:tr>
      <w:tr>
        <w:trPr>
          <w:trHeight w:val="243"/>
        </w:trPr>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(514,548)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(842,538)</w:t>
            </w:r>
          </w:p>
        </w:tc>
      </w:tr>
      <w:tr>
        <w:trPr>
          <w:trHeight w:val="40"/>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3"/>
        </w:trPr>
        <w:tc>
          <w:tcPr>
            <w:tcW w:w="8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maturities of investments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1,030,291</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1,041,151</w:t>
            </w:r>
          </w:p>
        </w:tc>
      </w:tr>
      <w:tr>
        <w:trPr>
          <w:trHeight w:val="243"/>
        </w:trPr>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2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13,244</w:t>
            </w:r>
          </w:p>
        </w:tc>
      </w:tr>
      <w:tr>
        <w:trPr>
          <w:trHeight w:val="40"/>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84"/>
        </w:trPr>
        <w:tc>
          <w:tcPr>
            <w:tcW w:w="8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37"/>
        </w:trPr>
        <w:tc>
          <w:tcPr>
            <w:tcW w:w="8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317,546</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(28,716)</w:t>
            </w:r>
          </w:p>
        </w:tc>
      </w:tr>
      <w:tr>
        <w:trPr>
          <w:trHeight w:val="40"/>
        </w:trPr>
        <w:tc>
          <w:tcPr>
            <w:tcW w:w="86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4"/>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for finance lease liabilities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40"/>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4"/>
        </w:trPr>
        <w:tc>
          <w:tcPr>
            <w:tcW w:w="8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r>
      <w:tr>
        <w:trPr>
          <w:trHeight w:val="243"/>
        </w:trPr>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redeemable convertible preferred stock to a related party</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83"/>
        </w:trPr>
        <w:tc>
          <w:tcPr>
            <w:tcW w:w="8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withholding payments for net settlement of employee awards</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w:t>
            </w:r>
          </w:p>
        </w:tc>
      </w:tr>
      <w:tr>
        <w:trPr>
          <w:trHeight w:val="236"/>
        </w:trPr>
        <w:tc>
          <w:tcPr>
            <w:tcW w:w="8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997,202</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w:t>
            </w:r>
          </w:p>
        </w:tc>
      </w:tr>
      <w:tr>
        <w:trPr>
          <w:trHeight w:val="41"/>
        </w:trPr>
        <w:tc>
          <w:tcPr>
            <w:tcW w:w="86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57"/>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798,003</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(835,725)</w:t>
            </w: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Beginning cash, cash equivalents, and restricted cash</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1,371,507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1,737,320</w:t>
            </w:r>
          </w:p>
        </w:tc>
      </w:tr>
      <w:tr>
        <w:trPr>
          <w:trHeight w:val="41"/>
        </w:trPr>
        <w:tc>
          <w:tcPr>
            <w:tcW w:w="86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95"/>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cash, cash equivalents, and restricted cash</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2,169,510</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901,595</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819" w:right="359" w:bottom="1440" w:gutter="0" w:footer="0" w:header="0"/>
        </w:sectPr>
      </w:pP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180"/>
          </w:cols>
          <w:pgMar w:left="360" w:top="819" w:right="359" w:bottom="1440" w:gutter="0" w:footer="0" w:header="0"/>
          <w:type w:val="continuous"/>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Adjusted EBITDA</w:t>
      </w:r>
    </w:p>
    <w:p>
      <w:pPr>
        <w:spacing w:after="0" w:line="250"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33020</wp:posOffset>
            </wp:positionV>
            <wp:extent cx="1680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61" w:lineRule="exact"/>
        <w:rPr>
          <w:sz w:val="20"/>
          <w:szCs w:val="20"/>
          <w:color w:val="auto"/>
        </w:rPr>
      </w:pPr>
    </w:p>
    <w:p>
      <w:pPr>
        <w:ind w:left="9100"/>
        <w:spacing w:after="0"/>
        <w:tabs>
          <w:tab w:leader="none" w:pos="104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51" w:lineRule="exact"/>
        <w:rPr>
          <w:sz w:val="20"/>
          <w:szCs w:val="20"/>
          <w:color w:val="auto"/>
        </w:rPr>
      </w:pPr>
    </w:p>
    <w:p>
      <w:pPr>
        <w:ind w:left="20"/>
        <w:spacing w:after="0"/>
        <w:tabs>
          <w:tab w:leader="none" w:pos="8600" w:val="left"/>
          <w:tab w:leader="none" w:pos="9120" w:val="left"/>
          <w:tab w:leader="none" w:pos="10480" w:val="left"/>
        </w:tabs>
        <w:rPr>
          <w:sz w:val="20"/>
          <w:szCs w:val="20"/>
          <w:color w:val="auto"/>
        </w:rPr>
      </w:pPr>
      <w:r>
        <w:rPr>
          <w:rFonts w:ascii="Times New Roman" w:cs="Times New Roman" w:eastAsia="Times New Roman" w:hAnsi="Times New Roman"/>
          <w:sz w:val="18"/>
          <w:szCs w:val="18"/>
          <w:b w:val="1"/>
          <w:bCs w:val="1"/>
          <w:color w:val="auto"/>
        </w:rPr>
        <w:t>Net loss (GAAP)</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(680,859)  $</w:t>
      </w:r>
      <w:r>
        <w:rPr>
          <w:sz w:val="20"/>
          <w:szCs w:val="20"/>
          <w:color w:val="auto"/>
        </w:rPr>
        <w:tab/>
      </w:r>
      <w:r>
        <w:rPr>
          <w:rFonts w:ascii="Times New Roman" w:cs="Times New Roman" w:eastAsia="Times New Roman" w:hAnsi="Times New Roman"/>
          <w:sz w:val="18"/>
          <w:szCs w:val="18"/>
          <w:b w:val="1"/>
          <w:bCs w:val="1"/>
          <w:color w:val="auto"/>
        </w:rPr>
        <w:t>(779,528)</w:t>
      </w:r>
    </w:p>
    <w:p>
      <w:pPr>
        <w:sectPr>
          <w:pgSz w:w="11900" w:h="16838" w:orient="portrait"/>
          <w:cols w:equalWidth="0" w:num="1">
            <w:col w:w="11240"/>
          </w:cols>
          <w:pgMar w:left="320" w:top="819" w:right="339" w:bottom="1440" w:gutter="0" w:footer="0" w:header="0"/>
        </w:sectPr>
      </w:pP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fair value of common stock 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fair value of equity securities of a related party</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Restructuring charges</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Free Cash Flow</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780"/>
        <w:spacing w:after="0"/>
        <w:tabs>
          <w:tab w:leader="none" w:pos="2120" w:val="left"/>
        </w:tabs>
        <w:rPr>
          <w:sz w:val="20"/>
          <w:szCs w:val="20"/>
          <w:color w:val="auto"/>
        </w:rPr>
      </w:pPr>
      <w:r>
        <w:rPr>
          <w:rFonts w:ascii="Times New Roman" w:cs="Times New Roman" w:eastAsia="Times New Roman" w:hAnsi="Times New Roman"/>
          <w:sz w:val="18"/>
          <w:szCs w:val="18"/>
          <w:color w:val="auto"/>
        </w:rPr>
        <w:t>7,501</w:t>
      </w:r>
      <w:r>
        <w:rPr>
          <w:sz w:val="20"/>
          <w:szCs w:val="20"/>
          <w:color w:val="auto"/>
        </w:rPr>
        <w:tab/>
      </w:r>
      <w:r>
        <w:rPr>
          <w:rFonts w:ascii="Times New Roman" w:cs="Times New Roman" w:eastAsia="Times New Roman" w:hAnsi="Times New Roman"/>
          <w:sz w:val="18"/>
          <w:szCs w:val="18"/>
          <w:color w:val="auto"/>
        </w:rPr>
        <w:t>7,108</w:t>
      </w:r>
    </w:p>
    <w:p>
      <w:pPr>
        <w:spacing w:after="0" w:line="77" w:lineRule="exact"/>
        <w:rPr>
          <w:sz w:val="20"/>
          <w:szCs w:val="20"/>
          <w:color w:val="auto"/>
        </w:rPr>
      </w:pPr>
    </w:p>
    <w:p>
      <w:pPr>
        <w:jc w:val="both"/>
        <w:ind w:left="620"/>
        <w:spacing w:after="0"/>
        <w:tabs>
          <w:tab w:leader="none" w:pos="1960" w:val="left"/>
        </w:tabs>
        <w:rPr>
          <w:sz w:val="20"/>
          <w:szCs w:val="20"/>
          <w:color w:val="auto"/>
        </w:rPr>
      </w:pPr>
      <w:r>
        <w:rPr>
          <w:rFonts w:ascii="Times New Roman" w:cs="Times New Roman" w:eastAsia="Times New Roman" w:hAnsi="Times New Roman"/>
          <w:sz w:val="18"/>
          <w:szCs w:val="18"/>
          <w:color w:val="auto"/>
        </w:rPr>
        <w:t>(50,631)</w:t>
      </w:r>
      <w:r>
        <w:rPr>
          <w:sz w:val="20"/>
          <w:szCs w:val="20"/>
          <w:color w:val="auto"/>
        </w:rPr>
        <w:tab/>
      </w:r>
      <w:r>
        <w:rPr>
          <w:rFonts w:ascii="Times New Roman" w:cs="Times New Roman" w:eastAsia="Times New Roman" w:hAnsi="Times New Roman"/>
          <w:sz w:val="18"/>
          <w:szCs w:val="18"/>
          <w:color w:val="auto"/>
        </w:rPr>
        <w:t>(40,005)</w:t>
      </w:r>
    </w:p>
    <w:p>
      <w:pPr>
        <w:spacing w:after="0" w:line="77" w:lineRule="exact"/>
        <w:rPr>
          <w:sz w:val="20"/>
          <w:szCs w:val="20"/>
          <w:color w:val="auto"/>
        </w:rPr>
      </w:pPr>
    </w:p>
    <w:p>
      <w:pPr>
        <w:ind w:left="2280" w:hanging="1365"/>
        <w:spacing w:after="0"/>
        <w:tabs>
          <w:tab w:leader="none" w:pos="2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w:t>
      </w:r>
    </w:p>
    <w:p>
      <w:pPr>
        <w:spacing w:after="0" w:line="76"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68,838</w:t>
      </w:r>
      <w:r>
        <w:rPr>
          <w:rFonts w:ascii="Times New Roman" w:cs="Times New Roman" w:eastAsia="Times New Roman" w:hAnsi="Times New Roman"/>
          <w:sz w:val="17"/>
          <w:szCs w:val="17"/>
          <w:color w:val="auto"/>
        </w:rPr>
        <w:t>49,838</w:t>
      </w:r>
    </w:p>
    <w:p>
      <w:pPr>
        <w:spacing w:after="0" w:line="77" w:lineRule="exact"/>
        <w:rPr>
          <w:sz w:val="20"/>
          <w:szCs w:val="20"/>
          <w:color w:val="auto"/>
        </w:rPr>
      </w:pPr>
    </w:p>
    <w:p>
      <w:pPr>
        <w:ind w:left="620"/>
        <w:spacing w:after="0"/>
        <w:tabs>
          <w:tab w:leader="none" w:pos="2040" w:val="left"/>
        </w:tabs>
        <w:rPr>
          <w:sz w:val="20"/>
          <w:szCs w:val="20"/>
          <w:color w:val="auto"/>
        </w:rPr>
      </w:pPr>
      <w:r>
        <w:rPr>
          <w:rFonts w:ascii="Times New Roman" w:cs="Times New Roman" w:eastAsia="Times New Roman" w:hAnsi="Times New Roman"/>
          <w:sz w:val="18"/>
          <w:szCs w:val="18"/>
          <w:color w:val="auto"/>
        </w:rPr>
        <w:t>(27,054)</w:t>
      </w:r>
      <w:r>
        <w:rPr>
          <w:sz w:val="20"/>
          <w:szCs w:val="20"/>
          <w:color w:val="auto"/>
        </w:rPr>
        <w:tab/>
      </w:r>
      <w:r>
        <w:rPr>
          <w:rFonts w:ascii="Times New Roman" w:cs="Times New Roman" w:eastAsia="Times New Roman" w:hAnsi="Times New Roman"/>
          <w:sz w:val="18"/>
          <w:szCs w:val="18"/>
          <w:color w:val="auto"/>
        </w:rPr>
        <w:t>40,802</w:t>
      </w:r>
    </w:p>
    <w:p>
      <w:pPr>
        <w:spacing w:after="0" w:line="77" w:lineRule="exact"/>
        <w:rPr>
          <w:sz w:val="20"/>
          <w:szCs w:val="20"/>
          <w:color w:val="auto"/>
        </w:rPr>
      </w:pPr>
    </w:p>
    <w:p>
      <w:pPr>
        <w:ind w:left="680"/>
        <w:spacing w:after="0"/>
        <w:tabs>
          <w:tab w:leader="none" w:pos="2340" w:val="left"/>
        </w:tabs>
        <w:rPr>
          <w:sz w:val="20"/>
          <w:szCs w:val="20"/>
          <w:color w:val="auto"/>
        </w:rPr>
      </w:pPr>
      <w:r>
        <w:rPr>
          <w:rFonts w:ascii="Times New Roman" w:cs="Times New Roman" w:eastAsia="Times New Roman" w:hAnsi="Times New Roman"/>
          <w:sz w:val="18"/>
          <w:szCs w:val="18"/>
          <w:color w:val="auto"/>
        </w:rPr>
        <w:t>19,933</w:t>
      </w:r>
      <w:r>
        <w:rPr>
          <w:sz w:val="20"/>
          <w:szCs w:val="20"/>
          <w:color w:val="auto"/>
        </w:rPr>
        <w:tab/>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680"/>
        <w:spacing w:after="0"/>
        <w:tabs>
          <w:tab w:leader="none" w:pos="2040" w:val="left"/>
        </w:tabs>
        <w:rPr>
          <w:sz w:val="20"/>
          <w:szCs w:val="20"/>
          <w:color w:val="auto"/>
        </w:rPr>
      </w:pPr>
      <w:r>
        <w:rPr>
          <w:rFonts w:ascii="Times New Roman" w:cs="Times New Roman" w:eastAsia="Times New Roman" w:hAnsi="Times New Roman"/>
          <w:sz w:val="18"/>
          <w:szCs w:val="18"/>
          <w:color w:val="auto"/>
        </w:rPr>
        <w:t>63,696</w:t>
      </w:r>
      <w:r>
        <w:rPr>
          <w:sz w:val="20"/>
          <w:szCs w:val="20"/>
          <w:color w:val="auto"/>
        </w:rPr>
        <w:tab/>
      </w:r>
      <w:r>
        <w:rPr>
          <w:rFonts w:ascii="Times New Roman" w:cs="Times New Roman" w:eastAsia="Times New Roman" w:hAnsi="Times New Roman"/>
          <w:sz w:val="18"/>
          <w:szCs w:val="18"/>
          <w:color w:val="auto"/>
        </w:rPr>
        <w:t>55,262</w:t>
      </w:r>
    </w:p>
    <w:p>
      <w:pPr>
        <w:spacing w:after="0" w:line="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22,496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43180</wp:posOffset>
            </wp:positionV>
            <wp:extent cx="1680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66" w:lineRule="exact"/>
        <w:rPr>
          <w:sz w:val="20"/>
          <w:szCs w:val="20"/>
          <w:color w:val="auto"/>
        </w:rPr>
      </w:pPr>
    </w:p>
    <w:p>
      <w:pPr>
        <w:spacing w:after="0"/>
        <w:tabs>
          <w:tab w:leader="none" w:pos="500" w:val="left"/>
          <w:tab w:leader="none" w:pos="186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(598,388)  $</w:t>
      </w:r>
      <w:r>
        <w:rPr>
          <w:sz w:val="20"/>
          <w:szCs w:val="20"/>
          <w:color w:val="auto"/>
        </w:rPr>
        <w:tab/>
      </w:r>
      <w:r>
        <w:rPr>
          <w:rFonts w:ascii="Times New Roman" w:cs="Times New Roman" w:eastAsia="Times New Roman" w:hAnsi="Times New Roman"/>
          <w:sz w:val="18"/>
          <w:szCs w:val="18"/>
          <w:b w:val="1"/>
          <w:bCs w:val="1"/>
          <w:color w:val="auto"/>
        </w:rPr>
        <w:t>(643,898)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45720</wp:posOffset>
            </wp:positionV>
            <wp:extent cx="168021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80210" cy="34290"/>
                    </a:xfrm>
                    <a:prstGeom prst="rect">
                      <a:avLst/>
                    </a:prstGeom>
                    <a:noFill/>
                  </pic:spPr>
                </pic:pic>
              </a:graphicData>
            </a:graphic>
          </wp:anchor>
        </w:drawing>
      </w:r>
    </w:p>
    <w:p>
      <w:pPr>
        <w:spacing w:after="0" w:line="780" w:lineRule="exact"/>
        <w:rPr>
          <w:sz w:val="20"/>
          <w:szCs w:val="20"/>
          <w:color w:val="auto"/>
        </w:rPr>
      </w:pPr>
    </w:p>
    <w:p>
      <w:pPr>
        <w:sectPr>
          <w:pgSz w:w="11900" w:h="16838" w:orient="portrait"/>
          <w:cols w:equalWidth="0" w:num="2">
            <w:col w:w="7900" w:space="720"/>
            <w:col w:w="2620"/>
          </w:cols>
          <w:pgMar w:left="320" w:top="819" w:right="339" w:bottom="1440" w:gutter="0" w:footer="0" w:header="0"/>
          <w:type w:val="continuous"/>
        </w:sectPr>
      </w:pPr>
    </w:p>
    <w:p>
      <w:pPr>
        <w:spacing w:after="0" w:line="50"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33020</wp:posOffset>
            </wp:positionV>
            <wp:extent cx="1680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 (GAAP)</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(516,745)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(801,264)</w:t>
            </w:r>
          </w:p>
        </w:tc>
      </w:tr>
      <w:tr>
        <w:trPr>
          <w:trHeight w:val="257"/>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(198,197)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(241,770)</w:t>
            </w:r>
          </w:p>
        </w:tc>
      </w:tr>
      <w:tr>
        <w:trPr>
          <w:trHeight w:val="27"/>
        </w:trPr>
        <w:tc>
          <w:tcPr>
            <w:tcW w:w="8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02"/>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 (non-GAAP)</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(714,942)</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(1,043,034)</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sectPr>
      <w:pgSz w:w="11900" w:h="16838" w:orient="portrait"/>
      <w:cols w:equalWidth="0" w:num="1">
        <w:col w:w="11240"/>
      </w:cols>
      <w:pgMar w:left="320" w:top="81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88"/>
    </w:lvl>
  </w:abstractNum>
  <w:abstractNum w:abstractNumId="3">
    <w:nsid w:val="625558EC"/>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2024-05-06T15:14:34Z</dcterms:created>
  <dcterms:modified xsi:type="dcterms:W3CDTF">2024-05-06T15:14:34Z</dcterms:modified>
</cp:coreProperties>
</file>