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13D/A</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549498 103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Everitt, General Counsel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Lucid Group,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(510) 648-3553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The Public Investment Fund</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WC</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8,041,393</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1,644,807,548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1,652,848,941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1,652,848,941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63.95%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OO – Sovereign Wealth Fund of the 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Ayar Third Investment Company</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WC</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1,644,807,548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1,644,807,548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63.63%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Turqi A. Alnowaiser</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2,118,501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1,644,807,548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2,118,501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1,646,926,049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63.72%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Yasir Alsalman</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3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3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401,454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1,644,807,548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Pr>
          <w:p>
            <w:pPr>
              <w:spacing w:after="0"/>
              <w:rPr>
                <w:sz w:val="18"/>
                <w:szCs w:val="18"/>
                <w:color w:val="auto"/>
              </w:rPr>
            </w:pPr>
          </w:p>
        </w:tc>
        <w:tc>
          <w:tcPr>
            <w:tcW w:w="3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401,454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1,645,209,002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63.65%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STATEMENT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constitutes Amendment No. 4 (“Amendment No. 3”) to the initial statement on Schedule 13D, filed on July 27, 2021 (the “Initial Schedule 13D”) by the undersigned, and amendment No. 1 to the Initial Schedule 13D, filed on November 15, 2022 (“Amendment No. 1”), amendment No. 2 to the Initial Schedule 13D, filed on December 22, 2022 (“Amendment No. 2”) and amendment No. 3 to the Initial Schedule 13D, filed on June 26, 2023 (“Amendment No. 3” and collectively with the Initial Schedule 13D, Amendment No. 1 and Amendment No. 2, referred to as the “Prior Schedule 13D”). This Amendment No. 4 amends the Prior Schedule 13D as specifically set forth herein. Capitalized terms used in this Amendment No. 4 and not otherwise defined herein have the meanings given to them in the Prior Schedule 13D.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Identity and Background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2 of the Prior Schedule 13D is hereby amended and replaced in its entirety with the following language:</w:t>
      </w:r>
    </w:p>
    <w:p>
      <w:pPr>
        <w:spacing w:after="0" w:line="227" w:lineRule="exact"/>
        <w:rPr>
          <w:sz w:val="20"/>
          <w:szCs w:val="20"/>
          <w:color w:val="auto"/>
        </w:rPr>
      </w:pPr>
    </w:p>
    <w:p>
      <w:pPr>
        <w:ind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on behalf of (i) The Public Investment Fund of Saudi Arabia (“PIF”), (ii) Turqi A. Alnowaiser and (iii) Yasir Alsalman (collectively, the “Reporting Persons”).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business/residence address for the Reporting Persons is The Public Investment Fund, P.O. Box 6847, Riyadh 11452, Kingdom of Saudi Arabia.</w:t>
      </w:r>
    </w:p>
    <w:p>
      <w:pPr>
        <w:spacing w:after="0" w:line="225" w:lineRule="exact"/>
        <w:rPr>
          <w:rFonts w:ascii="Times New Roman" w:cs="Times New Roman" w:eastAsia="Times New Roman" w:hAnsi="Times New Roman"/>
          <w:sz w:val="18"/>
          <w:szCs w:val="18"/>
          <w:color w:val="auto"/>
        </w:rPr>
      </w:pPr>
    </w:p>
    <w:p>
      <w:pPr>
        <w:ind w:firstLine="8"/>
        <w:spacing w:after="0" w:line="254"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record of 1,644,807,548 shares of Common Stock, including approximately 278,148,643 shares of Common Stock initially issuable upon conversion of the Convertible Preferred Stock (as defined herein), reported herein is Ayar Third Investment Company (“Ayar”), which is wholly owned by PIF. In its capacity as the parent company and ultimate controlling party of Ayar, PIF beneficially owns, and has both dispositive and voting power over, all of the securities reported herein held by Ayar. PIF is the sovereign wealth fund of the Kingdom of Saudi Arabia. Mr. Turqi A. Alnowaiser and Mr. Yasir Alsalman are the co-managers of Ayar, and in such capacity have the authority to vote the securities held by Ayar as reported herein. Neither Mr. Alnowaiser nor Mr. Alsalman has individual dispositive power with respect to any securities held by Ayar, as reported herein, and each disclaims beneficial ownership of the shares held by Ayar, as reported herein. In addition to the foregoing, Mr. Alnowaiser has sole voting and dispositive power over 2,118,501 shares of Common Stock held in his name and Mr. Alsalman has sole voting and dispositive power over 401,454 shares of Common Stock held in his name.</w:t>
      </w:r>
    </w:p>
    <w:p>
      <w:pPr>
        <w:spacing w:after="0" w:line="188" w:lineRule="exact"/>
        <w:rPr>
          <w:rFonts w:ascii="Times New Roman" w:cs="Times New Roman" w:eastAsia="Times New Roman" w:hAnsi="Times New Roman"/>
          <w:sz w:val="18"/>
          <w:szCs w:val="18"/>
          <w:color w:val="auto"/>
        </w:rPr>
      </w:pPr>
    </w:p>
    <w:p>
      <w:pPr>
        <w:ind w:right="86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580" w:firstLine="8"/>
        <w:spacing w:after="0" w:line="266"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6 of the respective cover page of each Reporting Person.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of the Prior Schedule 13D is hereby amended to add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Subscription Agreement</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March 29, 2024, Ayar Third Investment Company (“Ayar”) purchased 100,000 shares of Series A Convertible Preferred Stock, par value $0.0001 per share (the “Convertible Preferred Stock”), from the Issuer in a private placement (the “Private Placement”) pursuant to a subscription agreement (the “Subscription Agreement”), dated March 24, 2024, for an aggregate purchase price of $1,000,000,000.00. The Convertible Preferred Stock is convertible into the Issuer’s Class A common stock, par value $0.0001 per share (the “Common Stock”) and initially convertible into approximately 278,148,643 shares of Common Stock in the aggregate, at an initial conversion price of $3.5952 per share (the “Conversion Price”). The Conversion Price is subject to customary anti-dilution adjustments, including in the event of any stock split, stock dividend, recapitalization or similar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 Ayar has agreed, with certain exceptions, that without prior written consent of the Issuer, it will not, for twelve months after the date of the closing of the Private Placement:</w:t>
      </w:r>
    </w:p>
    <w:p>
      <w:pPr>
        <w:spacing w:after="0" w:line="162" w:lineRule="exact"/>
        <w:rPr>
          <w:sz w:val="20"/>
          <w:szCs w:val="20"/>
          <w:color w:val="auto"/>
        </w:rPr>
      </w:pPr>
    </w:p>
    <w:p>
      <w:pPr>
        <w:jc w:val="both"/>
        <w:ind w:left="340" w:right="440" w:hanging="332"/>
        <w:spacing w:after="0" w:line="25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Convertible Preferred Stock or any shares of Common Stock issued pursuant to the terms thereof; or</w:t>
      </w:r>
    </w:p>
    <w:p>
      <w:pPr>
        <w:spacing w:after="0" w:line="1" w:lineRule="exact"/>
        <w:rPr>
          <w:rFonts w:ascii="Times New Roman" w:cs="Times New Roman" w:eastAsia="Times New Roman" w:hAnsi="Times New Roman"/>
          <w:sz w:val="18"/>
          <w:szCs w:val="18"/>
          <w:color w:val="auto"/>
        </w:rPr>
      </w:pPr>
    </w:p>
    <w:p>
      <w:pPr>
        <w:ind w:left="340" w:right="30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any transaction that transfers, in whole or in part, directly or indirectly, the economic consequence of ownership of the Convertible Preferred Stock or any shares of Common Stock issued pursuant to the terms thereof, whether any such swap or transaction is to be settled by delivery of Convertible Preferred Stock, Common Stock or other securities, in cash or otherwise; or</w:t>
      </w:r>
    </w:p>
    <w:p>
      <w:pPr>
        <w:spacing w:after="0" w:line="1" w:lineRule="exact"/>
        <w:rPr>
          <w:rFonts w:ascii="Times New Roman" w:cs="Times New Roman" w:eastAsia="Times New Roman" w:hAnsi="Times New Roman"/>
          <w:sz w:val="18"/>
          <w:szCs w:val="18"/>
          <w:color w:val="auto"/>
        </w:rPr>
      </w:pPr>
    </w:p>
    <w:p>
      <w:pPr>
        <w:ind w:left="340" w:right="18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short sale of, grant any option for the purchase of, or enter into any hedging or similar transaction with the same economic effect as a short sale of or the purpose of which is to offset the loss that results from a decline in the market price of the Convertible Preferred Stock or the shares of Common Stock issued pursuant to the terms thereof.</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the Issuer’s board of directors and made to all holders of shares of the Issuer’s capital stock involving a change of control.</w:t>
      </w:r>
    </w:p>
    <w:p>
      <w:pPr>
        <w:spacing w:after="0" w:line="183"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description of the Subscription Agreement does not purport to be complete and is qualified in its entirety by reference to the full text of the Subscription Agreement included as Exhibit 7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Designation of the Convertible Preferred Stock</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Private Placement, on March 28, 2024, the Issuer filed the Certificate of Designations of Series A Convertible Preferred Stock of the Issuer (the “Certificate of Designations”).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and Dividend</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Convertible Preferred Stock will rank senior to the Common Stock with respect to dividends and distributions of assets upon the Company’s liquidation, dissolution or winding up. The Convertible Preferred Stock will have an initial value of $10,000 per share (the “Initial Value”). Dividends on the Convertible Preferred Stock will be payable in the form of compounded dividends upon each share of Convertible Preferred Stock (such payment in kind, “Compounded Returns”). Dividends will accrue on the Initial Value (as increased for any Compounded Dividends previously compounded thereon) of each share of Convertible Preferred Stock at a rate of 9% per annum and will compound on the basis of quarterly dividend payment dates on each March 31, June 30, September 30 and December 31 of each year, commencing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a liquidation, dissolution or winding up of the Issuer, each holder of shares of Convertible Preferred Stock (“Holder”) will be entitled to receive, with respect to each share of then-outstanding Convertible Preferred Stock, out of the assets of the Issuer available for distribution to its stockholders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any liquidation parity securities) an amount in cash equal to the greater of (a) an amount per share of Convertible Preferred 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Certificate of Designations) multiplied by (ii) the relevant percentage (as defined in the Certificate of Designations) (the product of (i) and (ii), the “Minimum Consideration”); and (b) the amount that such Holder would have received with respect to such share of Convertible Preferred Stock based on its Accrued Value if all shares of Convertible Preferred Stock had been converted at their Accrued Value (regardless of whether they were actually converted and without regard to any limitations on convertibility or to whether sufficient shares of Common Stock are available out of the Issuer’s authorized but unissued stock for the purpose of effecting such conversion) into shares of Common Stock on the business day immediately prior to the date of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Each share of Convertible Preferred Stock will be convertible, at the option of the respective Holder, from time to time after the initial issue date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Issuer, into such number of fully paid and non-assessable shares of Common Stock as is determined by dividing (i) the applicable Accrued Value as of the conversion date by (ii) the applicable Conversion Price in effect as of such conversion date.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Designations or by applicable law or the rules of any stock exchange on which the Company’s securities are listed, on any matter presented to the stockholders of the Issuer for their action or consideration at any meeting of stockholders and on which matter holders of the Common Stock shall be entitled to vote, each Holder will be entitled to the number of votes equal to the number of whole shares of Common Stock into which the aggregate shares of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Issuer’s authorized but unissued stock for the purpose of effecting the conversion). Holders will be entitled to notice of any meeting of stockholders and, except as otherwise provided in the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(the “Minimum Price” as calculated in accordance with the Nasdaq Listing Rules) (the “Voting Cap”).</w:t>
      </w:r>
    </w:p>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long as at least 10% of the aggregate number of shares of the Convertible Preferred Stock issued on the Initial Issue Date remain outstanding, and subject to certain other conditions, Holders will be entitled to a separate class vote with respect to, among other things, amendments to the Issuer’s organizational documents that have an adverse effect on the Convertible Preferred Stock, authorizations or issuances by the Issuer of capital stock of the Issuer that ranks senior or equal to the Convertible Preferred Stock with respect to dividends or distributions on liquidation or the terms of which provide for cash dividends (other than the Common Stock), winding-up and dissolution, and decreases in the number of authorized shares of Convertible Preferred Stock. The Issuer also agreed that as long as Ayar owns at least 50% of the Convertible Preferred Stock issued on the Initial Issue Date, the Issuer will comply with certain debt incurrence covenants in its Credit Agreement, dated as of June 9, 2022, by and among the Company, as the Borrower Representative, the other Borrowers party thereto from time to time, the Lenders and Issuing Banks from time to time party thereto and Bank of America, N.A., as Administrative Agent, as amended, which agreement may be waived with the sole consent of Ayar.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Junior and Parity Securities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Subject to certain exceptions, unless all accumulated and unpaid dividends on the Convertible Preferred Stock for all preceding quarterly dividend payment periods have been declared upon all outstanding shares of Convertible Preferred Stock through the most recently completed dividend period, the Issuer (1) may not repurchase, redeem or otherwise acquire shares of any parity stock or any junior stock (which includes the Common Stock), (2) may not declare or pay dividends on any junior stock (which includes the Common Stock) and (3) may not declare or pay dividends on any parity stock, unless the respective amounts of dividends declared on the Convertible Preferred Stock and each such other class or series of dividend parity stock bear the same ratio to each other as all accumulated and unpaid dividends per share of the Convertible Preferred Stock and such class or series of parity stock (subject to their having been declared by the Board out of legally available funds) bear to each other, in proportion to their respective liquidation preferences at the time of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On or after the third anniversary of the Initial Issue Date, if at any time (i) the daily VWAP (as defined in the Certificate of Designations) of the Common Stock has been at least 200% of the Conversion Price for at least twenty (20) trading days (whether or not consecutive) during any thirty (30) consecutive trading days (including the last day of such period) and (ii) certain Common Stock liquidity conditions (as defined in the Certificate of Designations) are satisfied, the Issuer will have the right, exercisable at its election within fifteen (15) business days following completion of the applicable thirty (30) trading day period, to cause all or any portion of the Convertible Preferred Stock to convert into Common Stock. The Issuer will be required to pay an additional amount per share of Convertible Preferred Stock payable in cash, shares of Common Stock valued based on a five-day average daily VWAP (with the number of shares of Common Stock rounded up to the nearest whole share) or a combination thereof in respect of such conversion equal to the greater of</w:t>
      </w:r>
    </w:p>
    <w:p>
      <w:pPr>
        <w:spacing w:after="0" w:line="2" w:lineRule="exact"/>
        <w:rPr>
          <w:sz w:val="20"/>
          <w:szCs w:val="20"/>
          <w:color w:val="auto"/>
        </w:rPr>
      </w:pPr>
    </w:p>
    <w:p>
      <w:pPr>
        <w:ind w:right="120" w:firstLine="8"/>
        <w:spacing w:after="0" w:line="26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(i) the Minimum Consideration and (ii) the value of the shares of Common Stock delivered upon mandatory conversion thereof and (y) zero.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Change</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Upon a “fundamental change” (as defined in the Certificate of Designations), the Holders will be entitled, on the fundamental change repurchase date specified by the Company, to receive an amount equal to the greater of (a) the Minimum Consideration and (b) an amount equal to the value that such Holder would have received if it had converted its shares of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Issuer’s election. The Issuer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Certificate of Designations) are not satisfied.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or after the fifth anniversary of the Initial Issue Date, the Issuer may redeem all or any portion of the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Issuer’s election. The Issuer may not pay any portion of such redemption price in shares of Common Stock if the Common Stock liquidity conditions (as defined in the Certificate of Designations) are not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Rules</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Certificate of Designations provides that the number of shares of Common Stock deliverable upon conversion, redemption or repurchase of the Convertible Preferred Stock will be limited as required by applicable Nasdaq listing rules, unless the Issuer shall have obtained any required stockholder approval. The Issuer and Ayar have agreed to cooperate reasonably to obtain, and Ayar has agreed to consent in respect of such stockholder approval no later than 18 months following the closing of the Private Placement. The Convertible Preferred Stock is initially convertible into approximately 278,148,643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Remedies for Nonpayment</w:t>
      </w:r>
    </w:p>
    <w:p>
      <w:pPr>
        <w:spacing w:after="0" w:line="22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Certificate of Designations provides that the dividend rate described above will be increased to a rate not exceeding 15% per annum upon certain events of noncompliance relating to a failure by the Issuer to deliver consideration due in connection with a fundamental change or optional redemption.</w:t>
      </w:r>
    </w:p>
    <w:p>
      <w:pPr>
        <w:spacing w:after="0" w:line="1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description of the Certificate of Designations does not purport to be complete and is qualified in its entirety by reference to the Certificate of Designations included as Exhibit 8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5(a), (b) and (c) of the Prior Schedule 13D are hereby amended and replaced in their entirety with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hereof:</w:t>
      </w:r>
    </w:p>
    <w:p>
      <w:pPr>
        <w:spacing w:after="0" w:line="225" w:lineRule="exact"/>
        <w:rPr>
          <w:sz w:val="20"/>
          <w:szCs w:val="20"/>
          <w:color w:val="auto"/>
        </w:rPr>
      </w:pPr>
    </w:p>
    <w:p>
      <w:pPr>
        <w:ind w:left="340" w:right="8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PIF directly owns 8,041,393 shares of Common Stock and has sole voting and dispositive power of such shares. PIF may, pursuant to Rule 13d-3, be deemed to beneficially own the 1,644,807,548 shares of Common Stock directly owned by Ayar, including 278,148,643 shares of Common Stock initially issuable upon conversion of the Convertible Preferred Stock, and aggregating to a beneficial ownership of 1,652,848,941 shares. The Ayar securities and the shares of Common Stock held directly by PIF represent approximately 63.95% of the Issuer’s issued and outstanding shares Common Stock. PIF disclaims beneficial ownership of the Ayar securities except to the extent of its pecuniary interest therein.</w:t>
      </w:r>
    </w:p>
    <w:p>
      <w:pPr>
        <w:spacing w:after="0" w:line="3"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Ayar directly owns 1,644,807,548 shares of Common Stock, including 278,148,643 shares of Common Stock initially issuable upon conversion of the Convertible Preferred Stock, and has shared voting power over such shares which represent approximately 63.63% of the Issuer’s issued and outstanding shares of Common Stock.</w:t>
      </w:r>
    </w:p>
    <w:p>
      <w:pPr>
        <w:spacing w:after="0" w:line="1"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Alnowaiser, as the co-manager of Ayar, has shared voting power over 1,644,807,548 shares of Common Stock held by Ayar, including 278,148,643 shares of Common Stock initially issuable upon conversion of the Convertible Preferred Stock. In addition, Mr. Alnowaiser has sole voting and dispositive power over 2,118,501 shares of Common Stock held in his name, which includes 32,258 shares issuable pursuant to Restricted Stock Units that will vest within 60 days of the date hereof. Accordingly, Mr. Alnowaiser may be deemed the beneficial owner of an aggregate of 1,646,926,049 shares of Common Stock, representing approximately 63.72% of the Issuer’s issued and outstanding shares of Common Stock. Mr. Alnowaiser disclaims beneficial ownership of any securities held by Ayar.</w:t>
      </w:r>
    </w:p>
    <w:p>
      <w:pPr>
        <w:spacing w:after="0" w:line="2"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Alsalman, as the co-manager of Ayar, has shared voting power over 1,644,807,548 shares of Common Stock held by Ayar, including 278,148,643 shares of Common Stock initially issuable upon conversion of the Convertible Preferred Stock. In addition, Mr. Alsalman has sole voting and dispositive power over 401,454 shares of Common Stock held in his name. Accordingly, Mr. Alsalman may be deemed the beneficial owner of an aggregate of 1,645,209,002 shares of Common Stock, representing approximately 63.65% of the Issuer’s issued and outstanding shares of Common Stock. Mr. Alsalman disclaims beneficial ownership of any securities held by Ayar.</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percentages set forth in this Item 5(a) are based on 2,306,619,188 shares of Common Stock issued and outstanding as of March 22, 2024, as provided by the Issuer.</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of the Reporting Persons may be deemed to be a member of a group with respect to the Issuer or securities of the Issuer for the purposes of Section 13(d) or 13(g) of the Act. Each of the Reporting Persons disclaims beneficial ownership of all of the shares of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Ayar engaged in the Private Placement with the Issuer, purchasing 100,000 shares of Convertible Preferred Stock for $10,000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Contracts, Arrangements, Understandings or Relationships with Respect to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6 of the Prior Schedule 13D is hereby amended to add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4 of this Schedule 13D is incorporated by reference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IRA Amendment</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March 29, 2024, in connection with the closing of the Private Placement, the Issuer entered into an amendment to the Investor Rights Agreement (the “Third IRA Amendment”). Pursuant to the Third IRA Amendment, Ayar will be entitled to certain registration rights, including piggy-back and shelf registration rights, with respect to the shares of Convertible Preferred Stock and any shares of Common Stock issuable upon conversion thereof.</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Third IRA Amendment does not purport to be complete and is qualified in its entirety by reference to the full text of the Third IRA Amendment included as Exhibit 9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Materials to Be Filed as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7 of the Initial Schedule 13D is hereby amended to add the following language:</w:t>
      </w:r>
    </w:p>
    <w:p>
      <w:pPr>
        <w:sectPr>
          <w:pgSz w:w="11900" w:h="16838" w:orient="portrait"/>
          <w:cols w:equalWidth="0" w:num="1">
            <w:col w:w="11240"/>
          </w:cols>
          <w:pgMar w:left="320" w:top="900" w:right="3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7"/>
          <w:szCs w:val="17"/>
          <w:color w:val="auto"/>
        </w:rPr>
        <w:t>Description of Exhibit</w:t>
      </w:r>
    </w:p>
    <w:p>
      <w:pPr>
        <w:spacing w:after="0" w:line="229" w:lineRule="exact"/>
        <w:rPr>
          <w:sz w:val="20"/>
          <w:szCs w:val="20"/>
          <w:color w:val="auto"/>
        </w:rPr>
      </w:pPr>
    </w:p>
    <w:p>
      <w:pPr>
        <w:sectPr>
          <w:pgSz w:w="11900" w:h="16838" w:orient="portrait"/>
          <w:cols w:equalWidth="0" w:num="2">
            <w:col w:w="4400" w:space="720"/>
            <w:col w:w="6120"/>
          </w:cols>
          <w:pgMar w:left="320" w:top="900" w:right="339" w:bottom="1440" w:gutter="0" w:footer="0" w:header="0"/>
          <w:type w:val="continuous"/>
        </w:sectPr>
      </w:pPr>
    </w:p>
    <w:p>
      <w:pPr>
        <w:spacing w:after="0" w:line="7" w:lineRule="exact"/>
        <w:rPr>
          <w:sz w:val="20"/>
          <w:szCs w:val="20"/>
          <w:color w:val="auto"/>
        </w:rPr>
      </w:pPr>
    </w:p>
    <w:p>
      <w:pPr>
        <w:ind w:left="600" w:right="260" w:hanging="592"/>
        <w:spacing w:after="0" w:line="282"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 dated March 24, 2024, between Lucid Group, Inc. and Ayar Third Investment Company (filed as Exhibit 10.1 to Lucid Group, Inc.’s Current Report on Form 8-K filed with the SEC on March 25, 2024, and incorporated herein by reference).</w:t>
      </w:r>
    </w:p>
    <w:p>
      <w:pPr>
        <w:spacing w:after="0" w:line="162" w:lineRule="exact"/>
        <w:rPr>
          <w:sz w:val="20"/>
          <w:szCs w:val="20"/>
          <w:color w:val="auto"/>
        </w:rPr>
      </w:pPr>
    </w:p>
    <w:p>
      <w:pPr>
        <w:ind w:left="600" w:hanging="592"/>
        <w:spacing w:after="0" w:line="282"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Designations of Series A Convertible Preferred Stock of Lucid Group, Inc. (filed as Exhibit 3.1 to Lucid Group, Inc.’s Current Report on Form 8-K filed with the SEC on March 29, 2024, and incorporated herein by reference).</w:t>
      </w:r>
    </w:p>
    <w:p>
      <w:pPr>
        <w:spacing w:after="0" w:line="162" w:lineRule="exact"/>
        <w:rPr>
          <w:sz w:val="20"/>
          <w:szCs w:val="20"/>
          <w:color w:val="auto"/>
        </w:rPr>
      </w:pPr>
    </w:p>
    <w:p>
      <w:pPr>
        <w:jc w:val="both"/>
        <w:ind w:left="600" w:right="160" w:hanging="592"/>
        <w:spacing w:after="0" w:line="266"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3 to the Investors Rights Agreement, dated March 29, 2024, by and among Lucid Group, Inc., Ayar Third Investment Company and the other parties thereto (filed as Exhibit 10.1 to Lucid Group, Inc.’s Current Report on Form 8-K filed with the SEC on March 29, 2024, and incorporated herein by reference).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 PUBLIC INVESTMENT FUND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Public Investment Fund</w:t>
            </w:r>
          </w:p>
        </w:tc>
        <w:tc>
          <w:tcPr>
            <w:tcW w:w="0" w:type="dxa"/>
            <w:vAlign w:val="bottom"/>
          </w:tcPr>
          <w:p>
            <w:pPr>
              <w:spacing w:after="0"/>
              <w:rPr>
                <w:sz w:val="1"/>
                <w:szCs w:val="1"/>
                <w:color w:val="auto"/>
              </w:rPr>
            </w:pPr>
          </w:p>
        </w:tc>
      </w:tr>
      <w:tr>
        <w:trPr>
          <w:trHeight w:val="234"/>
        </w:trPr>
        <w:tc>
          <w:tcPr>
            <w:tcW w:w="6200" w:type="dxa"/>
            <w:vAlign w:val="bottom"/>
            <w:vMerge w:val="restart"/>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Yasir O. AlRumayyan</w:t>
            </w:r>
          </w:p>
        </w:tc>
        <w:tc>
          <w:tcPr>
            <w:tcW w:w="0" w:type="dxa"/>
            <w:vAlign w:val="bottom"/>
          </w:tcPr>
          <w:p>
            <w:pPr>
              <w:spacing w:after="0"/>
              <w:rPr>
                <w:sz w:val="1"/>
                <w:szCs w:val="1"/>
                <w:color w:val="auto"/>
              </w:rPr>
            </w:pPr>
          </w:p>
        </w:tc>
      </w:tr>
      <w:tr>
        <w:trPr>
          <w:trHeight w:val="191"/>
        </w:trPr>
        <w:tc>
          <w:tcPr>
            <w:tcW w:w="6200" w:type="dxa"/>
            <w:vAlign w:val="bottom"/>
            <w:vMerge w:val="continue"/>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Yasir O. AlRumayyan</w:t>
            </w:r>
          </w:p>
        </w:tc>
        <w:tc>
          <w:tcPr>
            <w:tcW w:w="0" w:type="dxa"/>
            <w:vAlign w:val="bottom"/>
          </w:tcPr>
          <w:p>
            <w:pPr>
              <w:spacing w:after="0"/>
              <w:rPr>
                <w:sz w:val="1"/>
                <w:szCs w:val="1"/>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Governor</w:t>
            </w:r>
          </w:p>
        </w:tc>
        <w:tc>
          <w:tcPr>
            <w:tcW w:w="0" w:type="dxa"/>
            <w:vAlign w:val="bottom"/>
          </w:tcPr>
          <w:p>
            <w:pPr>
              <w:spacing w:after="0"/>
              <w:rPr>
                <w:sz w:val="1"/>
                <w:szCs w:val="1"/>
                <w:color w:val="auto"/>
              </w:rPr>
            </w:pP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10"/>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7"/>
      <w:numFmt w:val="bullet"/>
      <w:start w:val="1"/>
    </w:lvl>
  </w:abstractNum>
  <w:abstractNum w:abstractNumId="6">
    <w:nsid w:val="79E2A9E3"/>
    <w:multiLevelType w:val="hybridMultilevel"/>
    <w:lvl w:ilvl="0">
      <w:lvlJc w:val="left"/>
      <w:lvlText w:val="8"/>
      <w:numFmt w:val="bullet"/>
      <w:start w:val="1"/>
    </w:lvl>
  </w:abstractNum>
  <w:abstractNum w:abstractNumId="7">
    <w:nsid w:val="7545E146"/>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2024-04-02T15:54:44Z</dcterms:created>
  <dcterms:modified xsi:type="dcterms:W3CDTF">2024-04-02T15:54:44Z</dcterms:modified>
</cp:coreProperties>
</file>