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6, 2025</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January 6, 2025, Lucid Group, Inc. issued a press release announcing its production and delivery totals for the fourth quarter and full year ended December 31, 2024. A copy of the press release is attached as Exhibit 99.1 to this Current Report on Form 8-K and is incorporated by reference herein.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information in this Current Report on Form 8-K and the exhibits attached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1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Lucid Press Release Dated January 6, 2025</w:t>
            </w:r>
          </w:p>
        </w:tc>
        <w:tc>
          <w:tcPr>
            <w:tcW w:w="6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60"/>
        </w:trPr>
        <w:tc>
          <w:tcPr>
            <w:tcW w:w="12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January 6, 2025</w:t>
      </w:r>
    </w:p>
    <w:p>
      <w:pPr>
        <w:spacing w:after="0" w:line="3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Gagan Dhingra</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110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Lucid Announces Q4 Production &amp; Deliveries, Sets Date for Fourth Quarter 2024 Results</w:t>
      </w:r>
    </w:p>
    <w:p>
      <w:pPr>
        <w:spacing w:after="0" w:line="21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20"/>
          <w:szCs w:val="20"/>
          <w:color w:val="auto"/>
        </w:rPr>
        <w:t>NEWARK, Calif., January 6, 2025 -- Lucid Group, Inc. (NASDAQ: LCID), maker of the world’s most advanced electric vehicles, today announced production and delivery totals for the quarter ended December 31, 2024. During this period, Lucid produced 3,386 vehicles and delivered 3,099 vehicles, of which approximately 7% were subject to operating lease accounting.</w:t>
      </w:r>
      <w:r>
        <w:rPr>
          <w:rFonts w:ascii="Times New Roman" w:cs="Times New Roman" w:eastAsia="Times New Roman" w:hAnsi="Times New Roman"/>
          <w:sz w:val="25"/>
          <w:szCs w:val="25"/>
          <w:color w:val="auto"/>
          <w:vertAlign w:val="superscript"/>
        </w:rPr>
        <w:t>1</w:t>
      </w:r>
    </w:p>
    <w:p>
      <w:pPr>
        <w:spacing w:after="0" w:line="91"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On a full year basis in 2024, the company produced 9,029 vehicles and delivered 10,241 vehicles, of which approximately 5% were subject to operating lease accounting.</w:t>
      </w:r>
    </w:p>
    <w:p>
      <w:pPr>
        <w:spacing w:after="0" w:line="14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 xml:space="preserve">Lucid will host a conference call to discuss its fourth quarter 2024 financial results on Tuesday, February 25, 2025, at 2:30 pm PT / 5:30 pm ET. Prior to the conference call, the company will issue an earnings press release with a link to the live webcast on its investor relations website, </w:t>
      </w:r>
      <w:r>
        <w:rPr>
          <w:rFonts w:ascii="Times New Roman" w:cs="Times New Roman" w:eastAsia="Times New Roman" w:hAnsi="Times New Roman"/>
          <w:sz w:val="20"/>
          <w:szCs w:val="20"/>
          <w:u w:val="single" w:color="auto"/>
          <w:color w:val="0E32E1"/>
        </w:rPr>
        <w:t>https://ir.lucidmotors.com</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To enhance engagement with the company’s shareholder base and facilitate connections with its investors, Lucid is partnering with Say Technologies to allow retail and institutional shareholders to submit and upvote questions, a selection of which will be answered by Lucid management during the earnings call.</w:t>
      </w:r>
    </w:p>
    <w:p>
      <w:pPr>
        <w:spacing w:after="0" w:line="1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 xml:space="preserve">Starting on February 11, 2025, at 2:30 pm PT / 5:30 pm ET, shareholders can submit questions by visiting: </w:t>
      </w:r>
      <w:r>
        <w:rPr>
          <w:rFonts w:ascii="Times New Roman" w:cs="Times New Roman" w:eastAsia="Times New Roman" w:hAnsi="Times New Roman"/>
          <w:sz w:val="20"/>
          <w:szCs w:val="20"/>
          <w:u w:val="single" w:color="auto"/>
          <w:color w:val="0E32E1"/>
        </w:rPr>
        <w:t>https://app.saytechnologies.com/lucid-group-2024-q4</w:t>
      </w:r>
      <w:r>
        <w:rPr>
          <w:rFonts w:ascii="Times New Roman" w:cs="Times New Roman" w:eastAsia="Times New Roman" w:hAnsi="Times New Roman"/>
          <w:sz w:val="20"/>
          <w:szCs w:val="20"/>
          <w:color w:val="000000"/>
        </w:rPr>
        <w:t>. This Q&amp;A platform will remain open until 2:30 pm PT / 5:30 pm ET on February 23,</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000000"/>
        </w:rPr>
        <w:t xml:space="preserve">2025. Shareholders can email </w:t>
      </w:r>
      <w:r>
        <w:rPr>
          <w:rFonts w:ascii="Times New Roman" w:cs="Times New Roman" w:eastAsia="Times New Roman" w:hAnsi="Times New Roman"/>
          <w:sz w:val="20"/>
          <w:szCs w:val="20"/>
          <w:u w:val="single" w:color="auto"/>
          <w:color w:val="0E32E1"/>
        </w:rPr>
        <w:t>support@saytechnologies.com</w:t>
      </w:r>
      <w:r>
        <w:rPr>
          <w:rFonts w:ascii="Times New Roman" w:cs="Times New Roman" w:eastAsia="Times New Roman" w:hAnsi="Times New Roman"/>
          <w:sz w:val="20"/>
          <w:szCs w:val="20"/>
          <w:color w:val="000000"/>
        </w:rPr>
        <w:t xml:space="preserve"> for any support inquiries.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Call Details: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color w:val="auto"/>
        </w:rPr>
        <w:t>Tuesday, February 25,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Time: </w:t>
      </w:r>
      <w:r>
        <w:rPr>
          <w:rFonts w:ascii="Times New Roman" w:cs="Times New Roman" w:eastAsia="Times New Roman" w:hAnsi="Times New Roman"/>
          <w:sz w:val="20"/>
          <w:szCs w:val="20"/>
          <w:color w:val="auto"/>
        </w:rPr>
        <w:t>2:30 pm PT / 5:30 pm 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Webcast: </w:t>
      </w:r>
      <w:r>
        <w:rPr>
          <w:rFonts w:ascii="Times New Roman" w:cs="Times New Roman" w:eastAsia="Times New Roman" w:hAnsi="Times New Roman"/>
          <w:sz w:val="20"/>
          <w:szCs w:val="20"/>
          <w:u w:val="single" w:color="auto"/>
          <w:color w:val="0E32E1"/>
        </w:rPr>
        <w:t>https://ir.lucidmotors.com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(live and replay)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20" w:firstLine="8"/>
        <w:spacing w:after="0" w:line="231" w:lineRule="auto"/>
        <w:tabs>
          <w:tab w:leader="none" w:pos="96" w:val="left"/>
        </w:tabs>
        <w:numPr>
          <w:ilvl w:val="0"/>
          <w:numId w:val="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Lucid’s net income and cash flow results will be announced along with the rest of its financial performance when Lucid announces fourth quarter earnings. Lucid vehicle production and delivery numbers represent only one measure of the company’s operating performance and should not be relied on as sole indicators of quarterly financial results, which depend on a variety of factors.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Lucid Group</w:t>
      </w:r>
    </w:p>
    <w:p>
      <w:pPr>
        <w:spacing w:after="0" w:line="216"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9"/>
          <w:szCs w:val="19"/>
          <w:color w:val="auto"/>
        </w:rPr>
        <w:t xml:space="preserve">Lucid (NASDAQ: </w:t>
      </w:r>
      <w:r>
        <w:rPr>
          <w:rFonts w:ascii="Times New Roman" w:cs="Times New Roman" w:eastAsia="Times New Roman" w:hAnsi="Times New Roman"/>
          <w:sz w:val="19"/>
          <w:szCs w:val="19"/>
          <w:b w:val="1"/>
          <w:bCs w:val="1"/>
          <w:color w:val="auto"/>
        </w:rPr>
        <w:t>LCID</w:t>
      </w:r>
      <w:r>
        <w:rPr>
          <w:rFonts w:ascii="Times New Roman" w:cs="Times New Roman" w:eastAsia="Times New Roman" w:hAnsi="Times New Roman"/>
          <w:sz w:val="19"/>
          <w:szCs w:val="19"/>
          <w:color w:val="auto"/>
        </w:rPr>
        <w:t>) is a Silicon Valley-based technology company focused on creating the most advanced EVs in the world. The award-winning Lucid Air and new Lucid Gravity deliver best-in-class performance, sophisticated design, expansive interior space and unrivaled energy efficiency. Lucid assembles both vehicles in its state-of-the-art, vertically integrated factory in Arizona. Through its industry-leading technology and innovations, Lucid is advancing the state-of-the-art of EV technology for the benefit of 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investor@lucidmotors.com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 up for investor email alerts: </w:t>
      </w:r>
      <w:r>
        <w:rPr>
          <w:rFonts w:ascii="Times New Roman" w:cs="Times New Roman" w:eastAsia="Times New Roman" w:hAnsi="Times New Roman"/>
          <w:sz w:val="20"/>
          <w:szCs w:val="20"/>
          <w:u w:val="single" w:color="auto"/>
          <w:color w:val="0E32E1"/>
        </w:rPr>
        <w:t>https://ir.lucidmotors.com/ir-resources/email-alerts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media@lucidmotors.com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20" w:top="315" w:right="359" w:bottom="1440" w:gutter="0" w:footer="0" w:header="0"/>
        </w:sectPr>
      </w:pPr>
    </w:p>
    <w:bookmarkStart w:id="4" w:name="page5"/>
    <w:bookmarkEnd w:id="4"/>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Trademarks</w:t>
      </w:r>
    </w:p>
    <w:p>
      <w:pPr>
        <w:spacing w:after="0" w:line="233"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20"/>
          <w:szCs w:val="20"/>
          <w:color w:val="auto"/>
        </w:rPr>
        <w:t>This communication contains trademarks, service marks, trade names and copyrights of Lucid Group, Inc. and its subsidiaries and other companies, which are the property of their respective owners.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communication includes “forward-looking statements” within the meaning of the “safe harbor” provisions of the United States Private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Litigation Reform Act of 1995. Forward-looking statements may be identified by the use of words such as “estimate,” “plan,”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“project,” “forecast,” “intend,” “will,” “shall,” “expect,” “anticipate,” “believe,” “seek,” “target,” “continue,” “could,” “may,” “might,”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“possible,” “potential,” “predict” or other similar expressions that predict or indicate future events or trends or that are not statements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historical matters. These forward-looking statements include, but are not limited to, statements regarding Lucid’s expectations related to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production and delivery volume outlook and Lucid’s finalized production and delivery totals for the quarter and full year 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31, 2024. These statements are based on various assumptions, whether or not identified in this communication, and on the current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expectations of Lucid’s management. These forward-looking statements are not intended to serve as, and must not be relied on by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as, a guarantee, an assurance, or a definitive statement of fact or probability. Actual events and circumstances are difficult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impossible to predict and may differ from these forward-looking statements. Many actual events and circumstances are beyond the control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Lucid. These forward-looking statements are subject to a number of risks and uncertainties, including those factors discussed under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heading “Risk Factors” in Part II, Item 1A of Lucid’s Quarterly Report on Form 10-Q for the quarter ended September 30, 2024, as well 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documents Lucid has filed or will file with the Securities and Exchange Commission. If any of these risks materialize or Lucid’s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assumptions prove incorrect, actual results could differ materially from the results implied by these forward-looking statements. There may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additional risks that Lucid currently does not know or that Lucid currently believes are immaterial that could also cause actual results to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differ from those contained in the forward-looking statements. In addition, forward-looking statements reflect Lucid’s expectations, plans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forecasts of future events and views as of the date of this communication. Lucid anticipates that subsequent events and developments will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cause Lucid’s assessments to change. However, while Lucid may elect to update these forward-looking statements at some point in the future,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Lucid specifically disclaims any obligation to do so. These forward-looking statements should not be relied upon as representing Lucid’s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assessments as of any date subsequent to the date of this communication. Accordingly, undue reliance should not be placed upon the forward-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2025-01-06T08:18:57Z</dcterms:created>
  <dcterms:modified xsi:type="dcterms:W3CDTF">2025-01-06T08:18:57Z</dcterms:modified>
</cp:coreProperties>
</file>