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001-39408</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 was made available by Lucid Motors on Twitter on March 16, 2021:</w:t>
      </w:r>
    </w:p>
    <w:p>
      <w:pPr>
        <w:spacing w:after="0" w:line="200" w:lineRule="exact"/>
        <w:rPr>
          <w:sz w:val="24"/>
          <w:szCs w:val="24"/>
          <w:color w:val="auto"/>
        </w:rPr>
      </w:pPr>
    </w:p>
    <w:p>
      <w:pPr>
        <w:spacing w:after="0" w:line="23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Twitter</w:t>
      </w:r>
      <w:r>
        <w:rPr>
          <w:rFonts w:ascii="Times New Roman" w:cs="Times New Roman" w:eastAsia="Times New Roman" w:hAnsi="Times New Roman"/>
          <w:sz w:val="18"/>
          <w:szCs w:val="18"/>
          <w:color w:val="auto"/>
        </w:rPr>
        <w:t>: On the road with @MadMoneyonCNBC. CEO Peter Rawlinson gives @JimCramer an inside look at the #LucidAir, and what’s in store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#LucidMotors x CCIV. Watch now.</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https://cnb.cx/2OxJfQg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10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092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CCIV and other companies, which are the property of their respective owners.</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2021-03-17T05:18:45Z</dcterms:created>
  <dcterms:modified xsi:type="dcterms:W3CDTF">2021-03-17T05:18:45Z</dcterms:modified>
</cp:coreProperties>
</file>