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8, 2022</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56"/>
        </w:trPr>
        <w:tc>
          <w:tcPr>
            <w:tcW w:w="37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374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Arial" w:cs="Arial" w:eastAsia="Arial" w:hAnsi="Arial"/>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30"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par value per share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LCID</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56"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171"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2.02 - Results of Operations and Financial Condition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8, 2022, Lucid Group, Inc. (“Lucid”) issued a press release announcing its results for the third quarter ended September 30, 2022. A copy of the press release is attached as Exhibit 99.1 to this current report on Form 8-K and is incorporated by reference herein.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Lucid uses its </w:t>
      </w:r>
      <w:r>
        <w:rPr>
          <w:rFonts w:ascii="Arial" w:cs="Arial" w:eastAsia="Arial" w:hAnsi="Arial"/>
          <w:sz w:val="18"/>
          <w:szCs w:val="18"/>
          <w:u w:val="single" w:color="auto"/>
          <w:color w:val="auto"/>
        </w:rPr>
        <w:t>ir.lucidmotors.com</w:t>
      </w:r>
      <w:r>
        <w:rPr>
          <w:rFonts w:ascii="Arial" w:cs="Arial" w:eastAsia="Arial" w:hAnsi="Arial"/>
          <w:sz w:val="18"/>
          <w:szCs w:val="18"/>
          <w:color w:val="auto"/>
        </w:rPr>
        <w:t xml:space="preserve"> website as a means of disclosing material non-public information and for complying with its disclosure obligations under Regulation FD.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 Exhibits</w:t>
            </w:r>
          </w:p>
        </w:tc>
        <w:tc>
          <w:tcPr>
            <w:tcW w:w="332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41"/>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332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234"/>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Lucid Press Release Dated November 8, 2022</w:t>
            </w:r>
          </w:p>
        </w:tc>
        <w:tc>
          <w:tcPr>
            <w:tcW w:w="6680" w:type="dxa"/>
            <w:vAlign w:val="bottom"/>
          </w:tcPr>
          <w:p>
            <w:pPr>
              <w:spacing w:after="0"/>
              <w:rPr>
                <w:sz w:val="21"/>
                <w:szCs w:val="21"/>
                <w:color w:val="auto"/>
              </w:rPr>
            </w:pPr>
          </w:p>
        </w:tc>
      </w:tr>
      <w:tr>
        <w:trPr>
          <w:trHeight w:val="304"/>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2022</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40640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Sherry House</w:t>
      </w:r>
    </w:p>
    <w:p>
      <w:pPr>
        <w:spacing w:after="0" w:line="7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384" w:lineRule="exact"/>
        <w:rPr>
          <w:sz w:val="20"/>
          <w:szCs w:val="20"/>
          <w:color w:val="auto"/>
        </w:rPr>
      </w:pPr>
    </w:p>
    <w:p>
      <w:pPr>
        <w:ind w:left="2700" w:right="2300" w:hanging="439"/>
        <w:spacing w:after="0" w:line="292" w:lineRule="auto"/>
        <w:rPr>
          <w:sz w:val="20"/>
          <w:szCs w:val="20"/>
          <w:color w:val="auto"/>
        </w:rPr>
      </w:pPr>
      <w:r>
        <w:rPr>
          <w:rFonts w:ascii="Arial" w:cs="Arial" w:eastAsia="Arial" w:hAnsi="Arial"/>
          <w:sz w:val="21"/>
          <w:szCs w:val="21"/>
          <w:b w:val="1"/>
          <w:bCs w:val="1"/>
          <w:color w:val="auto"/>
        </w:rPr>
        <w:t>Lucid Announces Third Quarter 2022 Financial Results, On Track for Annual Production Guidance of 6,000 to 7,000 Vehicles</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quarterly production of 2,282 vehicles, more than triple Q2</w:t>
      </w:r>
    </w:p>
    <w:p>
      <w:pPr>
        <w:spacing w:after="0" w:line="9"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track for annual production guidance of 6,000 to 7,000 vehicles</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Q3 revenue of $195.5M driven by customer deliveries of 1,398 vehicles in the quarter</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Strong demand with over 34,000 reservations, representing potential sales of over $3.2B</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plans to open Project Gravity SUV reservations in early 2023</w:t>
      </w:r>
    </w:p>
    <w:p>
      <w:pPr>
        <w:spacing w:after="0" w:line="235"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NEWARK, CA — November 8, 2022 — Lucid Group, Inc. (NASDAQ: LCID), setting new standards with the longest-range, fastest-charging electric car on the market, today announced financial results for its third quarter ended September 30, 2022. Lucid reported Q3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 of $195.5 million on deliveries of 1,398 vehicles. The Company reported strong customer demand for Lucid Air with reservations</w:t>
      </w:r>
    </w:p>
    <w:p>
      <w:pPr>
        <w:spacing w:after="0" w:line="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over 34,000, as of November 7, 2022, representing potential sales of over $3.2 billion. This reservation number does not include the up to 100,000 vehicles under the agreement with the government of Saudi Arabia. Lucid ended the quarter with approximately $3.85 billion cash,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cash equivalents, and investments, which is expected to fund the Company at least into the fourth quarter of 2023.</w:t>
      </w:r>
    </w:p>
    <w:p>
      <w:pPr>
        <w:spacing w:after="0" w:line="227" w:lineRule="exact"/>
        <w:rPr>
          <w:sz w:val="20"/>
          <w:szCs w:val="20"/>
          <w:color w:val="auto"/>
        </w:rPr>
      </w:pPr>
    </w:p>
    <w:p>
      <w:pPr>
        <w:jc w:val="both"/>
        <w:ind w:right="380"/>
        <w:spacing w:after="0" w:line="237" w:lineRule="auto"/>
        <w:rPr>
          <w:sz w:val="20"/>
          <w:szCs w:val="20"/>
          <w:color w:val="auto"/>
        </w:rPr>
      </w:pPr>
      <w:r>
        <w:rPr>
          <w:rFonts w:ascii="Arial" w:cs="Arial" w:eastAsia="Arial" w:hAnsi="Arial"/>
          <w:sz w:val="20"/>
          <w:szCs w:val="20"/>
          <w:color w:val="auto"/>
        </w:rPr>
        <w:t>“I’m delighted to say that we’ve made significant progress toward achieving our 2022 production target of 6,000-7,000 vehicles. We had record quarterly production of 2,282 vehicles, more than triple Q2, and deliveries of 1,398, which was more than double Q2,” said Peter Rawlinson, Lucid’s CEO and CTO. “I’m also pleased to announce that we’ve now proven our ability to produce 300 cars a week, with a visible pathway to our next incremental ramp up.”</w:t>
      </w:r>
    </w:p>
    <w:p>
      <w:pPr>
        <w:spacing w:after="0" w:line="21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“We continue to have strong demand with over 34,000 reservations as of November 7, 2022,” said Sherry House, Lucid’s CFO. “We plan to open reservations for Project Gravity SUV in early 2023, which we believe will unlock a very large and incremental addressable market for us. We remain intently focused on scaling the business and continue to expect to see significant growth in revenue as delivery volumes ramp.”</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Lucid Group</w:t>
      </w:r>
    </w:p>
    <w:p>
      <w:pPr>
        <w:spacing w:after="0" w:line="235"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The Lucid Air Grand Touring features an official EPA estimated 516 miles of range or 1,050 horsepower. Deliveries of Lucid Air, which is produced at Lucid’s factory in Casa Grande, Arizona, are currently underway to U.S. and Canadian customers.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investor@lucidmotors.com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media@lucidmotors.com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Trademarks</w:t>
      </w:r>
    </w:p>
    <w:p>
      <w:pPr>
        <w:spacing w:after="0" w:line="235"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319"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 Looking Statements</w:t>
      </w:r>
    </w:p>
    <w:p>
      <w:pPr>
        <w:spacing w:after="0" w:line="23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amount of reservations and related potential sales, future capital expenditures and other operating expenses, expectations and timing related to commercial product launches, including the Project Gravity SUV and the various Air models, production and delivery volumes, the range and performance of Lucid’s vehicles, plans and expectations regarding Lucid’s software, Lucid’s estimate of the length of time its existing cash, cash equivalents and investments will be sufficient to fund planned operations, Lucid’s plans and expectations regarding its future capital raises and funding strategy, the timing of deliveries, future manufacturing capabilities and facilities, studio and service center openings, ability to mitigate supply chain and logistics risks, benefits of relocating Lucid’s logistics operations center, ability to vertically integrate production processes, future sales channels and strategies, future market launches and international expansion, including Lucid’s launch plans for the European market and planned manufacturing facility in Saudi Arabia, the potential success of Lucid’s go-to-market strategy and future vehicle programs,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the ongoing conflict between Russia and Ukraine;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Lucid’s ability to establish and expand its brand and capture additional market share, and the risks associated with negative press or reputational harm; Lucid’s ability to effectively utilize zero emission vehicle credits and obtain and utilize certain tax and other incentives; Lucid’s ability to issue equity or equity-linked securities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the impact of the global COVID-19 pandemic on Lucid’s supply chain, projected results of operations, financial performance or other financial metrics, or on any of the foregoing risks; and those factors discussed under the heading “Risk Factors” in Part II, Item 1A of Lucid’s Quarterly Report on Form 10-Q for the quarter ended September 30,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318"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Non-GAAP Financial Measures and Key Business Metrics</w:t>
      </w:r>
    </w:p>
    <w:p>
      <w:pPr>
        <w:spacing w:after="0" w:line="23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Condensed consolidated financial information has been presented in accordance with US GAAP (“GAAP”) as well as on a non-GAAP basis to supplement our condensed consolidated financial results. Lucid’s non-GAAP financial measures include Adjusted EBITDA and Free Cash Flow which are discussed below.</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Adjusted EBITDA is defined as net loss before (1) interest expense, (2) interest income, (3) provision for income taxes, (4) depreciation and amortization, (5) change in fair value of forward contracts, (6) change in fair value of convertible preferred stock warrant liability, (7) change in fair value of common stock warrant liability, (8) transaction costs expensed and (9) stock-based compensation. Adjusted EBITDA is a performance measure that Lucid believes provides useful information to Lucid’s management and investors about Lucid’s profitability. Free Cash Flow is defined as net cash used in operating activities less capital expenditures. Free Cash Flow is a performance measure that Lucid believes provides useful information to Lucid’s management and investors about the amount of cash generated by the business after necessary capital expenditures.</w:t>
      </w:r>
    </w:p>
    <w:p>
      <w:pPr>
        <w:spacing w:after="0" w:line="200"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31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04" w:lineRule="auto"/>
        <w:rPr>
          <w:sz w:val="20"/>
          <w:szCs w:val="20"/>
          <w:color w:val="auto"/>
        </w:rPr>
      </w:pPr>
      <w:r>
        <w:rPr>
          <w:rFonts w:ascii="Arial" w:cs="Arial" w:eastAsia="Arial" w:hAnsi="Arial"/>
          <w:sz w:val="18"/>
          <w:szCs w:val="18"/>
          <w:b w:val="1"/>
          <w:bCs w:val="1"/>
          <w:color w:val="auto"/>
        </w:rPr>
        <w:t>CONDENSED CONSOLIDATED BALANCE SHEETS</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1,264,136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2,078,045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685,321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127,250</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69,008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43,328</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4,156,428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6,506,977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1,954,310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1,182,153</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211,844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513,735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0" w:type="dxa"/>
            <w:vAlign w:val="bottom"/>
          </w:tcPr>
          <w:p>
            <w:pPr>
              <w:spacing w:after="0"/>
              <w:rPr>
                <w:sz w:val="1"/>
                <w:szCs w:val="1"/>
                <w:color w:val="auto"/>
              </w:rPr>
            </w:pPr>
          </w:p>
        </w:tc>
      </w:tr>
      <w:tr>
        <w:trPr>
          <w:trHeight w:val="270"/>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6,887,811</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c>
          <w:tcPr>
            <w:tcW w:w="0" w:type="dxa"/>
            <w:vAlign w:val="bottom"/>
          </w:tcPr>
          <w:p>
            <w:pPr>
              <w:spacing w:after="0"/>
              <w:rPr>
                <w:sz w:val="1"/>
                <w:szCs w:val="1"/>
                <w:color w:val="auto"/>
              </w:rPr>
            </w:pPr>
          </w:p>
        </w:tc>
      </w:tr>
      <w:tr>
        <w:trPr>
          <w:trHeight w:val="21"/>
        </w:trPr>
        <w:tc>
          <w:tcPr>
            <w:tcW w:w="8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79,781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41,342</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686,555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c>
          <w:tcPr>
            <w:tcW w:w="0" w:type="dxa"/>
            <w:vAlign w:val="bottom"/>
          </w:tcPr>
          <w:p>
            <w:pPr>
              <w:spacing w:after="0"/>
              <w:rPr>
                <w:sz w:val="1"/>
                <w:szCs w:val="1"/>
                <w:color w:val="auto"/>
              </w:rPr>
            </w:pPr>
          </w:p>
        </w:tc>
      </w:tr>
      <w:tr>
        <w:trPr>
          <w:trHeight w:val="237"/>
        </w:trPr>
        <w:tc>
          <w:tcPr>
            <w:tcW w:w="84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825,124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396,101</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1,394,808</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1,990,571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1,986,791</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365,009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188,575</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3,656,564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3,972,358</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Preferred stock, par value $0.0001; 10,000,000 shares authorized as of September 30, 2022 and</w:t>
            </w:r>
          </w:p>
        </w:tc>
        <w:tc>
          <w:tcPr>
            <w:tcW w:w="140" w:type="dxa"/>
            <w:vAlign w:val="bottom"/>
          </w:tcPr>
          <w:p>
            <w:pPr>
              <w:spacing w:after="0"/>
              <w:rPr>
                <w:sz w:val="21"/>
                <w:szCs w:val="2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gridSpan w:val="2"/>
          </w:tcPr>
          <w:p>
            <w:pPr>
              <w:ind w:left="340"/>
              <w:spacing w:after="0"/>
              <w:rPr>
                <w:sz w:val="20"/>
                <w:szCs w:val="20"/>
                <w:color w:val="auto"/>
              </w:rPr>
            </w:pPr>
            <w:r>
              <w:rPr>
                <w:rFonts w:ascii="Arial" w:cs="Arial" w:eastAsia="Arial" w:hAnsi="Arial"/>
                <w:sz w:val="18"/>
                <w:szCs w:val="18"/>
                <w:color w:val="auto"/>
                <w:w w:val="95"/>
              </w:rPr>
              <w:t>December 31, 2021; no shares issued and outstanding as of September 30, 2022 and December 31, 2021</w:t>
            </w: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Common stock, par value $0.0001; 15,000,000,000 shares authorized as of September 30, 2022 and December 31,</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 1,681,005,163 and 1,648,413,415 shares issued and 1,680,147,338 and 1,647,555,590 shares</w:t>
            </w:r>
          </w:p>
        </w:tc>
        <w:tc>
          <w:tcPr>
            <w:tcW w:w="14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10,162,745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9,995,778</w:t>
            </w: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857,825 shares at September 30, 2022 and December 31, 2021</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(6,897,684)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(6,065,872)</w:t>
            </w:r>
          </w:p>
        </w:tc>
        <w:tc>
          <w:tcPr>
            <w:tcW w:w="0" w:type="dxa"/>
            <w:vAlign w:val="bottom"/>
          </w:tcPr>
          <w:p>
            <w:pPr>
              <w:spacing w:after="0"/>
              <w:rPr>
                <w:sz w:val="1"/>
                <w:szCs w:val="1"/>
                <w:color w:val="auto"/>
              </w:rPr>
            </w:pPr>
          </w:p>
        </w:tc>
      </w:tr>
      <w:tr>
        <w:trPr>
          <w:trHeight w:val="236"/>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3,231,247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3,909,355</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6,887,811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7,881,713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83" w:right="339" w:bottom="1440" w:gutter="0" w:footer="0" w:header="0"/>
          <w:type w:val="continuous"/>
        </w:sectPr>
      </w:pPr>
    </w:p>
    <w:bookmarkStart w:id="7" w:name="page8"/>
    <w:bookmarkEnd w:id="7"/>
    <w:p>
      <w:pPr>
        <w:ind w:left="4660"/>
        <w:spacing w:after="0"/>
        <w:rPr>
          <w:sz w:val="20"/>
          <w:szCs w:val="20"/>
          <w:color w:val="auto"/>
        </w:rPr>
      </w:pPr>
      <w:r>
        <w:rPr>
          <w:rFonts w:ascii="Arial" w:cs="Arial" w:eastAsia="Arial" w:hAnsi="Arial"/>
          <w:sz w:val="20"/>
          <w:szCs w:val="20"/>
          <w:b w:val="1"/>
          <w:bCs w:val="1"/>
          <w:color w:val="auto"/>
        </w:rPr>
        <w:t>LUCID GROUP, INC.</w:t>
      </w:r>
    </w:p>
    <w:p>
      <w:pPr>
        <w:ind w:left="1180"/>
        <w:spacing w:after="0" w:line="232" w:lineRule="auto"/>
        <w:rPr>
          <w:sz w:val="20"/>
          <w:szCs w:val="20"/>
          <w:color w:val="auto"/>
        </w:rPr>
      </w:pPr>
      <w:r>
        <w:rPr>
          <w:rFonts w:ascii="Arial" w:cs="Arial" w:eastAsia="Arial" w:hAnsi="Arial"/>
          <w:sz w:val="20"/>
          <w:szCs w:val="20"/>
          <w:b w:val="1"/>
          <w:bCs w:val="1"/>
          <w:color w:val="auto"/>
        </w:rPr>
        <w:t>CONDENSED CONSOLIDATED STATEMENTS OF OPERATIONS AND COMPREHENSIVE LOSS</w:t>
      </w:r>
      <w:r>
        <w:rPr>
          <w:rFonts w:ascii="Arial" w:cs="Arial" w:eastAsia="Arial" w:hAnsi="Arial"/>
          <w:sz w:val="25"/>
          <w:szCs w:val="25"/>
          <w:b w:val="1"/>
          <w:bCs w:val="1"/>
          <w:color w:val="auto"/>
          <w:vertAlign w:val="superscript"/>
        </w:rPr>
        <w:t>1</w:t>
      </w:r>
    </w:p>
    <w:p>
      <w:pPr>
        <w:ind w:left="5160"/>
        <w:spacing w:after="0"/>
        <w:rPr>
          <w:sz w:val="20"/>
          <w:szCs w:val="20"/>
          <w:color w:val="auto"/>
        </w:rPr>
      </w:pPr>
      <w:r>
        <w:rPr>
          <w:rFonts w:ascii="Arial" w:cs="Arial" w:eastAsia="Arial" w:hAnsi="Arial"/>
          <w:sz w:val="20"/>
          <w:szCs w:val="20"/>
          <w:b w:val="1"/>
          <w:bCs w:val="1"/>
          <w:color w:val="auto"/>
        </w:rPr>
        <w:t>Unaudited</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9"/>
                <w:szCs w:val="19"/>
                <w:color w:val="auto"/>
              </w:rPr>
            </w:pPr>
          </w:p>
        </w:tc>
        <w:tc>
          <w:tcPr>
            <w:tcW w:w="25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5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195,457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492,483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1,030,795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242,408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600,218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176,736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251,554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563,707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455,478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cost and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497,282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2,194,720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1,045,481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(687,523)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(1,844,252)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(1,044,762)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Change in fair value of forward contracts</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Change in fair value of common stock warrant liability</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998,319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Transaction costs expensed</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27,284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157,571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1,012,980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Loss before provision for income taxes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(529,952)</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(524,381)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(831,272)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(1,534,050)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(530,101)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(831,812)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(1,534,081)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4"/>
              </w:rPr>
              <w:t>Deemed dividend related to the issuance of Series E convertible preferred stock</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270"/>
        </w:trPr>
        <w:tc>
          <w:tcPr>
            <w:tcW w:w="5860" w:type="dxa"/>
            <w:vAlign w:val="bottom"/>
            <w:gridSpan w:val="2"/>
          </w:tcPr>
          <w:p>
            <w:pPr>
              <w:spacing w:after="0"/>
              <w:rPr>
                <w:sz w:val="20"/>
                <w:szCs w:val="20"/>
                <w:color w:val="auto"/>
              </w:rPr>
            </w:pPr>
            <w:r>
              <w:rPr>
                <w:rFonts w:ascii="Arial" w:cs="Arial" w:eastAsia="Arial" w:hAnsi="Arial"/>
                <w:sz w:val="17"/>
                <w:szCs w:val="17"/>
                <w:b w:val="1"/>
                <w:bCs w:val="1"/>
                <w:color w:val="auto"/>
              </w:rPr>
              <w:t>Net loss attributable to common stockholders, basic</w:t>
            </w: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(530,101)</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(831,812)</w:t>
            </w:r>
          </w:p>
        </w:tc>
        <w:tc>
          <w:tcPr>
            <w:tcW w:w="8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dilutive warrants</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(140,146)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(998,319)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(670,247)</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(1,830,131)</w:t>
            </w:r>
          </w:p>
        </w:tc>
        <w:tc>
          <w:tcPr>
            <w:tcW w:w="8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(3,701,413)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Weighted average shares outstanding used in computing net loss per share</w:t>
            </w: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88"/>
              </w:rPr>
              <w:t>1,676,048,504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w w:val="88"/>
              </w:rPr>
              <w:t>1,217,032,285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w w:val="88"/>
              </w:rPr>
              <w:t>1,666,693,217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432,654,607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attributable to common stockholders, basic</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used in computing net loss per share</w:t>
            </w: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1,690,963,548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1,217,032,285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1,686,576,589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432,654,607</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attributable to common stockholders, diluted</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Net unrealized losses on investments, net of tax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(12,575)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(13,266)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8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(542,676)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(845,078)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w w:val="94"/>
              </w:rPr>
              <w:t>Deemed dividend related to the issuance of Series E convertible preferred stock</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(2,167,332)</w:t>
            </w:r>
          </w:p>
        </w:tc>
        <w:tc>
          <w:tcPr>
            <w:tcW w:w="0" w:type="dxa"/>
            <w:vAlign w:val="bottom"/>
          </w:tcPr>
          <w:p>
            <w:pPr>
              <w:spacing w:after="0"/>
              <w:rPr>
                <w:sz w:val="1"/>
                <w:szCs w:val="1"/>
                <w:color w:val="auto"/>
              </w:rPr>
            </w:pPr>
          </w:p>
        </w:tc>
      </w:tr>
      <w:tr>
        <w:trPr>
          <w:trHeight w:val="40"/>
        </w:trPr>
        <w:tc>
          <w:tcPr>
            <w:tcW w:w="58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(542,676)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(845,078)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40" w:top="778" w:right="3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40" w:top="778" w:right="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22" w:lineRule="auto"/>
        <w:rPr>
          <w:sz w:val="20"/>
          <w:szCs w:val="20"/>
          <w:color w:val="auto"/>
        </w:rPr>
      </w:pPr>
      <w:r>
        <w:rPr>
          <w:rFonts w:ascii="Arial" w:cs="Arial" w:eastAsia="Arial" w:hAnsi="Arial"/>
          <w:sz w:val="18"/>
          <w:szCs w:val="18"/>
          <w:b w:val="1"/>
          <w:bCs w:val="1"/>
          <w:color w:val="auto"/>
        </w:rPr>
        <w:t>CONDENSED CONSOLIDATED STATEMENTS OF CASH FLOWS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r>
      <w:tr>
        <w:trPr>
          <w:trHeight w:val="26"/>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ind w:right="42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26"/>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04"/>
        </w:trPr>
        <w:tc>
          <w:tcPr>
            <w:tcW w:w="5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(530,101)</w:t>
            </w:r>
          </w:p>
        </w:tc>
        <w:tc>
          <w:tcPr>
            <w:tcW w:w="80" w:type="dxa"/>
            <w:vAlign w:val="bottom"/>
          </w:tcPr>
          <w:p>
            <w:pPr>
              <w:spacing w:after="0"/>
              <w:rPr>
                <w:sz w:val="17"/>
                <w:szCs w:val="17"/>
                <w:color w:val="auto"/>
              </w:rPr>
            </w:pPr>
          </w:p>
        </w:tc>
        <w:tc>
          <w:tcPr>
            <w:tcW w:w="500" w:type="dxa"/>
            <w:vAlign w:val="bottom"/>
          </w:tcPr>
          <w:p>
            <w:pPr>
              <w:jc w:val="center"/>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(524,403)</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(831,812)</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(1,534,081)</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50,653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14,883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131,343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26,621</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insurance premium</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25,188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7,184</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Non-cash operating lease cost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5,302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8,629</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83,302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236,956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352,245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366,200</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Inventory and firm purchase commitments write-downs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186,496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364,553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 in fair value of contingent forward contract liability</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454,546</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Change in fair value of preferred stock warrant liability</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6,976</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 in fair value of common stock warrant liability</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(140,146)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24,787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(998,319)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24,787</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Other non-cash items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(302,202)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(32,931)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(906,054)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(60,112)</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(18,560)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(43,514)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(12,101)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(65,697)</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(33,262)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8,299</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(39,082)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(5,861)</w:t>
            </w:r>
          </w:p>
        </w:tc>
      </w:tr>
      <w:tr>
        <w:trPr>
          <w:trHeight w:val="26"/>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52,216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(14,175)</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(6,542)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16,644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12,752</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(4,516)</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102,001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281,545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17,834</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12,396</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20,191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5,158</w:t>
            </w:r>
          </w:p>
        </w:tc>
      </w:tr>
      <w:tr>
        <w:trPr>
          <w:trHeight w:val="198"/>
        </w:trPr>
        <w:tc>
          <w:tcPr>
            <w:tcW w:w="5980" w:type="dxa"/>
            <w:vAlign w:val="bottom"/>
          </w:tcPr>
          <w:p>
            <w:pPr>
              <w:ind w:left="5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(569,466)</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(291,597)</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(1,577,743)</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(745,401)</w:t>
            </w:r>
          </w:p>
        </w:tc>
      </w:tr>
      <w:tr>
        <w:trPr>
          <w:trHeight w:val="25"/>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(290,064)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(92,780)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(784,964)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(299,313)</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government grant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97,267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97,267</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(1,307,454)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(2,726,677)</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maturities of investments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125,353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125,353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(1,374,898)</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(92,780)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(3,289,021)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(299,294)</w:t>
            </w:r>
          </w:p>
        </w:tc>
      </w:tr>
      <w:tr>
        <w:trPr>
          <w:trHeight w:val="184"/>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for short-term insurance financing note</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(14,072)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(15,330)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(16,819)</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Payment for finance lease liabilities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(3,605)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short-term insurance financing note</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41,935</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13,565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20,228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Repayments for borrowings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failed sale-leaseback transaction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31,700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31,700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Series B convertible preferred stock</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issuance of Series D convertible preferred stock</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issuance of Series E convertible preferred stock</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600,000</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14,738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6,027</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the exercise of public warrants</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173,273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173,273</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the reverse capitalization</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4,439,153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4,439,153</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of transaction costs related to the reverse recapitalization</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(4,811)</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Proceeds from employee stock purchase plan</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12,882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repurchases from employees for tax withholdings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(212,895)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980" w:type="dxa"/>
            <w:vAlign w:val="bottom"/>
          </w:tcPr>
          <w:p>
            <w:pPr>
              <w:ind w:left="180"/>
              <w:spacing w:after="0"/>
              <w:rPr>
                <w:sz w:val="20"/>
                <w:szCs w:val="20"/>
                <w:color w:val="auto"/>
              </w:rPr>
            </w:pPr>
            <w:r>
              <w:rPr>
                <w:rFonts w:ascii="Arial" w:cs="Arial" w:eastAsia="Arial" w:hAnsi="Arial"/>
                <w:sz w:val="14"/>
                <w:szCs w:val="14"/>
                <w:color w:val="auto"/>
              </w:rPr>
              <w:t>Payment for credit facility issuance costs</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(6,631)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17,643</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4,624,738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(165,566)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5,236,843</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(1,926,721)</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4,240,361</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(5,032,330)</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4,192,148</w:t>
            </w:r>
          </w:p>
        </w:tc>
      </w:tr>
      <w:tr>
        <w:trPr>
          <w:trHeight w:val="25"/>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cash, cash equivalents, and restricted cash</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3,192,411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592,205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6,298,020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640,418</w:t>
            </w:r>
          </w:p>
        </w:tc>
      </w:tr>
      <w:tr>
        <w:trPr>
          <w:trHeight w:val="223"/>
        </w:trPr>
        <w:tc>
          <w:tcPr>
            <w:tcW w:w="5980" w:type="dxa"/>
            <w:vAlign w:val="bottom"/>
          </w:tcPr>
          <w:p>
            <w:pPr>
              <w:ind w:left="20"/>
              <w:spacing w:after="0"/>
              <w:rPr>
                <w:sz w:val="20"/>
                <w:szCs w:val="20"/>
                <w:color w:val="auto"/>
              </w:rPr>
            </w:pPr>
            <w:r>
              <w:rPr>
                <w:rFonts w:ascii="Arial" w:cs="Arial" w:eastAsia="Arial" w:hAnsi="Arial"/>
                <w:sz w:val="14"/>
                <w:szCs w:val="14"/>
                <w:color w:val="auto"/>
              </w:rPr>
              <w:t>Ending cash, cash equivalents, and restricted cash</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1,265,690</w:t>
            </w:r>
          </w:p>
        </w:tc>
        <w:tc>
          <w:tcPr>
            <w:tcW w:w="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center"/>
              <w:ind w:right="3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4,832,566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1,265,690</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4,832,566</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3" w:right="339" w:bottom="1440" w:gutter="0" w:footer="0" w:header="0"/>
          <w:type w:val="continuous"/>
        </w:sectPr>
      </w:pPr>
    </w:p>
    <w:bookmarkStart w:id="9" w:name="page10"/>
    <w:bookmarkEnd w:id="9"/>
    <w:p>
      <w:pPr>
        <w:ind w:left="4680"/>
        <w:spacing w:after="0"/>
        <w:rPr>
          <w:sz w:val="20"/>
          <w:szCs w:val="20"/>
          <w:color w:val="auto"/>
        </w:rPr>
      </w:pPr>
      <w:r>
        <w:rPr>
          <w:rFonts w:ascii="Arial" w:cs="Arial" w:eastAsia="Arial" w:hAnsi="Arial"/>
          <w:sz w:val="20"/>
          <w:szCs w:val="20"/>
          <w:b w:val="1"/>
          <w:bCs w:val="1"/>
          <w:color w:val="auto"/>
        </w:rPr>
        <w:t>LUCID GROUP, INC.</w:t>
      </w:r>
    </w:p>
    <w:p>
      <w:pPr>
        <w:ind w:left="3060"/>
        <w:spacing w:after="0" w:line="232" w:lineRule="auto"/>
        <w:rPr>
          <w:sz w:val="20"/>
          <w:szCs w:val="20"/>
          <w:color w:val="auto"/>
        </w:rPr>
      </w:pPr>
      <w:r>
        <w:rPr>
          <w:rFonts w:ascii="Arial" w:cs="Arial" w:eastAsia="Arial" w:hAnsi="Arial"/>
          <w:sz w:val="20"/>
          <w:szCs w:val="20"/>
          <w:b w:val="1"/>
          <w:bCs w:val="1"/>
          <w:color w:val="auto"/>
        </w:rPr>
        <w:t>Reconciliation of GAAP to Non-GAAP Financials Measures</w:t>
      </w:r>
      <w:r>
        <w:rPr>
          <w:rFonts w:ascii="Arial" w:cs="Arial" w:eastAsia="Arial" w:hAnsi="Arial"/>
          <w:sz w:val="25"/>
          <w:szCs w:val="25"/>
          <w:b w:val="1"/>
          <w:bCs w:val="1"/>
          <w:color w:val="auto"/>
          <w:vertAlign w:val="superscript"/>
        </w:rPr>
        <w:t>1</w:t>
      </w:r>
    </w:p>
    <w:p>
      <w:pPr>
        <w:ind w:left="5180"/>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2140" w:type="dxa"/>
            <w:vAlign w:val="bottom"/>
            <w:gridSpan w:val="4"/>
          </w:tcPr>
          <w:p>
            <w:pPr>
              <w:ind w:left="2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0"/>
        </w:trPr>
        <w:tc>
          <w:tcPr>
            <w:tcW w:w="1220" w:type="dxa"/>
            <w:vAlign w:val="bottom"/>
            <w:tcBorders>
              <w:bottom w:val="single" w:sz="8" w:color="CCEEFF"/>
            </w:tcBorders>
          </w:tcPr>
          <w:p>
            <w:pPr>
              <w:spacing w:after="0"/>
              <w:rPr>
                <w:sz w:val="3"/>
                <w:szCs w:val="3"/>
                <w:color w:val="auto"/>
              </w:rPr>
            </w:pPr>
          </w:p>
        </w:tc>
        <w:tc>
          <w:tcPr>
            <w:tcW w:w="53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(530,101)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(524,403)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(831,812)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(1,534,081)</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3"/>
                <w:szCs w:val="3"/>
                <w:color w:val="auto"/>
              </w:rPr>
            </w:pPr>
          </w:p>
        </w:tc>
        <w:tc>
          <w:tcPr>
            <w:tcW w:w="53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26,621</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forward contracts</w:t>
            </w:r>
          </w:p>
        </w:tc>
        <w:tc>
          <w:tcPr>
            <w:tcW w:w="2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common stock warrant liability</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(140,146)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(998,319)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Transaction costs expensed</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83,302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236,956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352,245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366,200</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(552,903)</w:t>
            </w:r>
          </w:p>
        </w:tc>
        <w:tc>
          <w:tcPr>
            <w:tcW w:w="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(244,962)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(1,350,766)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(652,092)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5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2140" w:type="dxa"/>
            <w:vAlign w:val="bottom"/>
            <w:gridSpan w:val="4"/>
          </w:tcPr>
          <w:p>
            <w:pPr>
              <w:ind w:left="2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0"/>
        </w:trPr>
        <w:tc>
          <w:tcPr>
            <w:tcW w:w="6520" w:type="dxa"/>
            <w:vAlign w:val="bottom"/>
            <w:tcBorders>
              <w:bottom w:val="single" w:sz="8" w:color="CCEEFF"/>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 (GAAP)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(569,466)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(291,597)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(1,577,743)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(745,401)</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(290,064)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(784,964)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(299,313)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(859,530)</w:t>
            </w:r>
          </w:p>
        </w:tc>
        <w:tc>
          <w:tcPr>
            <w:tcW w:w="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(384,377)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(2,362,707)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(1,044,714)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31" w:lineRule="exact"/>
        <w:rPr>
          <w:sz w:val="20"/>
          <w:szCs w:val="20"/>
          <w:color w:val="auto"/>
        </w:rPr>
      </w:pPr>
    </w:p>
    <w:p>
      <w:pPr>
        <w:jc w:val="both"/>
        <w:ind w:firstLine="8"/>
        <w:spacing w:after="0" w:line="265" w:lineRule="auto"/>
        <w:tabs>
          <w:tab w:leader="none" w:pos="103"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The business combination (the “Merger”) between Lucid Group Inc.’s predecessor, Atieva, Inc. (“Legacy Lucid”), and Churchill Capital Corp IV (“CCIV”), which closed on July 23, 2021, is accounted for as a reverse recapitalization under U.S. GAAP. Under this method of accounting, CCIV has been treated as the acquired company for financial reporting purposes. Accordingly, for accounting purposes, the financial statements of Lucid represent a continuation of the financial statements of Legacy Lucid with the Merger being treated as the equivalent of Legacy Lucid issuing shares for the net assets of CCIV, accompanied by a recapitalization. The net assets of CCIV were recognized as of the closing of the Merger at historical cost, with no goodwill or other intangible assets recorded. Operations prior to the Merger are presented as those of Legacy Lucid and the accumulated deficit of Legacy Lucid has been carried forward after the closing of the Merger. All periods prior to the Merger have been retrospectively adjusted using the applicable exchange ratio for the equivalent number of shares outstanding immediately after the closing of the Merger to effect the reverse recapitalization. See our Form 10-Q for the three and nine months ended September 30, 2022 for additional information.</w:t>
      </w:r>
    </w:p>
    <w:p>
      <w:pPr>
        <w:sectPr>
          <w:pgSz w:w="11900" w:h="16838" w:orient="portrait"/>
          <w:cols w:equalWidth="0" w:num="1">
            <w:col w:w="11240"/>
          </w:cols>
          <w:pgMar w:left="320" w:top="778"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sectPr>
      <w:pgSz w:w="11900" w:h="16838" w:orient="portrait"/>
      <w:cols w:equalWidth="0" w:num="1">
        <w:col w:w="11240"/>
      </w:cols>
      <w:pgMar w:left="320" w:top="77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2022-11-08T15:47:35Z</dcterms:created>
  <dcterms:modified xsi:type="dcterms:W3CDTF">2022-11-08T15:47:35Z</dcterms:modified>
</cp:coreProperties>
</file>