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tm2313633d1_8k.htm"/>
      <w:bookmarkStart w:id="1" w:name="kstm2313633d1_8k"/>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8"/>
        </w:rPr>
        <w:br/>
      </w: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30424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April 24,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3"/>
      <w:bookmarkEnd w:id="4"/>
      <w:r>
        <w:rPr>
          <w:rFonts w:ascii="Times New Roman;Times;Serif" w:hAnsi="Times New Roman;Times;Serif"/>
          <w:b/>
          <w:i w:val="false"/>
          <w:caps w:val="false"/>
          <w:smallCaps w:val="false"/>
          <w:sz w:val="36"/>
        </w:rPr>
        <w:t>Lucid Group,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7695" w:type="dxa"/>
        <w:jc w:val="left"/>
        <w:tblInd w:w="0" w:type="dxa"/>
        <w:tblCellMar>
          <w:top w:w="0" w:type="dxa"/>
          <w:left w:w="0" w:type="dxa"/>
          <w:bottom w:w="0" w:type="dxa"/>
          <w:right w:w="0" w:type="dxa"/>
        </w:tblCellMar>
      </w:tblPr>
      <w:tblGrid>
        <w:gridCol w:w="3275"/>
        <w:gridCol w:w="1505"/>
        <w:gridCol w:w="2915"/>
      </w:tblGrid>
      <w:tr>
        <w:trPr/>
        <w:tc>
          <w:tcPr>
            <w:tcW w:w="3275" w:type="dxa"/>
            <w:tcBorders/>
            <w:shd w:fill="auto" w:val="clear"/>
            <w:vAlign w:val="center"/>
          </w:tcPr>
          <w:p>
            <w:pPr>
              <w:pStyle w:val="TableContents"/>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Delaware</w:t>
            </w:r>
          </w:p>
        </w:tc>
        <w:tc>
          <w:tcPr>
            <w:tcW w:w="1505" w:type="dxa"/>
            <w:tcBorders/>
            <w:shd w:fill="FFFFFF" w:val="clear"/>
            <w:vAlign w:val="center"/>
          </w:tcPr>
          <w:p>
            <w:pPr>
              <w:pStyle w:val="TableContents"/>
              <w:spacing w:before="0" w:after="283"/>
              <w:jc w:val="center"/>
              <w:rPr>
                <w:rFonts w:ascii="Times New Roman;Times;Serif" w:hAnsi="Times New Roman;Times;Serif"/>
                <w:b/>
                <w:sz w:val="20"/>
              </w:rPr>
            </w:pPr>
            <w:bookmarkStart w:id="6" w:name="xdx_901_edei--EntityFileNumber_c20230424"/>
            <w:bookmarkEnd w:id="6"/>
            <w:r>
              <w:rPr>
                <w:rFonts w:ascii="Times New Roman;Times;Serif" w:hAnsi="Times New Roman;Times;Serif"/>
                <w:b/>
                <w:sz w:val="20"/>
              </w:rPr>
              <w:t>001-39408</w:t>
            </w:r>
          </w:p>
        </w:tc>
        <w:tc>
          <w:tcPr>
            <w:tcW w:w="2915" w:type="dxa"/>
            <w:tcBorders/>
            <w:shd w:fill="auto" w:val="clear"/>
            <w:vAlign w:val="center"/>
          </w:tcPr>
          <w:p>
            <w:pPr>
              <w:pStyle w:val="TableContents"/>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85-0891392</w:t>
            </w:r>
          </w:p>
        </w:tc>
      </w:tr>
      <w:tr>
        <w:trPr/>
        <w:tc>
          <w:tcPr>
            <w:tcW w:w="327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150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(Commission File </w:t>
              <w:br/>
              <w:t>Number)</w:t>
            </w:r>
          </w:p>
        </w:tc>
        <w:tc>
          <w:tcPr>
            <w:tcW w:w="291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275"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7373 Gateway Boulevard</w:t>
            </w:r>
          </w:p>
          <w:p>
            <w:pPr>
              <w:pStyle w:val="TableContents"/>
              <w:spacing w:before="0" w:after="0"/>
              <w:ind w:left="0" w:right="0" w:hanging="0"/>
              <w:jc w:val="center"/>
              <w:rPr>
                <w:rFonts w:ascii="Times New Roman;Times;Serif" w:hAnsi="Times New Roman;Times;Serif"/>
                <w:b w:val="false"/>
                <w:i w:val="false"/>
                <w:caps w:val="false"/>
                <w:smallCaps w:val="false"/>
                <w:sz w:val="20"/>
              </w:rPr>
            </w:pPr>
            <w:bookmarkStart w:id="9" w:name="xdx_902_edei--EntityAddressCityOrTown_c2"/>
            <w:bookmarkEnd w:id="9"/>
            <w:r>
              <w:rPr>
                <w:rFonts w:ascii="Times New Roman;Times;Serif" w:hAnsi="Times New Roman;Times;Serif"/>
                <w:b/>
                <w:i w:val="false"/>
                <w:caps w:val="false"/>
                <w:smallCaps w:val="false"/>
                <w:sz w:val="20"/>
              </w:rPr>
              <w:t xml:space="preserve">Newark, </w:t>
            </w:r>
            <w:bookmarkStart w:id="10" w:name="xdx_904_edei--EntityAddressStateOrProvin"/>
            <w:bookmarkEnd w:id="10"/>
            <w:r>
              <w:rPr>
                <w:rFonts w:ascii="Times New Roman;Times;Serif" w:hAnsi="Times New Roman;Times;Serif"/>
                <w:b/>
                <w:i w:val="false"/>
                <w:caps w:val="false"/>
                <w:smallCaps w:val="false"/>
                <w:sz w:val="20"/>
              </w:rPr>
              <w:t>CA</w:t>
            </w:r>
          </w:p>
        </w:tc>
        <w:tc>
          <w:tcPr>
            <w:tcW w:w="1505" w:type="dxa"/>
            <w:tcBorders/>
            <w:shd w:fill="auto" w:val="clear"/>
            <w:vAlign w:val="center"/>
          </w:tcPr>
          <w:p>
            <w:pPr>
              <w:pStyle w:val="TableContents"/>
              <w:spacing w:before="0" w:after="283"/>
              <w:jc w:val="center"/>
              <w:rPr/>
            </w:pPr>
            <w:r>
              <w:rPr/>
              <w:t> </w:t>
            </w:r>
          </w:p>
        </w:tc>
        <w:tc>
          <w:tcPr>
            <w:tcW w:w="2915" w:type="dxa"/>
            <w:tcBorders/>
            <w:shd w:fill="auto" w:val="clear"/>
            <w:vAlign w:val="center"/>
          </w:tcPr>
          <w:p>
            <w:pPr>
              <w:pStyle w:val="TableContents"/>
              <w:spacing w:before="0" w:after="283"/>
              <w:jc w:val="center"/>
              <w:rPr>
                <w:rFonts w:ascii="Times New Roman;Times;Serif" w:hAnsi="Times New Roman;Times;Serif"/>
                <w:b/>
                <w:sz w:val="20"/>
              </w:rPr>
            </w:pPr>
            <w:bookmarkStart w:id="11" w:name="xdx_907_edei--EntityAddressPostalZipCode"/>
            <w:bookmarkEnd w:id="11"/>
            <w:r>
              <w:rPr>
                <w:rFonts w:ascii="Times New Roman;Times;Serif" w:hAnsi="Times New Roman;Times;Serif"/>
                <w:b/>
                <w:sz w:val="20"/>
              </w:rPr>
              <w:t>94560</w:t>
            </w:r>
          </w:p>
        </w:tc>
      </w:tr>
      <w:tr>
        <w:trPr/>
        <w:tc>
          <w:tcPr>
            <w:tcW w:w="327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0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ind w:left="0" w:right="0" w:hanging="0"/>
        <w:rPr/>
      </w:pPr>
      <w:r>
        <w:rPr/>
        <w:t> </w:t>
      </w:r>
    </w:p>
    <w:tbl>
      <w:tblPr>
        <w:tblW w:w="5613" w:type="dxa"/>
        <w:jc w:val="left"/>
        <w:tblInd w:w="0" w:type="dxa"/>
        <w:tblCellMar>
          <w:top w:w="0" w:type="dxa"/>
          <w:left w:w="0" w:type="dxa"/>
          <w:bottom w:w="0" w:type="dxa"/>
          <w:right w:w="0" w:type="dxa"/>
        </w:tblCellMar>
      </w:tblPr>
      <w:tblGrid>
        <w:gridCol w:w="1555"/>
        <w:gridCol w:w="1243"/>
        <w:gridCol w:w="1243"/>
        <w:gridCol w:w="1572"/>
      </w:tblGrid>
      <w:tr>
        <w:trPr/>
        <w:tc>
          <w:tcPr>
            <w:tcW w:w="5613" w:type="dxa"/>
            <w:gridSpan w:val="4"/>
            <w:tcBorders/>
            <w:shd w:fill="auto" w:val="clear"/>
            <w:vAlign w:val="center"/>
          </w:tcPr>
          <w:p>
            <w:pPr>
              <w:pStyle w:val="TableContents"/>
              <w:spacing w:before="0" w:after="283"/>
              <w:jc w:val="center"/>
              <w:rPr>
                <w:sz w:val="20"/>
              </w:rPr>
            </w:pPr>
            <w:r>
              <w:rPr>
                <w:sz w:val="20"/>
              </w:rPr>
              <w:t>Registrant’s telephone number, including area code: (</w:t>
            </w:r>
            <w:bookmarkStart w:id="12" w:name="xdx_906_edei--CityAreaCode_c20230424__20"/>
            <w:bookmarkEnd w:id="12"/>
            <w:r>
              <w:rPr>
                <w:b/>
                <w:sz w:val="20"/>
              </w:rPr>
              <w:t xml:space="preserve">510) </w:t>
            </w:r>
            <w:bookmarkStart w:id="13" w:name="xdx_90E_edei--LocalPhoneNumber_c20230424"/>
            <w:bookmarkEnd w:id="13"/>
            <w:r>
              <w:rPr>
                <w:b/>
                <w:sz w:val="20"/>
              </w:rPr>
              <w:t>648-3553</w:t>
            </w:r>
          </w:p>
        </w:tc>
      </w:tr>
      <w:tr>
        <w:trPr/>
        <w:tc>
          <w:tcPr>
            <w:tcW w:w="5613" w:type="dxa"/>
            <w:gridSpan w:val="4"/>
            <w:tcBorders/>
            <w:shd w:fill="auto" w:val="clear"/>
            <w:vAlign w:val="center"/>
          </w:tcPr>
          <w:p>
            <w:pPr>
              <w:pStyle w:val="TableContents"/>
              <w:spacing w:before="0" w:after="283"/>
              <w:jc w:val="center"/>
              <w:rPr/>
            </w:pPr>
            <w:r>
              <w:rPr/>
              <w:t> </w:t>
            </w:r>
          </w:p>
        </w:tc>
      </w:tr>
      <w:tr>
        <w:trPr/>
        <w:tc>
          <w:tcPr>
            <w:tcW w:w="5613" w:type="dxa"/>
            <w:gridSpan w:val="4"/>
            <w:tcBorders/>
            <w:shd w:fill="auto" w:val="clear"/>
            <w:vAlign w:val="center"/>
          </w:tcPr>
          <w:p>
            <w:pPr>
              <w:pStyle w:val="TableContents"/>
              <w:spacing w:before="0" w:after="283"/>
              <w:jc w:val="center"/>
              <w:rPr>
                <w:sz w:val="20"/>
              </w:rPr>
            </w:pPr>
            <w:r>
              <w:rPr>
                <w:sz w:val="20"/>
              </w:rPr>
              <w:t>(Former name or former address, if changed since last report.)</w:t>
            </w:r>
          </w:p>
        </w:tc>
      </w:tr>
      <w:tr>
        <w:trPr/>
        <w:tc>
          <w:tcPr>
            <w:tcW w:w="1555" w:type="dxa"/>
            <w:tcBorders/>
            <w:shd w:fill="auto" w:val="clear"/>
            <w:vAlign w:val="center"/>
          </w:tcPr>
          <w:p>
            <w:pPr>
              <w:pStyle w:val="TableContents"/>
              <w:spacing w:before="0" w:after="283"/>
              <w:rPr/>
            </w:pPr>
            <w:r>
              <w:rPr/>
              <w:t> </w:t>
            </w:r>
          </w:p>
        </w:tc>
        <w:tc>
          <w:tcPr>
            <w:tcW w:w="1243" w:type="dxa"/>
            <w:tcBorders/>
            <w:shd w:fill="auto" w:val="clear"/>
            <w:vAlign w:val="center"/>
          </w:tcPr>
          <w:p>
            <w:pPr>
              <w:pStyle w:val="TableContents"/>
              <w:spacing w:before="0" w:after="283"/>
              <w:rPr/>
            </w:pPr>
            <w:r>
              <w:rPr/>
              <w:t> </w:t>
            </w:r>
          </w:p>
        </w:tc>
        <w:tc>
          <w:tcPr>
            <w:tcW w:w="1243"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caps w:val="false"/>
          <w:smallCaps w:val="false"/>
        </w:rPr>
      </w:pPr>
      <w:r>
        <w:rPr>
          <w:caps w:val="false"/>
          <w:smallCaps w:val="false"/>
        </w:rPr>
        <w:t> </w:t>
      </w:r>
    </w:p>
    <w:p>
      <w:pPr>
        <w:pStyle w:val="TextBody"/>
        <w:spacing w:before="0" w:after="0"/>
        <w:ind w:left="302" w:right="0" w:hanging="302"/>
        <w:jc w:val="left"/>
        <w:rPr>
          <w:caps w:val="false"/>
          <w:smallCaps w:val="false"/>
        </w:rPr>
      </w:pPr>
      <w:bookmarkStart w:id="14" w:name="xdx_902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302" w:right="0" w:hanging="302"/>
        <w:jc w:val="left"/>
        <w:rPr>
          <w:caps w:val="false"/>
          <w:smallCaps w:val="false"/>
        </w:rPr>
      </w:pPr>
      <w:r>
        <w:rPr>
          <w:caps w:val="false"/>
          <w:smallCaps w:val="false"/>
        </w:rPr>
        <w:t> </w:t>
      </w:r>
    </w:p>
    <w:p>
      <w:pPr>
        <w:pStyle w:val="TextBody"/>
        <w:spacing w:before="0" w:after="0"/>
        <w:ind w:left="302" w:right="0" w:hanging="302"/>
        <w:jc w:val="left"/>
        <w:rPr>
          <w:caps w:val="false"/>
          <w:smallCaps w:val="false"/>
        </w:rPr>
      </w:pPr>
      <w:bookmarkStart w:id="15" w:name="xdx_908_edei--SolicitingMaterial_c202304"/>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302" w:right="0" w:hanging="302"/>
        <w:jc w:val="left"/>
        <w:rPr>
          <w:caps w:val="false"/>
          <w:smallCaps w:val="false"/>
        </w:rPr>
      </w:pPr>
      <w:r>
        <w:rPr>
          <w:caps w:val="false"/>
          <w:smallCaps w:val="false"/>
        </w:rPr>
        <w:t> </w:t>
      </w:r>
    </w:p>
    <w:p>
      <w:pPr>
        <w:pStyle w:val="TextBody"/>
        <w:spacing w:before="0" w:after="0"/>
        <w:ind w:left="302" w:right="0" w:hanging="302"/>
        <w:jc w:val="left"/>
        <w:rPr>
          <w:caps w:val="false"/>
          <w:smallCaps w:val="false"/>
        </w:rPr>
      </w:pPr>
      <w:bookmarkStart w:id="16" w:name="xdx_905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302" w:right="0" w:hanging="302"/>
        <w:jc w:val="left"/>
        <w:rPr>
          <w:caps w:val="false"/>
          <w:smallCaps w:val="false"/>
        </w:rPr>
      </w:pPr>
      <w:r>
        <w:rPr>
          <w:caps w:val="false"/>
          <w:smallCaps w:val="false"/>
        </w:rPr>
        <w:t> </w:t>
      </w:r>
    </w:p>
    <w:p>
      <w:pPr>
        <w:pStyle w:val="TextBody"/>
        <w:spacing w:before="0" w:after="0"/>
        <w:ind w:left="302" w:right="0" w:hanging="302"/>
        <w:jc w:val="left"/>
        <w:rPr>
          <w:caps w:val="false"/>
          <w:smallCaps w:val="false"/>
        </w:rPr>
      </w:pPr>
      <w:bookmarkStart w:id="17" w:name="xdx_906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302" w:right="0" w:hanging="302"/>
        <w:jc w:val="both"/>
        <w:rPr>
          <w:caps w:val="false"/>
          <w:smallCaps w:val="false"/>
        </w:rPr>
      </w:pPr>
      <w:r>
        <w:rPr>
          <w:caps w:val="false"/>
          <w:smallCaps w:val="false"/>
        </w:rPr>
        <w:t> </w:t>
      </w:r>
    </w:p>
    <w:p>
      <w:pPr>
        <w:pStyle w:val="TextBody"/>
        <w:spacing w:before="0" w:after="0"/>
        <w:ind w:left="302" w:right="0" w:hanging="30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302" w:right="0" w:hanging="302"/>
        <w:jc w:val="both"/>
        <w:rPr>
          <w:caps w:val="false"/>
          <w:smallCaps w:val="false"/>
        </w:rPr>
      </w:pPr>
      <w:r>
        <w:rPr>
          <w:caps w:val="false"/>
          <w:smallCaps w:val="false"/>
        </w:rPr>
        <w:t> </w:t>
      </w:r>
    </w:p>
    <w:tbl>
      <w:tblPr>
        <w:tblW w:w="8970" w:type="dxa"/>
        <w:jc w:val="left"/>
        <w:tblInd w:w="0" w:type="dxa"/>
        <w:tblCellMar>
          <w:top w:w="0" w:type="dxa"/>
          <w:left w:w="0" w:type="dxa"/>
          <w:bottom w:w="28" w:type="dxa"/>
          <w:right w:w="0" w:type="dxa"/>
        </w:tblCellMar>
      </w:tblPr>
      <w:tblGrid>
        <w:gridCol w:w="4280"/>
        <w:gridCol w:w="60"/>
        <w:gridCol w:w="860"/>
        <w:gridCol w:w="60"/>
        <w:gridCol w:w="3710"/>
      </w:tblGrid>
      <w:tr>
        <w:trPr/>
        <w:tc>
          <w:tcPr>
            <w:tcW w:w="42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shd w:fill="auto" w:val="clear"/>
            <w:tcMar>
              <w:bottom w:w="0" w:type="dxa"/>
            </w:tcMar>
            <w:vAlign w:val="center"/>
          </w:tcPr>
          <w:p>
            <w:pPr>
              <w:pStyle w:val="TableContents"/>
              <w:spacing w:before="0" w:after="283"/>
              <w:jc w:val="center"/>
              <w:rPr>
                <w:sz w:val="20"/>
              </w:rPr>
            </w:pPr>
            <w:bookmarkStart w:id="18" w:name="xdx_908_edei--Security12bTitle_c20230424"/>
            <w:bookmarkEnd w:id="18"/>
            <w:r>
              <w:rPr>
                <w:sz w:val="20"/>
              </w:rPr>
              <w:t>Class A Common Stock, $0.0001 par value per share</w:t>
            </w:r>
          </w:p>
        </w:tc>
        <w:tc>
          <w:tcPr>
            <w:tcW w:w="60" w:type="dxa"/>
            <w:tcBorders/>
            <w:shd w:fill="auto" w:val="clear"/>
            <w:tcMar>
              <w:bottom w:w="0" w:type="dxa"/>
            </w:tcMar>
            <w:vAlign w:val="center"/>
          </w:tcPr>
          <w:p>
            <w:pPr>
              <w:pStyle w:val="TableContents"/>
              <w:spacing w:before="0" w:after="283"/>
              <w:jc w:val="center"/>
              <w:rPr/>
            </w:pPr>
            <w:r>
              <w:rPr/>
              <w:t> </w:t>
            </w:r>
          </w:p>
        </w:tc>
        <w:tc>
          <w:tcPr>
            <w:tcW w:w="860" w:type="dxa"/>
            <w:tcBorders/>
            <w:shd w:fill="auto" w:val="clear"/>
            <w:tcMar>
              <w:bottom w:w="0" w:type="dxa"/>
            </w:tcMar>
            <w:vAlign w:val="center"/>
          </w:tcPr>
          <w:p>
            <w:pPr>
              <w:pStyle w:val="TableContents"/>
              <w:spacing w:before="0" w:after="283"/>
              <w:jc w:val="center"/>
              <w:rPr>
                <w:sz w:val="20"/>
              </w:rPr>
            </w:pPr>
            <w:bookmarkStart w:id="19" w:name="xdx_900_edei--TradingSymbol_c20230424__2"/>
            <w:bookmarkEnd w:id="19"/>
            <w:r>
              <w:rPr>
                <w:sz w:val="20"/>
              </w:rPr>
              <w:t>LCID</w:t>
            </w:r>
          </w:p>
        </w:tc>
        <w:tc>
          <w:tcPr>
            <w:tcW w:w="60" w:type="dxa"/>
            <w:tcBorders/>
            <w:shd w:fill="auto" w:val="clear"/>
            <w:tcMar>
              <w:bottom w:w="0" w:type="dxa"/>
            </w:tcMar>
            <w:vAlign w:val="center"/>
          </w:tcPr>
          <w:p>
            <w:pPr>
              <w:pStyle w:val="TableContents"/>
              <w:spacing w:before="0" w:after="283"/>
              <w:jc w:val="center"/>
              <w:rPr/>
            </w:pPr>
            <w:r>
              <w:rPr/>
              <w:t> </w:t>
            </w:r>
          </w:p>
        </w:tc>
        <w:tc>
          <w:tcPr>
            <w:tcW w:w="3710" w:type="dxa"/>
            <w:tcBorders/>
            <w:shd w:fill="auto" w:val="clear"/>
            <w:tcMar>
              <w:bottom w:w="0" w:type="dxa"/>
            </w:tcMar>
            <w:vAlign w:val="center"/>
          </w:tcPr>
          <w:p>
            <w:pPr>
              <w:pStyle w:val="TableContents"/>
              <w:spacing w:before="0" w:after="283"/>
              <w:jc w:val="center"/>
              <w:rPr>
                <w:sz w:val="20"/>
              </w:rPr>
            </w:pPr>
            <w:bookmarkStart w:id="20" w:name="xdx_906_edei--SecurityExchangeName_c2023"/>
            <w:bookmarkEnd w:id="20"/>
            <w:r>
              <w:rPr>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firstLine="360"/>
        <w:jc w:val="center"/>
        <w:rPr>
          <w:caps w:val="false"/>
          <w:smallCaps w:val="false"/>
        </w:rPr>
      </w:pPr>
      <w:r>
        <w:rPr>
          <w:caps w:val="false"/>
          <w:smallCaps w:val="false"/>
        </w:rPr>
        <w:t> </w:t>
      </w:r>
    </w:p>
    <w:p>
      <w:pPr>
        <w:pStyle w:val="TextBody"/>
        <w:spacing w:before="60" w:after="240"/>
        <w:ind w:left="0" w:right="0" w:firstLine="36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702"/>
        <w:gridCol w:w="9428"/>
      </w:tblGrid>
      <w:tr>
        <w:trPr/>
        <w:tc>
          <w:tcPr>
            <w:tcW w:w="75" w:type="dxa"/>
            <w:tcBorders/>
            <w:shd w:fill="auto" w:val="clear"/>
            <w:vAlign w:val="center"/>
          </w:tcPr>
          <w:p>
            <w:pPr>
              <w:pStyle w:val="TableContents"/>
              <w:spacing w:before="0" w:after="283"/>
              <w:rPr/>
            </w:pPr>
            <w:r>
              <w:rPr/>
              <w:t> </w:t>
            </w:r>
          </w:p>
        </w:tc>
        <w:tc>
          <w:tcPr>
            <w:tcW w:w="702" w:type="dxa"/>
            <w:tcBorders/>
            <w:shd w:fill="auto" w:val="clear"/>
            <w:vAlign w:val="center"/>
          </w:tcPr>
          <w:p>
            <w:pPr>
              <w:pStyle w:val="TableContents"/>
              <w:spacing w:before="0" w:after="283"/>
              <w:rPr>
                <w:b/>
                <w:sz w:val="20"/>
              </w:rPr>
            </w:pPr>
            <w:r>
              <w:rPr>
                <w:b/>
                <w:sz w:val="20"/>
              </w:rPr>
              <w:t>Item 5.02</w:t>
            </w:r>
          </w:p>
        </w:tc>
        <w:tc>
          <w:tcPr>
            <w:tcW w:w="9428" w:type="dxa"/>
            <w:tcBorders/>
            <w:shd w:fill="auto" w:val="clear"/>
            <w:vAlign w:val="center"/>
          </w:tcPr>
          <w:p>
            <w:pPr>
              <w:pStyle w:val="TableContents"/>
              <w:spacing w:before="0" w:after="283"/>
              <w:rPr>
                <w:b/>
                <w:sz w:val="20"/>
              </w:rPr>
            </w:pPr>
            <w:r>
              <w:rPr>
                <w:b/>
                <w:sz w:val="20"/>
              </w:rPr>
              <w:t>Departure of Directors or Certain Officers; Election of Directors; Appointment of Certain Officers; Compensatory Arrangements of Certain Officers.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2023, at the 2023 Annual Meeting of Stockholders (the “</w:t>
      </w:r>
      <w:r>
        <w:rPr>
          <w:rFonts w:ascii="Times New Roman;Times;Serif" w:hAnsi="Times New Roman;Times;Serif"/>
          <w:b/>
          <w:i/>
          <w:caps w:val="false"/>
          <w:smallCaps w:val="false"/>
          <w:sz w:val="20"/>
        </w:rPr>
        <w:t>Annual Meeting</w:t>
      </w:r>
      <w:r>
        <w:rPr>
          <w:rFonts w:ascii="Times New Roman;Times;Serif" w:hAnsi="Times New Roman;Times;Serif"/>
          <w:b w:val="false"/>
          <w:i w:val="false"/>
          <w:caps w:val="false"/>
          <w:smallCaps w:val="false"/>
          <w:sz w:val="20"/>
        </w:rPr>
        <w:t>”) of Lucid Group,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the Company’s stockholders approved the Lucid Group, Inc. Second Amended and Restated 2021 Stock Incentive Plan (including the Lucid Group, Inc. 2021 Employee Stock Purchase Plan attached thereto)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Under the Plan as approved by the Company’s stockholders at the Annual Meeting, the number of shares available for issuance has been increased by 39,166,575 shares effective as of the date of the Annual Meeting. In addition, the Plan prohibits (i) the repricing and buyout of underwater stock options and stock appreciation rights without prior stockholder approval, and (ii) grants of options and stock appreciation rights that provide for dividend equivalents. A more complete description of the terms of the Plan can be found in the Company’s definitive proxy statement on Schedule 14A filed with the U.S. Securities and Exchange Commission on March 13, 2023 (the “</w:t>
      </w:r>
      <w:r>
        <w:rPr>
          <w:rFonts w:ascii="Times New Roman;Times;Serif" w:hAnsi="Times New Roman;Times;Serif"/>
          <w:b/>
          <w:i/>
          <w:caps w:val="false"/>
          <w:smallCaps w:val="false"/>
          <w:sz w:val="20"/>
        </w:rPr>
        <w:t>Proxy Statement</w:t>
      </w:r>
      <w:r>
        <w:rPr>
          <w:rFonts w:ascii="Times New Roman;Times;Serif" w:hAnsi="Times New Roman;Times;Serif"/>
          <w:b w:val="false"/>
          <w:i w:val="false"/>
          <w:caps w:val="false"/>
          <w:smallCaps w:val="false"/>
          <w:sz w:val="20"/>
        </w:rPr>
        <w:t>”), which description is incorporated by reference herein. The foregoing and the summary in the Proxy Statement are not complete summaries of the terms of the Plan and are qualified by reference to the full text of the Plan, which is filed herewith as Exhibit 10.1 to this Current Report on Form 8-K and incorporated by reference in this Item 5.02. </w:t>
      </w:r>
    </w:p>
    <w:p>
      <w:pPr>
        <w:pStyle w:val="TextBody"/>
        <w:spacing w:before="0" w:after="0"/>
        <w:ind w:left="0" w:right="0" w:hanging="0"/>
        <w:jc w:val="both"/>
        <w:rPr>
          <w:caps w:val="false"/>
          <w:smallCaps w:val="false"/>
        </w:rPr>
      </w:pPr>
      <w:r>
        <w:rPr>
          <w:caps w:val="false"/>
          <w:smallCaps w:val="false"/>
        </w:rPr>
        <w:t> </w:t>
      </w:r>
    </w:p>
    <w:tbl>
      <w:tblPr>
        <w:tblW w:w="7255" w:type="dxa"/>
        <w:jc w:val="left"/>
        <w:tblInd w:w="0" w:type="dxa"/>
        <w:tblCellMar>
          <w:top w:w="0" w:type="dxa"/>
          <w:left w:w="0" w:type="dxa"/>
          <w:bottom w:w="0" w:type="dxa"/>
          <w:right w:w="0" w:type="dxa"/>
        </w:tblCellMar>
      </w:tblPr>
      <w:tblGrid>
        <w:gridCol w:w="830"/>
        <w:gridCol w:w="6425"/>
      </w:tblGrid>
      <w:tr>
        <w:trPr/>
        <w:tc>
          <w:tcPr>
            <w:tcW w:w="830" w:type="dxa"/>
            <w:tcBorders/>
            <w:shd w:fill="auto" w:val="clear"/>
            <w:vAlign w:val="center"/>
          </w:tcPr>
          <w:p>
            <w:pPr>
              <w:pStyle w:val="TableContents"/>
              <w:spacing w:before="0" w:after="283"/>
              <w:rPr>
                <w:b/>
                <w:sz w:val="20"/>
              </w:rPr>
            </w:pPr>
            <w:r>
              <w:rPr>
                <w:b/>
                <w:sz w:val="20"/>
              </w:rPr>
              <w:t>Item 5.03</w:t>
            </w:r>
          </w:p>
        </w:tc>
        <w:tc>
          <w:tcPr>
            <w:tcW w:w="6425" w:type="dxa"/>
            <w:tcBorders/>
            <w:shd w:fill="auto" w:val="clear"/>
            <w:vAlign w:val="center"/>
          </w:tcPr>
          <w:p>
            <w:pPr>
              <w:pStyle w:val="TableContents"/>
              <w:spacing w:before="0" w:after="283"/>
              <w:rPr>
                <w:b/>
                <w:sz w:val="20"/>
              </w:rPr>
            </w:pPr>
            <w:r>
              <w:rPr>
                <w:b/>
                <w:sz w:val="20"/>
              </w:rPr>
              <w:t>Amendments to Articles of Incorporation or Bylaws; Change in Fiscal Year.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Company’s stockholders approved the Company’s Third Amended and Restated Certificate of Incorporation (the “</w:t>
      </w:r>
      <w:r>
        <w:rPr>
          <w:rFonts w:ascii="Times New Roman;Times;Serif" w:hAnsi="Times New Roman;Times;Serif"/>
          <w:b/>
          <w:i/>
          <w:caps w:val="false"/>
          <w:smallCaps w:val="false"/>
          <w:sz w:val="20"/>
        </w:rPr>
        <w:t>Certificate</w:t>
      </w:r>
      <w:r>
        <w:rPr>
          <w:rFonts w:ascii="Times New Roman;Times;Serif" w:hAnsi="Times New Roman;Times;Serif"/>
          <w:b w:val="false"/>
          <w:i w:val="false"/>
          <w:caps w:val="false"/>
          <w:smallCaps w:val="false"/>
          <w:sz w:val="20"/>
        </w:rPr>
        <w:t>”) to provide that any director may be removed from office by the stockholders of the Company, with or without cause, by the affirmative vote of the holders of a majority of the total voting power of all outstanding securities of the Company generally entitled to vote in the election of directors, voting together as a single class, as described in the Proxy Statement. The Certificate was filed with the Secretary of State of the State of Delaware on April 24, 2023 and became effective on such date. The foregoing summary is not a complete summary of such amendment or the Certificate and is qualified by reference to the full text of the Certificate, which is filed herewith as Exhibit 3.1 to this Current Report on Form 8-K and incorporated by reference in this Item 5.03.</w:t>
      </w:r>
    </w:p>
    <w:p>
      <w:pPr>
        <w:pStyle w:val="TextBody"/>
        <w:spacing w:before="0" w:after="0"/>
        <w:ind w:left="0" w:right="0" w:hanging="0"/>
        <w:jc w:val="both"/>
        <w:rPr>
          <w:caps w:val="false"/>
          <w:smallCaps w:val="false"/>
        </w:rPr>
      </w:pPr>
      <w:r>
        <w:rPr>
          <w:caps w:val="false"/>
          <w:smallCaps w:val="false"/>
        </w:rPr>
        <w:t> </w:t>
      </w:r>
    </w:p>
    <w:tbl>
      <w:tblPr>
        <w:tblW w:w="5260" w:type="dxa"/>
        <w:jc w:val="left"/>
        <w:tblInd w:w="0" w:type="dxa"/>
        <w:tblCellMar>
          <w:top w:w="0" w:type="dxa"/>
          <w:left w:w="0" w:type="dxa"/>
          <w:bottom w:w="0" w:type="dxa"/>
          <w:right w:w="0" w:type="dxa"/>
        </w:tblCellMar>
      </w:tblPr>
      <w:tblGrid>
        <w:gridCol w:w="830"/>
        <w:gridCol w:w="4430"/>
      </w:tblGrid>
      <w:tr>
        <w:trPr/>
        <w:tc>
          <w:tcPr>
            <w:tcW w:w="830" w:type="dxa"/>
            <w:tcBorders/>
            <w:shd w:fill="auto" w:val="clear"/>
            <w:vAlign w:val="center"/>
          </w:tcPr>
          <w:p>
            <w:pPr>
              <w:pStyle w:val="TableContents"/>
              <w:spacing w:before="0" w:after="283"/>
              <w:rPr>
                <w:b/>
                <w:sz w:val="20"/>
              </w:rPr>
            </w:pPr>
            <w:r>
              <w:rPr>
                <w:b/>
                <w:sz w:val="20"/>
              </w:rPr>
              <w:t>Item 5.07</w:t>
            </w:r>
          </w:p>
        </w:tc>
        <w:tc>
          <w:tcPr>
            <w:tcW w:w="4430" w:type="dxa"/>
            <w:tcBorders/>
            <w:shd w:fill="auto" w:val="clear"/>
            <w:vAlign w:val="center"/>
          </w:tcPr>
          <w:p>
            <w:pPr>
              <w:pStyle w:val="TableContents"/>
              <w:spacing w:before="0" w:after="283"/>
              <w:rPr>
                <w:b/>
                <w:sz w:val="20"/>
              </w:rPr>
            </w:pPr>
            <w:r>
              <w:rPr>
                <w:b/>
                <w:sz w:val="20"/>
              </w:rPr>
              <w:t>Submission of Matters to a Vote of Security Holders.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its Annual Meeting on April 24, 2023. Proxies for the Annual Meeting were solicited pursuant to Regulation 14A of the Securities Exchange Act of 1934, as amended. At the close of business on February 28, 2023, the record date for the Annual Meeting, there were 1,830,570,807 shares of common stock outstanding and entitled to vote.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Company’s stockholders voted on the following five proposals, each of which is described in more detail in the Proxy Statement. The number of votes cast with respect to each proposal was as indicated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sz w:val="20"/>
              </w:rPr>
            </w:pPr>
            <w:r>
              <w:rPr>
                <w:sz w:val="20"/>
              </w:rPr>
              <w:t>1.</w:t>
            </w:r>
          </w:p>
        </w:tc>
        <w:tc>
          <w:tcPr>
            <w:tcW w:w="10047" w:type="dxa"/>
            <w:tcBorders/>
            <w:shd w:fill="auto" w:val="clear"/>
            <w:vAlign w:val="center"/>
          </w:tcPr>
          <w:p>
            <w:pPr>
              <w:pStyle w:val="TableContents"/>
              <w:spacing w:before="0" w:after="283"/>
              <w:jc w:val="both"/>
              <w:rPr>
                <w:sz w:val="20"/>
              </w:rPr>
            </w:pPr>
            <w:r>
              <w:rPr>
                <w:b/>
                <w:sz w:val="20"/>
              </w:rPr>
              <w:t>Election of Directors.</w:t>
            </w:r>
            <w:r>
              <w:rPr>
                <w:sz w:val="20"/>
              </w:rPr>
              <w:t xml:space="preserve"> The following nine nominees were elected to serve as directors until the Company’s 2024 Annual Meeting of Stockholders and until their successors are duly elected and qualified, subject to earlier resignation or removal, based on the following results of voting:</w:t>
            </w:r>
          </w:p>
        </w:tc>
      </w:tr>
    </w:tbl>
    <w:p>
      <w:pPr>
        <w:pStyle w:val="TextBody"/>
        <w:spacing w:before="0" w:after="0"/>
        <w:ind w:left="0" w:right="0" w:hanging="0"/>
        <w:rPr>
          <w:caps w:val="false"/>
          <w:smallCaps w:val="false"/>
        </w:rPr>
      </w:pPr>
      <w:r>
        <w:rPr>
          <w:caps w:val="false"/>
          <w:smallCaps w:val="false"/>
        </w:rPr>
        <w:t> </w:t>
      </w:r>
    </w:p>
    <w:tbl>
      <w:tblPr>
        <w:tblW w:w="5705" w:type="dxa"/>
        <w:jc w:val="left"/>
        <w:tblInd w:w="0" w:type="dxa"/>
        <w:tblCellMar>
          <w:top w:w="0" w:type="dxa"/>
          <w:left w:w="0" w:type="dxa"/>
          <w:bottom w:w="28" w:type="dxa"/>
          <w:right w:w="0" w:type="dxa"/>
        </w:tblCellMar>
      </w:tblPr>
      <w:tblGrid>
        <w:gridCol w:w="2090"/>
        <w:gridCol w:w="60"/>
        <w:gridCol w:w="1205"/>
        <w:gridCol w:w="60"/>
        <w:gridCol w:w="60"/>
        <w:gridCol w:w="950"/>
        <w:gridCol w:w="60"/>
        <w:gridCol w:w="60"/>
        <w:gridCol w:w="1085"/>
        <w:gridCol w:w="75"/>
      </w:tblGrid>
      <w:tr>
        <w:trPr/>
        <w:tc>
          <w:tcPr>
            <w:tcW w:w="2090" w:type="dxa"/>
            <w:tcBorders>
              <w:bottom w:val="single" w:sz="8"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Nominee</w:t>
            </w:r>
          </w:p>
        </w:tc>
        <w:tc>
          <w:tcPr>
            <w:tcW w:w="60" w:type="dxa"/>
            <w:tcBorders/>
            <w:shd w:fill="auto" w:val="clear"/>
            <w:tcMar>
              <w:bottom w:w="0" w:type="dxa"/>
            </w:tcMar>
            <w:vAlign w:val="center"/>
          </w:tcPr>
          <w:p>
            <w:pPr>
              <w:pStyle w:val="TableContents"/>
              <w:spacing w:before="0" w:after="283"/>
              <w:rPr/>
            </w:pPr>
            <w:r>
              <w:rPr/>
              <w:t> </w:t>
            </w:r>
          </w:p>
        </w:tc>
        <w:tc>
          <w:tcPr>
            <w:tcW w:w="12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Votes </w:t>
              <w:br/>
              <w:t>Withheld</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Broker Non-</w:t>
              <w:br/>
              <w:t>Votes</w:t>
            </w:r>
          </w:p>
        </w:tc>
        <w:tc>
          <w:tcPr>
            <w:tcW w:w="75" w:type="dxa"/>
            <w:tcBorders/>
            <w:shd w:fill="auto" w:val="clear"/>
            <w:tcMar>
              <w:bottom w:w="0" w:type="dxa"/>
            </w:tcMar>
            <w:vAlign w:val="center"/>
          </w:tcPr>
          <w:p>
            <w:pPr>
              <w:pStyle w:val="TableContents"/>
              <w:spacing w:before="0" w:after="283"/>
              <w:rPr/>
            </w:pPr>
            <w:r>
              <w:rPr/>
              <w:t> </w:t>
            </w:r>
          </w:p>
        </w:tc>
      </w:tr>
      <w:tr>
        <w:trPr/>
        <w:tc>
          <w:tcPr>
            <w:tcW w:w="209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Turqi Alnowaiser</w:t>
            </w:r>
          </w:p>
        </w:tc>
        <w:tc>
          <w:tcPr>
            <w:tcW w:w="60" w:type="dxa"/>
            <w:tcBorders/>
            <w:shd w:fill="CCEEFF" w:val="clear"/>
            <w:tcMar>
              <w:bottom w:w="0" w:type="dxa"/>
            </w:tcMar>
            <w:vAlign w:val="center"/>
          </w:tcPr>
          <w:p>
            <w:pPr>
              <w:pStyle w:val="TableContents"/>
              <w:spacing w:before="0" w:after="283"/>
              <w:rPr/>
            </w:pPr>
            <w:r>
              <w:rPr/>
              <w:t> </w:t>
            </w:r>
          </w:p>
        </w:tc>
        <w:tc>
          <w:tcPr>
            <w:tcW w:w="120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1,234,614,345</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19,080,493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208,277,101</w:t>
            </w:r>
          </w:p>
        </w:tc>
        <w:tc>
          <w:tcPr>
            <w:tcW w:w="75" w:type="dxa"/>
            <w:tcBorders/>
            <w:shd w:fill="CCEEFF" w:val="clear"/>
            <w:tcMar>
              <w:bottom w:w="0" w:type="dxa"/>
            </w:tcMar>
            <w:vAlign w:val="center"/>
          </w:tcPr>
          <w:p>
            <w:pPr>
              <w:pStyle w:val="TableContents"/>
              <w:spacing w:before="0" w:after="283"/>
              <w:rPr/>
            </w:pPr>
            <w:r>
              <w:rPr/>
              <w:t> </w:t>
            </w:r>
          </w:p>
        </w:tc>
      </w:tr>
      <w:tr>
        <w:trPr/>
        <w:tc>
          <w:tcPr>
            <w:tcW w:w="209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Glenn R. August</w:t>
            </w:r>
          </w:p>
        </w:tc>
        <w:tc>
          <w:tcPr>
            <w:tcW w:w="60" w:type="dxa"/>
            <w:tcBorders/>
            <w:shd w:fill="FFFFFF" w:val="clear"/>
            <w:tcMar>
              <w:bottom w:w="0" w:type="dxa"/>
            </w:tcMar>
            <w:vAlign w:val="center"/>
          </w:tcPr>
          <w:p>
            <w:pPr>
              <w:pStyle w:val="TableContents"/>
              <w:spacing w:before="0" w:after="283"/>
              <w:rPr/>
            </w:pPr>
            <w:r>
              <w:rPr/>
              <w:t> </w:t>
            </w:r>
          </w:p>
        </w:tc>
        <w:tc>
          <w:tcPr>
            <w:tcW w:w="1205"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1,240,676,545</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13,018,293</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85"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208,277,101</w:t>
            </w:r>
          </w:p>
        </w:tc>
        <w:tc>
          <w:tcPr>
            <w:tcW w:w="75" w:type="dxa"/>
            <w:tcBorders/>
            <w:shd w:fill="FFFFFF" w:val="clear"/>
            <w:tcMar>
              <w:bottom w:w="0" w:type="dxa"/>
            </w:tcMar>
            <w:vAlign w:val="center"/>
          </w:tcPr>
          <w:p>
            <w:pPr>
              <w:pStyle w:val="TableContents"/>
              <w:spacing w:before="0" w:after="283"/>
              <w:rPr/>
            </w:pPr>
            <w:r>
              <w:rPr/>
              <w:t> </w:t>
            </w:r>
          </w:p>
        </w:tc>
      </w:tr>
      <w:tr>
        <w:trPr/>
        <w:tc>
          <w:tcPr>
            <w:tcW w:w="209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Andrew Liveris</w:t>
            </w:r>
          </w:p>
        </w:tc>
        <w:tc>
          <w:tcPr>
            <w:tcW w:w="60" w:type="dxa"/>
            <w:tcBorders/>
            <w:shd w:fill="CCEEFF" w:val="clear"/>
            <w:tcMar>
              <w:bottom w:w="0" w:type="dxa"/>
            </w:tcMar>
            <w:vAlign w:val="center"/>
          </w:tcPr>
          <w:p>
            <w:pPr>
              <w:pStyle w:val="TableContents"/>
              <w:spacing w:before="0" w:after="283"/>
              <w:rPr/>
            </w:pPr>
            <w:r>
              <w:rPr/>
              <w:t> </w:t>
            </w:r>
          </w:p>
        </w:tc>
        <w:tc>
          <w:tcPr>
            <w:tcW w:w="120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1,226,975,405</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26,719,433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208,277,101</w:t>
            </w:r>
          </w:p>
        </w:tc>
        <w:tc>
          <w:tcPr>
            <w:tcW w:w="75" w:type="dxa"/>
            <w:tcBorders/>
            <w:shd w:fill="CCEEFF" w:val="clear"/>
            <w:tcMar>
              <w:bottom w:w="0" w:type="dxa"/>
            </w:tcMar>
            <w:vAlign w:val="center"/>
          </w:tcPr>
          <w:p>
            <w:pPr>
              <w:pStyle w:val="TableContents"/>
              <w:spacing w:before="0" w:after="283"/>
              <w:rPr/>
            </w:pPr>
            <w:r>
              <w:rPr/>
              <w:t> </w:t>
            </w:r>
          </w:p>
        </w:tc>
      </w:tr>
      <w:tr>
        <w:trPr/>
        <w:tc>
          <w:tcPr>
            <w:tcW w:w="209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Sherif Marakby</w:t>
            </w:r>
          </w:p>
        </w:tc>
        <w:tc>
          <w:tcPr>
            <w:tcW w:w="60" w:type="dxa"/>
            <w:tcBorders/>
            <w:shd w:fill="FFFFFF" w:val="clear"/>
            <w:tcMar>
              <w:bottom w:w="0" w:type="dxa"/>
            </w:tcMar>
            <w:vAlign w:val="center"/>
          </w:tcPr>
          <w:p>
            <w:pPr>
              <w:pStyle w:val="TableContents"/>
              <w:spacing w:before="0" w:after="283"/>
              <w:rPr/>
            </w:pPr>
            <w:r>
              <w:rPr/>
              <w:t> </w:t>
            </w:r>
          </w:p>
        </w:tc>
        <w:tc>
          <w:tcPr>
            <w:tcW w:w="1205"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1,249,601,412</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4,093,426</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85"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208,277,101</w:t>
            </w:r>
          </w:p>
        </w:tc>
        <w:tc>
          <w:tcPr>
            <w:tcW w:w="75" w:type="dxa"/>
            <w:tcBorders/>
            <w:shd w:fill="FFFFFF" w:val="clear"/>
            <w:tcMar>
              <w:bottom w:w="0" w:type="dxa"/>
            </w:tcMar>
            <w:vAlign w:val="center"/>
          </w:tcPr>
          <w:p>
            <w:pPr>
              <w:pStyle w:val="TableContents"/>
              <w:spacing w:before="0" w:after="283"/>
              <w:rPr/>
            </w:pPr>
            <w:r>
              <w:rPr/>
              <w:t> </w:t>
            </w:r>
          </w:p>
        </w:tc>
      </w:tr>
      <w:tr>
        <w:trPr/>
        <w:tc>
          <w:tcPr>
            <w:tcW w:w="209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Nichelle Maynard-Elliott</w:t>
            </w:r>
          </w:p>
        </w:tc>
        <w:tc>
          <w:tcPr>
            <w:tcW w:w="60" w:type="dxa"/>
            <w:tcBorders/>
            <w:shd w:fill="CCEEFF" w:val="clear"/>
            <w:tcMar>
              <w:bottom w:w="0" w:type="dxa"/>
            </w:tcMar>
            <w:vAlign w:val="center"/>
          </w:tcPr>
          <w:p>
            <w:pPr>
              <w:pStyle w:val="TableContents"/>
              <w:spacing w:before="0" w:after="283"/>
              <w:rPr/>
            </w:pPr>
            <w:r>
              <w:rPr/>
              <w:t> </w:t>
            </w:r>
          </w:p>
        </w:tc>
        <w:tc>
          <w:tcPr>
            <w:tcW w:w="120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1,246,884,804</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6,810,034</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208,277,101</w:t>
            </w:r>
          </w:p>
        </w:tc>
        <w:tc>
          <w:tcPr>
            <w:tcW w:w="75" w:type="dxa"/>
            <w:tcBorders/>
            <w:shd w:fill="CCEEFF" w:val="clear"/>
            <w:tcMar>
              <w:bottom w:w="0" w:type="dxa"/>
            </w:tcMar>
            <w:vAlign w:val="center"/>
          </w:tcPr>
          <w:p>
            <w:pPr>
              <w:pStyle w:val="TableContents"/>
              <w:spacing w:before="0" w:after="283"/>
              <w:rPr/>
            </w:pPr>
            <w:r>
              <w:rPr/>
              <w:t> </w:t>
            </w:r>
          </w:p>
        </w:tc>
      </w:tr>
      <w:tr>
        <w:trPr/>
        <w:tc>
          <w:tcPr>
            <w:tcW w:w="209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Chabi Nouri</w:t>
            </w:r>
          </w:p>
        </w:tc>
        <w:tc>
          <w:tcPr>
            <w:tcW w:w="60" w:type="dxa"/>
            <w:tcBorders/>
            <w:shd w:fill="FFFFFF" w:val="clear"/>
            <w:tcMar>
              <w:bottom w:w="0" w:type="dxa"/>
            </w:tcMar>
            <w:vAlign w:val="center"/>
          </w:tcPr>
          <w:p>
            <w:pPr>
              <w:pStyle w:val="TableContents"/>
              <w:spacing w:before="0" w:after="283"/>
              <w:rPr/>
            </w:pPr>
            <w:r>
              <w:rPr/>
              <w:t> </w:t>
            </w:r>
          </w:p>
        </w:tc>
        <w:tc>
          <w:tcPr>
            <w:tcW w:w="1205"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1,250,853,149</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2,841,689</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85"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208,277,101</w:t>
            </w:r>
          </w:p>
        </w:tc>
        <w:tc>
          <w:tcPr>
            <w:tcW w:w="75" w:type="dxa"/>
            <w:tcBorders/>
            <w:shd w:fill="FFFFFF" w:val="clear"/>
            <w:tcMar>
              <w:bottom w:w="0" w:type="dxa"/>
            </w:tcMar>
            <w:vAlign w:val="center"/>
          </w:tcPr>
          <w:p>
            <w:pPr>
              <w:pStyle w:val="TableContents"/>
              <w:spacing w:before="0" w:after="283"/>
              <w:rPr/>
            </w:pPr>
            <w:r>
              <w:rPr/>
              <w:t> </w:t>
            </w:r>
          </w:p>
        </w:tc>
      </w:tr>
      <w:tr>
        <w:trPr/>
        <w:tc>
          <w:tcPr>
            <w:tcW w:w="209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Rawlinson</w:t>
            </w:r>
          </w:p>
        </w:tc>
        <w:tc>
          <w:tcPr>
            <w:tcW w:w="60" w:type="dxa"/>
            <w:tcBorders/>
            <w:shd w:fill="CCEEFF" w:val="clear"/>
            <w:tcMar>
              <w:bottom w:w="0" w:type="dxa"/>
            </w:tcMar>
            <w:vAlign w:val="center"/>
          </w:tcPr>
          <w:p>
            <w:pPr>
              <w:pStyle w:val="TableContents"/>
              <w:spacing w:before="0" w:after="283"/>
              <w:rPr/>
            </w:pPr>
            <w:r>
              <w:rPr/>
              <w:t> </w:t>
            </w:r>
          </w:p>
        </w:tc>
        <w:tc>
          <w:tcPr>
            <w:tcW w:w="120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1,248,363,356</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5,331,482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208,277,101</w:t>
            </w:r>
          </w:p>
        </w:tc>
        <w:tc>
          <w:tcPr>
            <w:tcW w:w="75" w:type="dxa"/>
            <w:tcBorders/>
            <w:shd w:fill="CCEEFF" w:val="clear"/>
            <w:tcMar>
              <w:bottom w:w="0" w:type="dxa"/>
            </w:tcMar>
            <w:vAlign w:val="center"/>
          </w:tcPr>
          <w:p>
            <w:pPr>
              <w:pStyle w:val="TableContents"/>
              <w:spacing w:before="0" w:after="283"/>
              <w:rPr/>
            </w:pPr>
            <w:r>
              <w:rPr/>
              <w:t> </w:t>
            </w:r>
          </w:p>
        </w:tc>
      </w:tr>
      <w:tr>
        <w:trPr/>
        <w:tc>
          <w:tcPr>
            <w:tcW w:w="209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Ori Winitzer</w:t>
            </w:r>
          </w:p>
        </w:tc>
        <w:tc>
          <w:tcPr>
            <w:tcW w:w="60" w:type="dxa"/>
            <w:tcBorders/>
            <w:shd w:fill="FFFFFF" w:val="clear"/>
            <w:tcMar>
              <w:bottom w:w="0" w:type="dxa"/>
            </w:tcMar>
            <w:vAlign w:val="center"/>
          </w:tcPr>
          <w:p>
            <w:pPr>
              <w:pStyle w:val="TableContents"/>
              <w:spacing w:before="0" w:after="283"/>
              <w:rPr/>
            </w:pPr>
            <w:r>
              <w:rPr/>
              <w:t> </w:t>
            </w:r>
          </w:p>
        </w:tc>
        <w:tc>
          <w:tcPr>
            <w:tcW w:w="1205"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1,249,644,836</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50"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4,050,002</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085"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208,277,101</w:t>
            </w:r>
          </w:p>
        </w:tc>
        <w:tc>
          <w:tcPr>
            <w:tcW w:w="75" w:type="dxa"/>
            <w:tcBorders/>
            <w:shd w:fill="FFFFFF" w:val="clear"/>
            <w:tcMar>
              <w:bottom w:w="0" w:type="dxa"/>
            </w:tcMar>
            <w:vAlign w:val="center"/>
          </w:tcPr>
          <w:p>
            <w:pPr>
              <w:pStyle w:val="TableContents"/>
              <w:spacing w:before="0" w:after="283"/>
              <w:rPr/>
            </w:pPr>
            <w:r>
              <w:rPr/>
              <w:t> </w:t>
            </w:r>
          </w:p>
        </w:tc>
      </w:tr>
      <w:tr>
        <w:trPr/>
        <w:tc>
          <w:tcPr>
            <w:tcW w:w="209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Janet S. Wong</w:t>
            </w:r>
          </w:p>
        </w:tc>
        <w:tc>
          <w:tcPr>
            <w:tcW w:w="60" w:type="dxa"/>
            <w:tcBorders/>
            <w:shd w:fill="CCEEFF" w:val="clear"/>
            <w:tcMar>
              <w:bottom w:w="0" w:type="dxa"/>
            </w:tcMar>
            <w:vAlign w:val="center"/>
          </w:tcPr>
          <w:p>
            <w:pPr>
              <w:pStyle w:val="TableContents"/>
              <w:spacing w:before="0" w:after="283"/>
              <w:rPr/>
            </w:pPr>
            <w:r>
              <w:rPr/>
              <w:t> </w:t>
            </w:r>
          </w:p>
        </w:tc>
        <w:tc>
          <w:tcPr>
            <w:tcW w:w="120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1,249,648,685</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5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4,046,153</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08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208,277,101</w:t>
            </w:r>
          </w:p>
        </w:tc>
        <w:tc>
          <w:tcPr>
            <w:tcW w:w="75" w:type="dxa"/>
            <w:tcBorders/>
            <w:shd w:fill="CCEE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rPr/>
            </w:pPr>
            <w:r>
              <w:rPr/>
              <w:t>2.</w:t>
            </w:r>
          </w:p>
        </w:tc>
        <w:tc>
          <w:tcPr>
            <w:tcW w:w="10032" w:type="dxa"/>
            <w:tcBorders/>
            <w:shd w:fill="auto" w:val="clear"/>
            <w:vAlign w:val="center"/>
          </w:tcPr>
          <w:p>
            <w:pPr>
              <w:pStyle w:val="TableContents"/>
              <w:spacing w:before="0" w:after="283"/>
              <w:jc w:val="both"/>
              <w:rPr/>
            </w:pPr>
            <w:r>
              <w:rPr>
                <w:b/>
              </w:rPr>
              <w:t>Ratification of the Selection of the Independent Registered Public Accounting Firm.</w:t>
            </w:r>
            <w:r>
              <w:rPr/>
              <w:t xml:space="preserve"> The ratification of the selection of Grant Thornton LLP as the independent registered public accounting firm for the Company for the fiscal year ending December 31, 2023, was ratified based on the following results of voting:</w:t>
            </w:r>
          </w:p>
        </w:tc>
      </w:tr>
    </w:tbl>
    <w:p>
      <w:pPr>
        <w:pStyle w:val="TextBody"/>
        <w:spacing w:before="0" w:after="0"/>
        <w:ind w:left="0" w:right="0" w:hanging="0"/>
        <w:rPr>
          <w:caps w:val="false"/>
          <w:smallCaps w:val="false"/>
        </w:rPr>
      </w:pPr>
      <w:r>
        <w:rPr>
          <w:caps w:val="false"/>
          <w:smallCaps w:val="false"/>
        </w:rPr>
        <w:t> </w:t>
      </w:r>
    </w:p>
    <w:tbl>
      <w:tblPr>
        <w:tblW w:w="6454" w:type="dxa"/>
        <w:jc w:val="left"/>
        <w:tblInd w:w="0" w:type="dxa"/>
        <w:tblCellMar>
          <w:top w:w="0" w:type="dxa"/>
          <w:left w:w="0" w:type="dxa"/>
          <w:bottom w:w="28" w:type="dxa"/>
          <w:right w:w="0" w:type="dxa"/>
        </w:tblCellMar>
      </w:tblPr>
      <w:tblGrid>
        <w:gridCol w:w="75"/>
        <w:gridCol w:w="1400"/>
        <w:gridCol w:w="60"/>
        <w:gridCol w:w="60"/>
        <w:gridCol w:w="82"/>
        <w:gridCol w:w="1347"/>
        <w:gridCol w:w="60"/>
        <w:gridCol w:w="60"/>
        <w:gridCol w:w="70"/>
        <w:gridCol w:w="1150"/>
        <w:gridCol w:w="60"/>
        <w:gridCol w:w="60"/>
        <w:gridCol w:w="1895"/>
        <w:gridCol w:w="75"/>
      </w:tblGrid>
      <w:tr>
        <w:trPr/>
        <w:tc>
          <w:tcPr>
            <w:tcW w:w="1475" w:type="dxa"/>
            <w:gridSpan w:val="2"/>
            <w:tcBorders>
              <w:bottom w:val="single" w:sz="8" w:space="0" w:color="000000"/>
            </w:tcBorders>
            <w:shd w:fill="auto" w:val="clear"/>
            <w:vAlign w:val="center"/>
          </w:tcPr>
          <w:p>
            <w:pPr>
              <w:pStyle w:val="TableContents"/>
              <w:spacing w:before="0" w:after="283"/>
              <w:jc w:val="center"/>
              <w:rPr>
                <w:b/>
              </w:rPr>
            </w:pPr>
            <w:r>
              <w:rPr>
                <w:b/>
              </w:rPr>
              <w:t>Votes For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29" w:type="dxa"/>
            <w:gridSpan w:val="2"/>
            <w:tcBorders>
              <w:bottom w:val="single" w:sz="8" w:space="0" w:color="000000"/>
            </w:tcBorders>
            <w:shd w:fill="auto" w:val="clear"/>
            <w:vAlign w:val="center"/>
          </w:tcPr>
          <w:p>
            <w:pPr>
              <w:pStyle w:val="TableContents"/>
              <w:spacing w:before="0" w:after="283"/>
              <w:jc w:val="center"/>
              <w:rPr>
                <w:b/>
              </w:rPr>
            </w:pPr>
            <w:r>
              <w:rPr>
                <w:b/>
              </w:rPr>
              <w:t>Votes Against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20" w:type="dxa"/>
            <w:gridSpan w:val="2"/>
            <w:tcBorders>
              <w:bottom w:val="single" w:sz="8" w:space="0" w:color="000000"/>
            </w:tcBorders>
            <w:shd w:fill="auto" w:val="clear"/>
            <w:vAlign w:val="center"/>
          </w:tcPr>
          <w:p>
            <w:pPr>
              <w:pStyle w:val="TableContents"/>
              <w:spacing w:before="0" w:after="283"/>
              <w:jc w:val="center"/>
              <w:rPr>
                <w:b/>
              </w:rPr>
            </w:pPr>
            <w:r>
              <w:rPr>
                <w:b/>
              </w:rPr>
              <w:t>Abstentions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895" w:type="dxa"/>
            <w:tcBorders>
              <w:bottom w:val="single" w:sz="8" w:space="0" w:color="000000"/>
            </w:tcBorders>
            <w:shd w:fill="auto" w:val="clear"/>
            <w:vAlign w:val="center"/>
          </w:tcPr>
          <w:p>
            <w:pPr>
              <w:pStyle w:val="TableContents"/>
              <w:spacing w:before="0" w:after="283"/>
              <w:jc w:val="center"/>
              <w:rPr>
                <w:b/>
              </w:rPr>
            </w:pPr>
            <w:r>
              <w:rPr>
                <w:b/>
              </w:rPr>
              <w:t>Broker Non-Votes</w:t>
            </w:r>
          </w:p>
        </w:tc>
        <w:tc>
          <w:tcPr>
            <w:tcW w:w="75" w:type="dxa"/>
            <w:tcBorders/>
            <w:shd w:fill="auto" w:val="clear"/>
            <w:tcMar>
              <w:bottom w:w="0" w:type="dxa"/>
            </w:tcMar>
            <w:vAlign w:val="center"/>
          </w:tcPr>
          <w:p>
            <w:pPr>
              <w:pStyle w:val="TableContents"/>
              <w:spacing w:before="0" w:after="283"/>
              <w:rPr/>
            </w:pPr>
            <w:r>
              <w:rPr/>
              <w:t> </w:t>
            </w:r>
          </w:p>
        </w:tc>
      </w:tr>
      <w:tr>
        <w:trPr/>
        <w:tc>
          <w:tcPr>
            <w:tcW w:w="75" w:type="dxa"/>
            <w:tcBorders/>
            <w:shd w:fill="CCEEFF" w:val="clear"/>
            <w:tcMar>
              <w:bottom w:w="0" w:type="dxa"/>
            </w:tcMar>
            <w:vAlign w:val="center"/>
          </w:tcPr>
          <w:p>
            <w:pPr>
              <w:pStyle w:val="TableContents"/>
              <w:spacing w:before="0" w:after="283"/>
              <w:jc w:val="center"/>
              <w:rPr/>
            </w:pPr>
            <w:r>
              <w:rPr/>
              <w:t> </w:t>
            </w:r>
          </w:p>
        </w:tc>
        <w:tc>
          <w:tcPr>
            <w:tcW w:w="1400" w:type="dxa"/>
            <w:tcBorders/>
            <w:shd w:fill="CCEEFF" w:val="clear"/>
            <w:tcMar>
              <w:bottom w:w="0" w:type="dxa"/>
            </w:tcMar>
            <w:vAlign w:val="center"/>
          </w:tcPr>
          <w:p>
            <w:pPr>
              <w:pStyle w:val="TableContents"/>
              <w:spacing w:before="0" w:after="283"/>
              <w:jc w:val="center"/>
              <w:rPr/>
            </w:pPr>
            <w:r>
              <w:rPr/>
              <w:t>1,455,196,446</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82" w:type="dxa"/>
            <w:tcBorders/>
            <w:shd w:fill="CCEEFF" w:val="clear"/>
            <w:tcMar>
              <w:bottom w:w="0" w:type="dxa"/>
            </w:tcMar>
            <w:vAlign w:val="center"/>
          </w:tcPr>
          <w:p>
            <w:pPr>
              <w:pStyle w:val="TableContents"/>
              <w:spacing w:before="0" w:after="283"/>
              <w:jc w:val="center"/>
              <w:rPr/>
            </w:pPr>
            <w:r>
              <w:rPr/>
              <w:t> </w:t>
            </w:r>
          </w:p>
        </w:tc>
        <w:tc>
          <w:tcPr>
            <w:tcW w:w="1347" w:type="dxa"/>
            <w:tcBorders/>
            <w:shd w:fill="CCEEFF" w:val="clear"/>
            <w:tcMar>
              <w:bottom w:w="0" w:type="dxa"/>
            </w:tcMar>
            <w:vAlign w:val="center"/>
          </w:tcPr>
          <w:p>
            <w:pPr>
              <w:pStyle w:val="TableContents"/>
              <w:spacing w:before="0" w:after="283"/>
              <w:jc w:val="center"/>
              <w:rPr/>
            </w:pPr>
            <w:r>
              <w:rPr/>
              <w:t>4,574,102</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70" w:type="dxa"/>
            <w:tcBorders/>
            <w:shd w:fill="CCEEFF" w:val="clear"/>
            <w:tcMar>
              <w:bottom w:w="0" w:type="dxa"/>
            </w:tcMar>
            <w:vAlign w:val="center"/>
          </w:tcPr>
          <w:p>
            <w:pPr>
              <w:pStyle w:val="TableContents"/>
              <w:spacing w:before="0" w:after="283"/>
              <w:jc w:val="center"/>
              <w:rPr/>
            </w:pPr>
            <w:r>
              <w:rPr/>
              <w:t> </w:t>
            </w:r>
          </w:p>
        </w:tc>
        <w:tc>
          <w:tcPr>
            <w:tcW w:w="1150" w:type="dxa"/>
            <w:tcBorders/>
            <w:shd w:fill="CCEEFF" w:val="clear"/>
            <w:tcMar>
              <w:bottom w:w="0" w:type="dxa"/>
            </w:tcMar>
            <w:vAlign w:val="center"/>
          </w:tcPr>
          <w:p>
            <w:pPr>
              <w:pStyle w:val="TableContents"/>
              <w:spacing w:before="0" w:after="283"/>
              <w:jc w:val="center"/>
              <w:rPr/>
            </w:pPr>
            <w:r>
              <w:rPr/>
              <w:t>2,201,391</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895" w:type="dxa"/>
            <w:tcBorders/>
            <w:shd w:fill="CCEEFF" w:val="clear"/>
            <w:tcMar>
              <w:bottom w:w="0" w:type="dxa"/>
            </w:tcMar>
            <w:vAlign w:val="center"/>
          </w:tcPr>
          <w:p>
            <w:pPr>
              <w:pStyle w:val="TableContents"/>
              <w:spacing w:before="0" w:after="283"/>
              <w:jc w:val="center"/>
              <w:rPr/>
            </w:pPr>
            <w:r>
              <w:rPr/>
              <w:t>N/A</w:t>
            </w:r>
          </w:p>
        </w:tc>
        <w:tc>
          <w:tcPr>
            <w:tcW w:w="75" w:type="dxa"/>
            <w:tcBorders/>
            <w:shd w:fill="CCEEFF" w:val="clear"/>
            <w:tcMar>
              <w:bottom w:w="0" w:type="dxa"/>
            </w:tcMar>
            <w:vAlign w:val="center"/>
          </w:tcPr>
          <w:p>
            <w:pPr>
              <w:pStyle w:val="TableContents"/>
              <w:spacing w:before="0" w:after="283"/>
              <w:rPr/>
            </w:pPr>
            <w:r>
              <w:rPr/>
              <w:t> </w:t>
            </w:r>
          </w:p>
        </w:tc>
      </w:tr>
    </w:tbl>
    <w:p>
      <w:pPr>
        <w:pStyle w:val="TextBody"/>
        <w:spacing w:before="0" w:after="0"/>
        <w:ind w:left="36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36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283"/>
              <w:rPr/>
            </w:pPr>
            <w:r>
              <w:rPr/>
              <w:t>3.</w:t>
            </w:r>
          </w:p>
        </w:tc>
        <w:tc>
          <w:tcPr>
            <w:tcW w:w="10026" w:type="dxa"/>
            <w:tcBorders/>
            <w:shd w:fill="auto" w:val="clear"/>
            <w:vAlign w:val="center"/>
          </w:tcPr>
          <w:p>
            <w:pPr>
              <w:pStyle w:val="TableContents"/>
              <w:spacing w:before="0" w:after="283"/>
              <w:jc w:val="both"/>
              <w:rPr/>
            </w:pPr>
            <w:r>
              <w:rPr>
                <w:b/>
              </w:rPr>
              <w:t>Approval, on an Advisory Basis, of the Compensation of Our Named Executive Officers.</w:t>
            </w:r>
            <w:r>
              <w:rPr/>
              <w:t xml:space="preserve"> The results of the advisory vote regarding the Company’s 2022 executive compensation as disclosed in the Proxy Statement were as follows:</w:t>
            </w:r>
          </w:p>
        </w:tc>
      </w:tr>
    </w:tbl>
    <w:p>
      <w:pPr>
        <w:pStyle w:val="TextBody"/>
        <w:spacing w:before="0" w:after="0"/>
        <w:ind w:left="0" w:right="0" w:hanging="0"/>
        <w:rPr>
          <w:caps w:val="false"/>
          <w:smallCaps w:val="false"/>
        </w:rPr>
      </w:pPr>
      <w:r>
        <w:rPr>
          <w:caps w:val="false"/>
          <w:smallCaps w:val="false"/>
        </w:rPr>
        <w:t> </w:t>
      </w:r>
    </w:p>
    <w:tbl>
      <w:tblPr>
        <w:tblW w:w="6454" w:type="dxa"/>
        <w:jc w:val="left"/>
        <w:tblInd w:w="0" w:type="dxa"/>
        <w:tblCellMar>
          <w:top w:w="0" w:type="dxa"/>
          <w:left w:w="0" w:type="dxa"/>
          <w:bottom w:w="28" w:type="dxa"/>
          <w:right w:w="0" w:type="dxa"/>
        </w:tblCellMar>
      </w:tblPr>
      <w:tblGrid>
        <w:gridCol w:w="75"/>
        <w:gridCol w:w="1400"/>
        <w:gridCol w:w="60"/>
        <w:gridCol w:w="60"/>
        <w:gridCol w:w="73"/>
        <w:gridCol w:w="1356"/>
        <w:gridCol w:w="60"/>
        <w:gridCol w:w="60"/>
        <w:gridCol w:w="70"/>
        <w:gridCol w:w="1150"/>
        <w:gridCol w:w="60"/>
        <w:gridCol w:w="60"/>
        <w:gridCol w:w="1895"/>
        <w:gridCol w:w="75"/>
      </w:tblGrid>
      <w:tr>
        <w:trPr/>
        <w:tc>
          <w:tcPr>
            <w:tcW w:w="1475" w:type="dxa"/>
            <w:gridSpan w:val="2"/>
            <w:tcBorders>
              <w:bottom w:val="single" w:sz="8" w:space="0" w:color="000000"/>
            </w:tcBorders>
            <w:shd w:fill="auto" w:val="clear"/>
            <w:vAlign w:val="center"/>
          </w:tcPr>
          <w:p>
            <w:pPr>
              <w:pStyle w:val="TableContents"/>
              <w:spacing w:before="0" w:after="283"/>
              <w:jc w:val="center"/>
              <w:rPr>
                <w:b/>
              </w:rPr>
            </w:pPr>
            <w:r>
              <w:rPr>
                <w:b/>
              </w:rPr>
              <w:t>Votes For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29" w:type="dxa"/>
            <w:gridSpan w:val="2"/>
            <w:tcBorders>
              <w:bottom w:val="single" w:sz="8" w:space="0" w:color="000000"/>
            </w:tcBorders>
            <w:shd w:fill="auto" w:val="clear"/>
            <w:vAlign w:val="center"/>
          </w:tcPr>
          <w:p>
            <w:pPr>
              <w:pStyle w:val="TableContents"/>
              <w:spacing w:before="0" w:after="283"/>
              <w:jc w:val="center"/>
              <w:rPr>
                <w:b/>
              </w:rPr>
            </w:pPr>
            <w:r>
              <w:rPr>
                <w:b/>
              </w:rPr>
              <w:t>Votes Against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20" w:type="dxa"/>
            <w:gridSpan w:val="2"/>
            <w:tcBorders>
              <w:bottom w:val="single" w:sz="8" w:space="0" w:color="000000"/>
            </w:tcBorders>
            <w:shd w:fill="auto" w:val="clear"/>
            <w:vAlign w:val="center"/>
          </w:tcPr>
          <w:p>
            <w:pPr>
              <w:pStyle w:val="TableContents"/>
              <w:spacing w:before="0" w:after="283"/>
              <w:jc w:val="center"/>
              <w:rPr>
                <w:b/>
              </w:rPr>
            </w:pPr>
            <w:r>
              <w:rPr>
                <w:b/>
              </w:rPr>
              <w:t>Abstentions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895" w:type="dxa"/>
            <w:tcBorders>
              <w:bottom w:val="single" w:sz="8" w:space="0" w:color="000000"/>
            </w:tcBorders>
            <w:shd w:fill="auto" w:val="clear"/>
            <w:vAlign w:val="center"/>
          </w:tcPr>
          <w:p>
            <w:pPr>
              <w:pStyle w:val="TableContents"/>
              <w:spacing w:before="0" w:after="283"/>
              <w:jc w:val="center"/>
              <w:rPr>
                <w:b/>
              </w:rPr>
            </w:pPr>
            <w:r>
              <w:rPr>
                <w:b/>
              </w:rPr>
              <w:t>Broker Non-Votes</w:t>
            </w:r>
          </w:p>
        </w:tc>
        <w:tc>
          <w:tcPr>
            <w:tcW w:w="75" w:type="dxa"/>
            <w:tcBorders/>
            <w:shd w:fill="auto" w:val="clear"/>
            <w:tcMar>
              <w:bottom w:w="0" w:type="dxa"/>
            </w:tcMar>
            <w:vAlign w:val="center"/>
          </w:tcPr>
          <w:p>
            <w:pPr>
              <w:pStyle w:val="TableContents"/>
              <w:spacing w:before="0" w:after="283"/>
              <w:rPr/>
            </w:pPr>
            <w:r>
              <w:rPr/>
              <w:t> </w:t>
            </w:r>
          </w:p>
        </w:tc>
      </w:tr>
      <w:tr>
        <w:trPr/>
        <w:tc>
          <w:tcPr>
            <w:tcW w:w="75" w:type="dxa"/>
            <w:tcBorders/>
            <w:shd w:fill="CCEEFF" w:val="clear"/>
            <w:tcMar>
              <w:bottom w:w="0" w:type="dxa"/>
            </w:tcMar>
            <w:vAlign w:val="center"/>
          </w:tcPr>
          <w:p>
            <w:pPr>
              <w:pStyle w:val="TableContents"/>
              <w:spacing w:before="0" w:after="283"/>
              <w:jc w:val="center"/>
              <w:rPr/>
            </w:pPr>
            <w:r>
              <w:rPr/>
              <w:t> </w:t>
            </w:r>
          </w:p>
        </w:tc>
        <w:tc>
          <w:tcPr>
            <w:tcW w:w="1400" w:type="dxa"/>
            <w:tcBorders/>
            <w:shd w:fill="CCEEFF" w:val="clear"/>
            <w:tcMar>
              <w:bottom w:w="0" w:type="dxa"/>
            </w:tcMar>
            <w:vAlign w:val="center"/>
          </w:tcPr>
          <w:p>
            <w:pPr>
              <w:pStyle w:val="TableContents"/>
              <w:spacing w:before="0" w:after="283"/>
              <w:jc w:val="center"/>
              <w:rPr/>
            </w:pPr>
            <w:r>
              <w:rPr/>
              <w:t>1,239,436,893</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73" w:type="dxa"/>
            <w:tcBorders/>
            <w:shd w:fill="CCEEFF" w:val="clear"/>
            <w:tcMar>
              <w:bottom w:w="0" w:type="dxa"/>
            </w:tcMar>
            <w:vAlign w:val="center"/>
          </w:tcPr>
          <w:p>
            <w:pPr>
              <w:pStyle w:val="TableContents"/>
              <w:spacing w:before="0" w:after="283"/>
              <w:jc w:val="center"/>
              <w:rPr/>
            </w:pPr>
            <w:r>
              <w:rPr/>
              <w:t> </w:t>
            </w:r>
          </w:p>
        </w:tc>
        <w:tc>
          <w:tcPr>
            <w:tcW w:w="1356" w:type="dxa"/>
            <w:tcBorders/>
            <w:shd w:fill="CCEEFF" w:val="clear"/>
            <w:tcMar>
              <w:bottom w:w="0" w:type="dxa"/>
            </w:tcMar>
            <w:vAlign w:val="center"/>
          </w:tcPr>
          <w:p>
            <w:pPr>
              <w:pStyle w:val="TableContents"/>
              <w:spacing w:before="0" w:after="283"/>
              <w:jc w:val="center"/>
              <w:rPr/>
            </w:pPr>
            <w:r>
              <w:rPr/>
              <w:t>12,521,821</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70" w:type="dxa"/>
            <w:tcBorders/>
            <w:shd w:fill="CCEEFF" w:val="clear"/>
            <w:tcMar>
              <w:bottom w:w="0" w:type="dxa"/>
            </w:tcMar>
            <w:vAlign w:val="center"/>
          </w:tcPr>
          <w:p>
            <w:pPr>
              <w:pStyle w:val="TableContents"/>
              <w:spacing w:before="0" w:after="283"/>
              <w:jc w:val="center"/>
              <w:rPr/>
            </w:pPr>
            <w:r>
              <w:rPr/>
              <w:t> </w:t>
            </w:r>
          </w:p>
        </w:tc>
        <w:tc>
          <w:tcPr>
            <w:tcW w:w="1150" w:type="dxa"/>
            <w:tcBorders/>
            <w:shd w:fill="CCEEFF" w:val="clear"/>
            <w:tcMar>
              <w:bottom w:w="0" w:type="dxa"/>
            </w:tcMar>
            <w:vAlign w:val="center"/>
          </w:tcPr>
          <w:p>
            <w:pPr>
              <w:pStyle w:val="TableContents"/>
              <w:spacing w:before="0" w:after="283"/>
              <w:jc w:val="center"/>
              <w:rPr/>
            </w:pPr>
            <w:r>
              <w:rPr/>
              <w:t>1,736,124</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895" w:type="dxa"/>
            <w:tcBorders/>
            <w:shd w:fill="CCEEFF" w:val="clear"/>
            <w:tcMar>
              <w:bottom w:w="0" w:type="dxa"/>
            </w:tcMar>
            <w:vAlign w:val="center"/>
          </w:tcPr>
          <w:p>
            <w:pPr>
              <w:pStyle w:val="TableContents"/>
              <w:spacing w:before="0" w:after="283"/>
              <w:jc w:val="center"/>
              <w:rPr/>
            </w:pPr>
            <w:r>
              <w:rPr/>
              <w:t>208,277,101</w:t>
            </w:r>
          </w:p>
        </w:tc>
        <w:tc>
          <w:tcPr>
            <w:tcW w:w="75" w:type="dxa"/>
            <w:tcBorders/>
            <w:shd w:fill="CCEEFF" w:val="clear"/>
            <w:tcMar>
              <w:bottom w:w="0" w:type="dxa"/>
            </w:tcMar>
            <w:vAlign w:val="center"/>
          </w:tcPr>
          <w:p>
            <w:pPr>
              <w:pStyle w:val="TableContents"/>
              <w:spacing w:before="0" w:after="283"/>
              <w:jc w:val="center"/>
              <w:rPr/>
            </w:pPr>
            <w:r>
              <w:rPr/>
              <w:t> </w:t>
            </w:r>
          </w:p>
        </w:tc>
      </w:tr>
    </w:tbl>
    <w:p>
      <w:pPr>
        <w:pStyle w:val="TextBody"/>
        <w:spacing w:before="0" w:after="0"/>
        <w:ind w:left="36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rPr/>
            </w:pPr>
            <w:r>
              <w:rPr/>
              <w:t>4.</w:t>
            </w:r>
          </w:p>
        </w:tc>
        <w:tc>
          <w:tcPr>
            <w:tcW w:w="10028" w:type="dxa"/>
            <w:tcBorders/>
            <w:shd w:fill="auto" w:val="clear"/>
            <w:vAlign w:val="center"/>
          </w:tcPr>
          <w:p>
            <w:pPr>
              <w:pStyle w:val="TableContents"/>
              <w:spacing w:before="0" w:after="283"/>
              <w:jc w:val="both"/>
              <w:rPr/>
            </w:pPr>
            <w:r>
              <w:rPr>
                <w:b/>
              </w:rPr>
              <w:t xml:space="preserve">Approval of the Amendment of the Lucid Group, Inc. Amended and Restated 2021 Stock Incentive Plan. </w:t>
            </w:r>
            <w:r>
              <w:rPr/>
              <w:t>The amendment of the Lucid Group, Inc. Amended and Restated 2021 Stock Incentive Plan was approved, based on the following results of voting:</w:t>
            </w:r>
          </w:p>
        </w:tc>
      </w:tr>
    </w:tbl>
    <w:p>
      <w:pPr>
        <w:pStyle w:val="TextBody"/>
        <w:spacing w:before="0" w:after="0"/>
        <w:ind w:left="0" w:right="0" w:hanging="0"/>
        <w:rPr>
          <w:caps w:val="false"/>
          <w:smallCaps w:val="false"/>
        </w:rPr>
      </w:pPr>
      <w:r>
        <w:rPr>
          <w:caps w:val="false"/>
          <w:smallCaps w:val="false"/>
        </w:rPr>
        <w:t>  </w:t>
      </w:r>
    </w:p>
    <w:tbl>
      <w:tblPr>
        <w:tblW w:w="6454" w:type="dxa"/>
        <w:jc w:val="left"/>
        <w:tblInd w:w="0" w:type="dxa"/>
        <w:tblCellMar>
          <w:top w:w="0" w:type="dxa"/>
          <w:left w:w="0" w:type="dxa"/>
          <w:bottom w:w="28" w:type="dxa"/>
          <w:right w:w="0" w:type="dxa"/>
        </w:tblCellMar>
      </w:tblPr>
      <w:tblGrid>
        <w:gridCol w:w="75"/>
        <w:gridCol w:w="1400"/>
        <w:gridCol w:w="60"/>
        <w:gridCol w:w="60"/>
        <w:gridCol w:w="73"/>
        <w:gridCol w:w="1356"/>
        <w:gridCol w:w="60"/>
        <w:gridCol w:w="60"/>
        <w:gridCol w:w="70"/>
        <w:gridCol w:w="1150"/>
        <w:gridCol w:w="60"/>
        <w:gridCol w:w="60"/>
        <w:gridCol w:w="1895"/>
        <w:gridCol w:w="75"/>
      </w:tblGrid>
      <w:tr>
        <w:trPr/>
        <w:tc>
          <w:tcPr>
            <w:tcW w:w="1475" w:type="dxa"/>
            <w:gridSpan w:val="2"/>
            <w:tcBorders>
              <w:bottom w:val="single" w:sz="8" w:space="0" w:color="000000"/>
            </w:tcBorders>
            <w:shd w:fill="auto" w:val="clear"/>
            <w:vAlign w:val="center"/>
          </w:tcPr>
          <w:p>
            <w:pPr>
              <w:pStyle w:val="TableContents"/>
              <w:spacing w:before="0" w:after="283"/>
              <w:jc w:val="center"/>
              <w:rPr>
                <w:b/>
              </w:rPr>
            </w:pPr>
            <w:r>
              <w:rPr>
                <w:b/>
              </w:rPr>
              <w:t>Votes For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29" w:type="dxa"/>
            <w:gridSpan w:val="2"/>
            <w:tcBorders>
              <w:bottom w:val="single" w:sz="8" w:space="0" w:color="000000"/>
            </w:tcBorders>
            <w:shd w:fill="auto" w:val="clear"/>
            <w:vAlign w:val="center"/>
          </w:tcPr>
          <w:p>
            <w:pPr>
              <w:pStyle w:val="TableContents"/>
              <w:spacing w:before="0" w:after="283"/>
              <w:jc w:val="center"/>
              <w:rPr>
                <w:b/>
              </w:rPr>
            </w:pPr>
            <w:r>
              <w:rPr>
                <w:b/>
              </w:rPr>
              <w:t>Votes Against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20" w:type="dxa"/>
            <w:gridSpan w:val="2"/>
            <w:tcBorders>
              <w:bottom w:val="single" w:sz="8" w:space="0" w:color="000000"/>
            </w:tcBorders>
            <w:shd w:fill="auto" w:val="clear"/>
            <w:vAlign w:val="center"/>
          </w:tcPr>
          <w:p>
            <w:pPr>
              <w:pStyle w:val="TableContents"/>
              <w:spacing w:before="0" w:after="283"/>
              <w:jc w:val="center"/>
              <w:rPr>
                <w:b/>
              </w:rPr>
            </w:pPr>
            <w:r>
              <w:rPr>
                <w:b/>
              </w:rPr>
              <w:t>Abstentions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895" w:type="dxa"/>
            <w:tcBorders>
              <w:bottom w:val="single" w:sz="8" w:space="0" w:color="000000"/>
            </w:tcBorders>
            <w:shd w:fill="auto" w:val="clear"/>
            <w:vAlign w:val="center"/>
          </w:tcPr>
          <w:p>
            <w:pPr>
              <w:pStyle w:val="TableContents"/>
              <w:spacing w:before="0" w:after="283"/>
              <w:jc w:val="center"/>
              <w:rPr>
                <w:b/>
              </w:rPr>
            </w:pPr>
            <w:r>
              <w:rPr>
                <w:b/>
              </w:rPr>
              <w:t>Broker Non-Votes</w:t>
            </w:r>
          </w:p>
        </w:tc>
        <w:tc>
          <w:tcPr>
            <w:tcW w:w="75" w:type="dxa"/>
            <w:tcBorders/>
            <w:shd w:fill="auto" w:val="clear"/>
            <w:tcMar>
              <w:bottom w:w="0" w:type="dxa"/>
            </w:tcMar>
            <w:vAlign w:val="center"/>
          </w:tcPr>
          <w:p>
            <w:pPr>
              <w:pStyle w:val="TableContents"/>
              <w:spacing w:before="0" w:after="283"/>
              <w:rPr/>
            </w:pPr>
            <w:r>
              <w:rPr/>
              <w:t> </w:t>
            </w:r>
          </w:p>
        </w:tc>
      </w:tr>
      <w:tr>
        <w:trPr/>
        <w:tc>
          <w:tcPr>
            <w:tcW w:w="75" w:type="dxa"/>
            <w:tcBorders/>
            <w:shd w:fill="CCEEFF" w:val="clear"/>
            <w:tcMar>
              <w:bottom w:w="0" w:type="dxa"/>
            </w:tcMar>
            <w:vAlign w:val="center"/>
          </w:tcPr>
          <w:p>
            <w:pPr>
              <w:pStyle w:val="TableContents"/>
              <w:spacing w:before="0" w:after="283"/>
              <w:jc w:val="center"/>
              <w:rPr/>
            </w:pPr>
            <w:r>
              <w:rPr/>
              <w:t> </w:t>
            </w:r>
          </w:p>
        </w:tc>
        <w:tc>
          <w:tcPr>
            <w:tcW w:w="1400" w:type="dxa"/>
            <w:tcBorders/>
            <w:shd w:fill="CCEEFF" w:val="clear"/>
            <w:tcMar>
              <w:bottom w:w="0" w:type="dxa"/>
            </w:tcMar>
            <w:vAlign w:val="center"/>
          </w:tcPr>
          <w:p>
            <w:pPr>
              <w:pStyle w:val="TableContents"/>
              <w:spacing w:before="0" w:after="283"/>
              <w:jc w:val="center"/>
              <w:rPr/>
            </w:pPr>
            <w:r>
              <w:rPr/>
              <w:t>1,228,845,858</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73" w:type="dxa"/>
            <w:tcBorders/>
            <w:shd w:fill="CCEEFF" w:val="clear"/>
            <w:tcMar>
              <w:bottom w:w="0" w:type="dxa"/>
            </w:tcMar>
            <w:vAlign w:val="center"/>
          </w:tcPr>
          <w:p>
            <w:pPr>
              <w:pStyle w:val="TableContents"/>
              <w:spacing w:before="0" w:after="283"/>
              <w:jc w:val="center"/>
              <w:rPr/>
            </w:pPr>
            <w:r>
              <w:rPr/>
              <w:t> </w:t>
            </w:r>
          </w:p>
        </w:tc>
        <w:tc>
          <w:tcPr>
            <w:tcW w:w="1356" w:type="dxa"/>
            <w:tcBorders/>
            <w:shd w:fill="CCEEFF" w:val="clear"/>
            <w:tcMar>
              <w:bottom w:w="0" w:type="dxa"/>
            </w:tcMar>
            <w:vAlign w:val="center"/>
          </w:tcPr>
          <w:p>
            <w:pPr>
              <w:pStyle w:val="TableContents"/>
              <w:spacing w:before="0" w:after="283"/>
              <w:jc w:val="center"/>
              <w:rPr/>
            </w:pPr>
            <w:r>
              <w:rPr/>
              <w:t>23,399,455</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70" w:type="dxa"/>
            <w:tcBorders/>
            <w:shd w:fill="CCEEFF" w:val="clear"/>
            <w:tcMar>
              <w:bottom w:w="0" w:type="dxa"/>
            </w:tcMar>
            <w:vAlign w:val="center"/>
          </w:tcPr>
          <w:p>
            <w:pPr>
              <w:pStyle w:val="TableContents"/>
              <w:spacing w:before="0" w:after="283"/>
              <w:jc w:val="center"/>
              <w:rPr/>
            </w:pPr>
            <w:r>
              <w:rPr/>
              <w:t> </w:t>
            </w:r>
          </w:p>
        </w:tc>
        <w:tc>
          <w:tcPr>
            <w:tcW w:w="1150" w:type="dxa"/>
            <w:tcBorders/>
            <w:shd w:fill="CCEEFF" w:val="clear"/>
            <w:tcMar>
              <w:bottom w:w="0" w:type="dxa"/>
            </w:tcMar>
            <w:vAlign w:val="center"/>
          </w:tcPr>
          <w:p>
            <w:pPr>
              <w:pStyle w:val="TableContents"/>
              <w:spacing w:before="0" w:after="283"/>
              <w:jc w:val="center"/>
              <w:rPr/>
            </w:pPr>
            <w:r>
              <w:rPr/>
              <w:t>1,449,525</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895" w:type="dxa"/>
            <w:tcBorders/>
            <w:shd w:fill="CCEEFF" w:val="clear"/>
            <w:tcMar>
              <w:bottom w:w="0" w:type="dxa"/>
            </w:tcMar>
            <w:vAlign w:val="center"/>
          </w:tcPr>
          <w:p>
            <w:pPr>
              <w:pStyle w:val="TableContents"/>
              <w:spacing w:before="0" w:after="283"/>
              <w:jc w:val="center"/>
              <w:rPr/>
            </w:pPr>
            <w:r>
              <w:rPr/>
              <w:t>208,277,101</w:t>
            </w:r>
          </w:p>
        </w:tc>
        <w:tc>
          <w:tcPr>
            <w:tcW w:w="75" w:type="dxa"/>
            <w:tcBorders/>
            <w:shd w:fill="CCEEFF" w:val="clear"/>
            <w:tcMar>
              <w:bottom w:w="0" w:type="dxa"/>
            </w:tcMar>
            <w:vAlign w:val="center"/>
          </w:tcPr>
          <w:p>
            <w:pPr>
              <w:pStyle w:val="TableContents"/>
              <w:spacing w:before="0" w:after="283"/>
              <w:jc w:val="center"/>
              <w:rPr/>
            </w:pPr>
            <w:r>
              <w:rPr/>
              <w:t> </w:t>
            </w:r>
          </w:p>
        </w:tc>
      </w:tr>
    </w:tbl>
    <w:p>
      <w:pPr>
        <w:pStyle w:val="TextBody"/>
        <w:spacing w:before="0" w:after="0"/>
        <w:ind w:left="36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2"/>
        <w:gridCol w:w="10023"/>
      </w:tblGrid>
      <w:tr>
        <w:trPr/>
        <w:tc>
          <w:tcPr>
            <w:tcW w:w="182" w:type="dxa"/>
            <w:tcBorders/>
            <w:shd w:fill="auto" w:val="clear"/>
            <w:vAlign w:val="center"/>
          </w:tcPr>
          <w:p>
            <w:pPr>
              <w:pStyle w:val="TableContents"/>
              <w:spacing w:before="0" w:after="283"/>
              <w:rPr/>
            </w:pPr>
            <w:r>
              <w:rPr/>
              <w:t>5.</w:t>
            </w:r>
          </w:p>
        </w:tc>
        <w:tc>
          <w:tcPr>
            <w:tcW w:w="10023" w:type="dxa"/>
            <w:tcBorders/>
            <w:shd w:fill="auto" w:val="clear"/>
            <w:vAlign w:val="center"/>
          </w:tcPr>
          <w:p>
            <w:pPr>
              <w:pStyle w:val="TableContents"/>
              <w:spacing w:before="0" w:after="283"/>
              <w:jc w:val="both"/>
              <w:rPr/>
            </w:pPr>
            <w:r>
              <w:rPr>
                <w:b/>
              </w:rPr>
              <w:t>Approval of the Third Amended and Restated Certificate of Incorporation.</w:t>
            </w:r>
            <w:r>
              <w:rPr/>
              <w:t xml:space="preserve"> The amendment and restatement of the Company’s certificate of incorporation was approved, based on the following results of voting:</w:t>
            </w:r>
          </w:p>
        </w:tc>
      </w:tr>
    </w:tbl>
    <w:p>
      <w:pPr>
        <w:pStyle w:val="TextBody"/>
        <w:spacing w:before="0" w:after="0"/>
        <w:ind w:left="0" w:right="0" w:hanging="0"/>
        <w:rPr>
          <w:caps w:val="false"/>
          <w:smallCaps w:val="false"/>
        </w:rPr>
      </w:pPr>
      <w:r>
        <w:rPr>
          <w:caps w:val="false"/>
          <w:smallCaps w:val="false"/>
        </w:rPr>
        <w:t> </w:t>
      </w:r>
    </w:p>
    <w:tbl>
      <w:tblPr>
        <w:tblW w:w="6454" w:type="dxa"/>
        <w:jc w:val="left"/>
        <w:tblInd w:w="0" w:type="dxa"/>
        <w:tblCellMar>
          <w:top w:w="0" w:type="dxa"/>
          <w:left w:w="0" w:type="dxa"/>
          <w:bottom w:w="28" w:type="dxa"/>
          <w:right w:w="0" w:type="dxa"/>
        </w:tblCellMar>
      </w:tblPr>
      <w:tblGrid>
        <w:gridCol w:w="75"/>
        <w:gridCol w:w="1400"/>
        <w:gridCol w:w="60"/>
        <w:gridCol w:w="60"/>
        <w:gridCol w:w="82"/>
        <w:gridCol w:w="1347"/>
        <w:gridCol w:w="60"/>
        <w:gridCol w:w="60"/>
        <w:gridCol w:w="70"/>
        <w:gridCol w:w="1150"/>
        <w:gridCol w:w="60"/>
        <w:gridCol w:w="60"/>
        <w:gridCol w:w="1895"/>
        <w:gridCol w:w="75"/>
      </w:tblGrid>
      <w:tr>
        <w:trPr/>
        <w:tc>
          <w:tcPr>
            <w:tcW w:w="1475" w:type="dxa"/>
            <w:gridSpan w:val="2"/>
            <w:tcBorders>
              <w:bottom w:val="single" w:sz="8" w:space="0" w:color="000000"/>
            </w:tcBorders>
            <w:shd w:fill="auto" w:val="clear"/>
            <w:vAlign w:val="center"/>
          </w:tcPr>
          <w:p>
            <w:pPr>
              <w:pStyle w:val="TableContents"/>
              <w:spacing w:before="0" w:after="283"/>
              <w:jc w:val="center"/>
              <w:rPr>
                <w:b/>
              </w:rPr>
            </w:pPr>
            <w:r>
              <w:rPr>
                <w:b/>
              </w:rPr>
              <w:t>Votes For</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29" w:type="dxa"/>
            <w:gridSpan w:val="2"/>
            <w:tcBorders>
              <w:bottom w:val="single" w:sz="8" w:space="0" w:color="000000"/>
            </w:tcBorders>
            <w:shd w:fill="auto" w:val="clear"/>
            <w:vAlign w:val="center"/>
          </w:tcPr>
          <w:p>
            <w:pPr>
              <w:pStyle w:val="TableContents"/>
              <w:spacing w:before="0" w:after="283"/>
              <w:jc w:val="center"/>
              <w:rPr>
                <w:b/>
              </w:rPr>
            </w:pPr>
            <w:r>
              <w:rPr>
                <w:b/>
              </w:rPr>
              <w:t>Votes Against</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20" w:type="dxa"/>
            <w:gridSpan w:val="2"/>
            <w:tcBorders>
              <w:bottom w:val="single" w:sz="8" w:space="0" w:color="000000"/>
            </w:tcBorders>
            <w:shd w:fill="auto" w:val="clear"/>
            <w:vAlign w:val="center"/>
          </w:tcPr>
          <w:p>
            <w:pPr>
              <w:pStyle w:val="TableContents"/>
              <w:spacing w:before="0" w:after="283"/>
              <w:jc w:val="center"/>
              <w:rPr>
                <w:b/>
              </w:rPr>
            </w:pPr>
            <w:r>
              <w:rPr>
                <w:b/>
              </w:rPr>
              <w:t>Abstentions</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895" w:type="dxa"/>
            <w:tcBorders>
              <w:bottom w:val="single" w:sz="8" w:space="0" w:color="000000"/>
            </w:tcBorders>
            <w:shd w:fill="auto" w:val="clear"/>
            <w:vAlign w:val="center"/>
          </w:tcPr>
          <w:p>
            <w:pPr>
              <w:pStyle w:val="TableContents"/>
              <w:spacing w:before="0" w:after="283"/>
              <w:jc w:val="center"/>
              <w:rPr>
                <w:b/>
              </w:rPr>
            </w:pPr>
            <w:r>
              <w:rPr>
                <w:b/>
              </w:rPr>
              <w:t>Broker Non-Votes</w:t>
            </w:r>
          </w:p>
        </w:tc>
        <w:tc>
          <w:tcPr>
            <w:tcW w:w="75" w:type="dxa"/>
            <w:tcBorders/>
            <w:shd w:fill="auto" w:val="clear"/>
            <w:tcMar>
              <w:bottom w:w="0" w:type="dxa"/>
            </w:tcMar>
            <w:vAlign w:val="center"/>
          </w:tcPr>
          <w:p>
            <w:pPr>
              <w:pStyle w:val="TableContents"/>
              <w:spacing w:before="0" w:after="283"/>
              <w:rPr/>
            </w:pPr>
            <w:r>
              <w:rPr/>
              <w:t> </w:t>
            </w:r>
          </w:p>
        </w:tc>
      </w:tr>
      <w:tr>
        <w:trPr/>
        <w:tc>
          <w:tcPr>
            <w:tcW w:w="75" w:type="dxa"/>
            <w:tcBorders/>
            <w:shd w:fill="CCEEFF" w:val="clear"/>
            <w:tcMar>
              <w:bottom w:w="0" w:type="dxa"/>
            </w:tcMar>
            <w:vAlign w:val="center"/>
          </w:tcPr>
          <w:p>
            <w:pPr>
              <w:pStyle w:val="TableContents"/>
              <w:spacing w:before="0" w:after="283"/>
              <w:jc w:val="center"/>
              <w:rPr/>
            </w:pPr>
            <w:r>
              <w:rPr/>
              <w:t> </w:t>
            </w:r>
          </w:p>
        </w:tc>
        <w:tc>
          <w:tcPr>
            <w:tcW w:w="1400" w:type="dxa"/>
            <w:tcBorders/>
            <w:shd w:fill="CCEEFF" w:val="clear"/>
            <w:tcMar>
              <w:bottom w:w="0" w:type="dxa"/>
            </w:tcMar>
            <w:vAlign w:val="center"/>
          </w:tcPr>
          <w:p>
            <w:pPr>
              <w:pStyle w:val="TableContents"/>
              <w:spacing w:before="0" w:after="283"/>
              <w:jc w:val="center"/>
              <w:rPr/>
            </w:pPr>
            <w:r>
              <w:rPr/>
              <w:t>1,250,213,618</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82" w:type="dxa"/>
            <w:tcBorders/>
            <w:shd w:fill="CCEEFF" w:val="clear"/>
            <w:tcMar>
              <w:bottom w:w="0" w:type="dxa"/>
            </w:tcMar>
            <w:vAlign w:val="center"/>
          </w:tcPr>
          <w:p>
            <w:pPr>
              <w:pStyle w:val="TableContents"/>
              <w:spacing w:before="0" w:after="283"/>
              <w:jc w:val="center"/>
              <w:rPr/>
            </w:pPr>
            <w:r>
              <w:rPr/>
              <w:t> </w:t>
            </w:r>
          </w:p>
        </w:tc>
        <w:tc>
          <w:tcPr>
            <w:tcW w:w="1347" w:type="dxa"/>
            <w:tcBorders/>
            <w:shd w:fill="CCEEFF" w:val="clear"/>
            <w:tcMar>
              <w:bottom w:w="0" w:type="dxa"/>
            </w:tcMar>
            <w:vAlign w:val="center"/>
          </w:tcPr>
          <w:p>
            <w:pPr>
              <w:pStyle w:val="TableContents"/>
              <w:spacing w:before="0" w:after="283"/>
              <w:jc w:val="center"/>
              <w:rPr/>
            </w:pPr>
            <w:r>
              <w:rPr/>
              <w:t>1,930,602</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70" w:type="dxa"/>
            <w:tcBorders/>
            <w:shd w:fill="CCEEFF" w:val="clear"/>
            <w:tcMar>
              <w:bottom w:w="0" w:type="dxa"/>
            </w:tcMar>
            <w:vAlign w:val="center"/>
          </w:tcPr>
          <w:p>
            <w:pPr>
              <w:pStyle w:val="TableContents"/>
              <w:spacing w:before="0" w:after="283"/>
              <w:jc w:val="center"/>
              <w:rPr/>
            </w:pPr>
            <w:r>
              <w:rPr/>
              <w:t> </w:t>
            </w:r>
          </w:p>
        </w:tc>
        <w:tc>
          <w:tcPr>
            <w:tcW w:w="1150" w:type="dxa"/>
            <w:tcBorders/>
            <w:shd w:fill="CCEEFF" w:val="clear"/>
            <w:tcMar>
              <w:bottom w:w="0" w:type="dxa"/>
            </w:tcMar>
            <w:vAlign w:val="center"/>
          </w:tcPr>
          <w:p>
            <w:pPr>
              <w:pStyle w:val="TableContents"/>
              <w:spacing w:before="0" w:after="283"/>
              <w:jc w:val="center"/>
              <w:rPr/>
            </w:pPr>
            <w:r>
              <w:rPr/>
              <w:t>1,550,618</w:t>
            </w:r>
          </w:p>
        </w:tc>
        <w:tc>
          <w:tcPr>
            <w:tcW w:w="60"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jc w:val="center"/>
              <w:rPr/>
            </w:pPr>
            <w:r>
              <w:rPr/>
              <w:t> </w:t>
            </w:r>
          </w:p>
        </w:tc>
        <w:tc>
          <w:tcPr>
            <w:tcW w:w="1895" w:type="dxa"/>
            <w:tcBorders/>
            <w:shd w:fill="CCEEFF" w:val="clear"/>
            <w:tcMar>
              <w:bottom w:w="0" w:type="dxa"/>
            </w:tcMar>
            <w:vAlign w:val="center"/>
          </w:tcPr>
          <w:p>
            <w:pPr>
              <w:pStyle w:val="TableContents"/>
              <w:spacing w:before="0" w:after="283"/>
              <w:jc w:val="center"/>
              <w:rPr/>
            </w:pPr>
            <w:r>
              <w:rPr/>
              <w:t>208,277,101</w:t>
            </w:r>
          </w:p>
        </w:tc>
        <w:tc>
          <w:tcPr>
            <w:tcW w:w="75" w:type="dxa"/>
            <w:tcBorders/>
            <w:shd w:fill="CCEEFF" w:val="clear"/>
            <w:tcMar>
              <w:bottom w:w="0" w:type="dxa"/>
            </w:tcM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tbl>
      <w:tblPr>
        <w:tblW w:w="2425" w:type="dxa"/>
        <w:jc w:val="left"/>
        <w:tblInd w:w="0" w:type="dxa"/>
        <w:tblCellMar>
          <w:top w:w="0" w:type="dxa"/>
          <w:left w:w="0" w:type="dxa"/>
          <w:bottom w:w="0" w:type="dxa"/>
          <w:right w:w="0" w:type="dxa"/>
        </w:tblCellMar>
      </w:tblPr>
      <w:tblGrid>
        <w:gridCol w:w="980"/>
        <w:gridCol w:w="1445"/>
      </w:tblGrid>
      <w:tr>
        <w:trPr/>
        <w:tc>
          <w:tcPr>
            <w:tcW w:w="980" w:type="dxa"/>
            <w:tcBorders/>
            <w:shd w:fill="auto" w:val="clear"/>
            <w:vAlign w:val="center"/>
          </w:tcPr>
          <w:p>
            <w:pPr>
              <w:pStyle w:val="TableContents"/>
              <w:spacing w:before="0" w:after="283"/>
              <w:jc w:val="both"/>
              <w:rPr>
                <w:b/>
              </w:rPr>
            </w:pPr>
            <w:r>
              <w:rPr>
                <w:b/>
              </w:rPr>
              <w:t>Item 8.01</w:t>
            </w:r>
          </w:p>
        </w:tc>
        <w:tc>
          <w:tcPr>
            <w:tcW w:w="1445" w:type="dxa"/>
            <w:tcBorders/>
            <w:shd w:fill="auto" w:val="clear"/>
            <w:vAlign w:val="center"/>
          </w:tcPr>
          <w:p>
            <w:pPr>
              <w:pStyle w:val="TableContents"/>
              <w:spacing w:before="0" w:after="283"/>
              <w:jc w:val="both"/>
              <w:rPr>
                <w:b/>
              </w:rPr>
            </w:pPr>
            <w:r>
              <w:rPr>
                <w:b/>
              </w:rPr>
              <w:t>Other Events.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Turqi Alnowaiser is the Chairman of the Board of Directors of the Company, effective as of the date of the Annual Meeting.</w:t>
      </w:r>
    </w:p>
    <w:p>
      <w:pPr>
        <w:pStyle w:val="TextBody"/>
        <w:spacing w:before="0" w:after="0"/>
        <w:ind w:left="0" w:right="0" w:firstLine="720"/>
        <w:jc w:val="both"/>
        <w:rPr>
          <w:caps w:val="false"/>
          <w:smallCaps w:val="false"/>
        </w:rPr>
      </w:pPr>
      <w:r>
        <w:rPr>
          <w:caps w:val="false"/>
          <w:smallCaps w:val="false"/>
        </w:rPr>
        <w:t> </w:t>
      </w:r>
    </w:p>
    <w:tbl>
      <w:tblPr>
        <w:tblW w:w="4540" w:type="dxa"/>
        <w:jc w:val="left"/>
        <w:tblInd w:w="0" w:type="dxa"/>
        <w:tblCellMar>
          <w:top w:w="0" w:type="dxa"/>
          <w:left w:w="0" w:type="dxa"/>
          <w:bottom w:w="0" w:type="dxa"/>
          <w:right w:w="0" w:type="dxa"/>
        </w:tblCellMar>
      </w:tblPr>
      <w:tblGrid>
        <w:gridCol w:w="980"/>
        <w:gridCol w:w="3560"/>
      </w:tblGrid>
      <w:tr>
        <w:trPr/>
        <w:tc>
          <w:tcPr>
            <w:tcW w:w="980" w:type="dxa"/>
            <w:tcBorders/>
            <w:shd w:fill="auto" w:val="clear"/>
            <w:vAlign w:val="center"/>
          </w:tcPr>
          <w:p>
            <w:pPr>
              <w:pStyle w:val="TableContents"/>
              <w:spacing w:before="0" w:after="283"/>
              <w:rPr>
                <w:b/>
              </w:rPr>
            </w:pPr>
            <w:r>
              <w:rPr>
                <w:b/>
              </w:rPr>
              <w:t>Item 9.01</w:t>
            </w:r>
          </w:p>
        </w:tc>
        <w:tc>
          <w:tcPr>
            <w:tcW w:w="3560" w:type="dxa"/>
            <w:tcBorders/>
            <w:shd w:fill="auto" w:val="clear"/>
            <w:vAlign w:val="center"/>
          </w:tcPr>
          <w:p>
            <w:pPr>
              <w:pStyle w:val="TableContents"/>
              <w:spacing w:before="0" w:after="283"/>
              <w:rPr>
                <w:b/>
              </w:rPr>
            </w:pPr>
            <w:r>
              <w:rPr>
                <w:b/>
              </w:rPr>
              <w:t>Financial Statements and Exhibits.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890"/>
        <w:gridCol w:w="125"/>
        <w:gridCol w:w="9190"/>
      </w:tblGrid>
      <w:tr>
        <w:trPr/>
        <w:tc>
          <w:tcPr>
            <w:tcW w:w="890" w:type="dxa"/>
            <w:tcBorders>
              <w:bottom w:val="single" w:sz="8" w:space="0" w:color="000000"/>
            </w:tcBorders>
            <w:shd w:fill="auto" w:val="clear"/>
            <w:vAlign w:val="center"/>
          </w:tcPr>
          <w:p>
            <w:pPr>
              <w:pStyle w:val="TableContents"/>
              <w:spacing w:before="0" w:after="283"/>
              <w:rPr>
                <w:b/>
              </w:rPr>
            </w:pPr>
            <w:r>
              <w:rPr>
                <w:b/>
              </w:rPr>
              <w:t>Exhibit</w:t>
              <w:br/>
              <w:t>Number</w:t>
            </w:r>
          </w:p>
        </w:tc>
        <w:tc>
          <w:tcPr>
            <w:tcW w:w="125" w:type="dxa"/>
            <w:tcBorders/>
            <w:shd w:fill="auto" w:val="clear"/>
            <w:tcMar>
              <w:bottom w:w="0" w:type="dxa"/>
            </w:tcMar>
            <w:vAlign w:val="center"/>
          </w:tcPr>
          <w:p>
            <w:pPr>
              <w:pStyle w:val="TableContents"/>
              <w:spacing w:before="0" w:after="283"/>
              <w:rPr/>
            </w:pPr>
            <w:r>
              <w:rPr/>
              <w:t> </w:t>
            </w:r>
          </w:p>
        </w:tc>
        <w:tc>
          <w:tcPr>
            <w:tcW w:w="9190" w:type="dxa"/>
            <w:tcBorders>
              <w:bottom w:val="single" w:sz="8" w:space="0" w:color="000000"/>
            </w:tcBorders>
            <w:shd w:fill="auto" w:val="clear"/>
            <w:vAlign w:val="center"/>
          </w:tcPr>
          <w:p>
            <w:pPr>
              <w:pStyle w:val="TableContents"/>
              <w:spacing w:before="0" w:after="283"/>
              <w:jc w:val="center"/>
              <w:rPr>
                <w:b/>
              </w:rPr>
            </w:pPr>
            <w:r>
              <w:rPr>
                <w:b/>
              </w:rPr>
              <w:t>Description of Exhibit</w:t>
            </w:r>
          </w:p>
        </w:tc>
      </w:tr>
      <w:tr>
        <w:trPr/>
        <w:tc>
          <w:tcPr>
            <w:tcW w:w="890" w:type="dxa"/>
            <w:tcBorders/>
            <w:shd w:fill="auto" w:val="clear"/>
            <w:tcMar>
              <w:bottom w:w="0" w:type="dxa"/>
            </w:tcMar>
            <w:vAlign w:val="center"/>
          </w:tcPr>
          <w:p>
            <w:pPr>
              <w:pStyle w:val="TableContents"/>
              <w:spacing w:before="0" w:after="283"/>
              <w:rPr/>
            </w:pPr>
            <w:hyperlink w:anchor="tm2313633d1_ex3-1.htm">
              <w:r>
                <w:rPr>
                  <w:rStyle w:val="InternetLink"/>
                </w:rPr>
                <w:t>3.1</w:t>
              </w:r>
            </w:hyperlink>
          </w:p>
        </w:tc>
        <w:tc>
          <w:tcPr>
            <w:tcW w:w="125" w:type="dxa"/>
            <w:tcBorders/>
            <w:shd w:fill="auto" w:val="clear"/>
            <w:tcMar>
              <w:bottom w:w="0" w:type="dxa"/>
            </w:tcMar>
            <w:vAlign w:val="center"/>
          </w:tcPr>
          <w:p>
            <w:pPr>
              <w:pStyle w:val="TableContents"/>
              <w:spacing w:before="0" w:after="283"/>
              <w:rPr/>
            </w:pPr>
            <w:r>
              <w:rPr/>
              <w:t> </w:t>
            </w:r>
          </w:p>
        </w:tc>
        <w:tc>
          <w:tcPr>
            <w:tcW w:w="9190" w:type="dxa"/>
            <w:tcBorders/>
            <w:shd w:fill="auto" w:val="clear"/>
            <w:tcMar>
              <w:bottom w:w="0" w:type="dxa"/>
            </w:tcMar>
            <w:vAlign w:val="center"/>
          </w:tcPr>
          <w:p>
            <w:pPr>
              <w:pStyle w:val="TableContents"/>
              <w:spacing w:before="0" w:after="283"/>
              <w:rPr/>
            </w:pPr>
            <w:hyperlink w:anchor="tm2313633d1_ex3-1.htm">
              <w:r>
                <w:rPr>
                  <w:rStyle w:val="InternetLink"/>
                </w:rPr>
                <w:t>Third Amended and Restated Certificate of Incorporation of Lucid Group, Inc.</w:t>
              </w:r>
            </w:hyperlink>
          </w:p>
        </w:tc>
      </w:tr>
      <w:tr>
        <w:trPr/>
        <w:tc>
          <w:tcPr>
            <w:tcW w:w="890" w:type="dxa"/>
            <w:tcBorders/>
            <w:shd w:fill="auto" w:val="clear"/>
            <w:tcMar>
              <w:bottom w:w="0" w:type="dxa"/>
            </w:tcMar>
            <w:vAlign w:val="center"/>
          </w:tcPr>
          <w:p>
            <w:pPr>
              <w:pStyle w:val="TableContents"/>
              <w:spacing w:before="0" w:after="283"/>
              <w:rPr/>
            </w:pPr>
            <w:r>
              <w:rPr/>
              <w:t> </w:t>
            </w:r>
          </w:p>
        </w:tc>
        <w:tc>
          <w:tcPr>
            <w:tcW w:w="125" w:type="dxa"/>
            <w:tcBorders/>
            <w:shd w:fill="auto" w:val="clear"/>
            <w:tcMar>
              <w:bottom w:w="0" w:type="dxa"/>
            </w:tcMar>
            <w:vAlign w:val="center"/>
          </w:tcPr>
          <w:p>
            <w:pPr>
              <w:pStyle w:val="TableContents"/>
              <w:spacing w:before="0" w:after="283"/>
              <w:rPr/>
            </w:pPr>
            <w:r>
              <w:rPr/>
              <w:t> </w:t>
            </w:r>
          </w:p>
        </w:tc>
        <w:tc>
          <w:tcPr>
            <w:tcW w:w="9190" w:type="dxa"/>
            <w:tcBorders/>
            <w:shd w:fill="auto" w:val="clear"/>
            <w:tcMar>
              <w:bottom w:w="0" w:type="dxa"/>
            </w:tcMar>
            <w:vAlign w:val="center"/>
          </w:tcPr>
          <w:p>
            <w:pPr>
              <w:pStyle w:val="TableContents"/>
              <w:spacing w:before="0" w:after="283"/>
              <w:rPr/>
            </w:pPr>
            <w:r>
              <w:rPr/>
              <w:t> </w:t>
            </w:r>
          </w:p>
        </w:tc>
      </w:tr>
      <w:tr>
        <w:trPr/>
        <w:tc>
          <w:tcPr>
            <w:tcW w:w="890" w:type="dxa"/>
            <w:tcBorders/>
            <w:shd w:fill="auto" w:val="clear"/>
            <w:tcMar>
              <w:bottom w:w="0" w:type="dxa"/>
            </w:tcMar>
            <w:vAlign w:val="center"/>
          </w:tcPr>
          <w:p>
            <w:pPr>
              <w:pStyle w:val="TableContents"/>
              <w:spacing w:before="0" w:after="283"/>
              <w:rPr/>
            </w:pPr>
            <w:hyperlink w:anchor="tm2313633d1_ex10-1.htm">
              <w:r>
                <w:rPr>
                  <w:rStyle w:val="InternetLink"/>
                </w:rPr>
                <w:t>10.1</w:t>
              </w:r>
            </w:hyperlink>
          </w:p>
        </w:tc>
        <w:tc>
          <w:tcPr>
            <w:tcW w:w="125" w:type="dxa"/>
            <w:tcBorders/>
            <w:shd w:fill="auto" w:val="clear"/>
            <w:tcMar>
              <w:bottom w:w="0" w:type="dxa"/>
            </w:tcMar>
            <w:vAlign w:val="center"/>
          </w:tcPr>
          <w:p>
            <w:pPr>
              <w:pStyle w:val="TableContents"/>
              <w:spacing w:before="0" w:after="283"/>
              <w:rPr/>
            </w:pPr>
            <w:r>
              <w:rPr/>
              <w:t> </w:t>
            </w:r>
          </w:p>
        </w:tc>
        <w:tc>
          <w:tcPr>
            <w:tcW w:w="9190" w:type="dxa"/>
            <w:tcBorders/>
            <w:shd w:fill="auto" w:val="clear"/>
            <w:tcMar>
              <w:bottom w:w="0" w:type="dxa"/>
            </w:tcMar>
            <w:vAlign w:val="center"/>
          </w:tcPr>
          <w:p>
            <w:pPr>
              <w:pStyle w:val="TableContents"/>
              <w:spacing w:before="0" w:after="283"/>
              <w:jc w:val="both"/>
              <w:rPr/>
            </w:pPr>
            <w:hyperlink w:anchor="tm2313633d1_ex10-1.htm">
              <w:r>
                <w:rPr>
                  <w:rStyle w:val="InternetLink"/>
                </w:rPr>
                <w:t>Lucid Group, Inc. Second Amended and Restated 2021 Stock Incentive Plan (including the Lucid Group, Inc. 2021 Employee Stock Purchase Plan, attached thereto)</w:t>
              </w:r>
            </w:hyperlink>
          </w:p>
        </w:tc>
      </w:tr>
      <w:tr>
        <w:trPr/>
        <w:tc>
          <w:tcPr>
            <w:tcW w:w="890" w:type="dxa"/>
            <w:tcBorders/>
            <w:shd w:fill="auto" w:val="clear"/>
            <w:tcMar>
              <w:bottom w:w="0" w:type="dxa"/>
            </w:tcMar>
            <w:vAlign w:val="center"/>
          </w:tcPr>
          <w:p>
            <w:pPr>
              <w:pStyle w:val="TableContents"/>
              <w:spacing w:before="0" w:after="283"/>
              <w:rPr/>
            </w:pPr>
            <w:r>
              <w:rPr/>
              <w:t> </w:t>
            </w:r>
          </w:p>
        </w:tc>
        <w:tc>
          <w:tcPr>
            <w:tcW w:w="125" w:type="dxa"/>
            <w:tcBorders/>
            <w:shd w:fill="auto" w:val="clear"/>
            <w:tcMar>
              <w:bottom w:w="0" w:type="dxa"/>
            </w:tcMar>
            <w:vAlign w:val="center"/>
          </w:tcPr>
          <w:p>
            <w:pPr>
              <w:pStyle w:val="TableContents"/>
              <w:spacing w:before="0" w:after="283"/>
              <w:rPr/>
            </w:pPr>
            <w:r>
              <w:rPr/>
              <w:t> </w:t>
            </w:r>
          </w:p>
        </w:tc>
        <w:tc>
          <w:tcPr>
            <w:tcW w:w="9190" w:type="dxa"/>
            <w:tcBorders/>
            <w:shd w:fill="auto" w:val="clear"/>
            <w:tcMar>
              <w:bottom w:w="0" w:type="dxa"/>
            </w:tcMar>
            <w:vAlign w:val="center"/>
          </w:tcPr>
          <w:p>
            <w:pPr>
              <w:pStyle w:val="TableContents"/>
              <w:spacing w:before="0" w:after="283"/>
              <w:rPr/>
            </w:pPr>
            <w:r>
              <w:rPr/>
              <w:t> </w:t>
            </w:r>
          </w:p>
        </w:tc>
      </w:tr>
      <w:tr>
        <w:trPr/>
        <w:tc>
          <w:tcPr>
            <w:tcW w:w="890" w:type="dxa"/>
            <w:tcBorders/>
            <w:shd w:fill="auto" w:val="clear"/>
            <w:tcMar>
              <w:bottom w:w="0" w:type="dxa"/>
            </w:tcMar>
            <w:vAlign w:val="center"/>
          </w:tcPr>
          <w:p>
            <w:pPr>
              <w:pStyle w:val="TableContents"/>
              <w:spacing w:before="0" w:after="283"/>
              <w:rPr/>
            </w:pPr>
            <w:r>
              <w:rPr/>
              <w:t>104</w:t>
            </w:r>
          </w:p>
        </w:tc>
        <w:tc>
          <w:tcPr>
            <w:tcW w:w="125" w:type="dxa"/>
            <w:tcBorders/>
            <w:shd w:fill="auto" w:val="clear"/>
            <w:tcMar>
              <w:bottom w:w="0" w:type="dxa"/>
            </w:tcMar>
            <w:vAlign w:val="center"/>
          </w:tcPr>
          <w:p>
            <w:pPr>
              <w:pStyle w:val="TableContents"/>
              <w:spacing w:before="0" w:after="283"/>
              <w:rPr/>
            </w:pPr>
            <w:r>
              <w:rPr/>
              <w:t>   </w:t>
            </w:r>
          </w:p>
        </w:tc>
        <w:tc>
          <w:tcPr>
            <w:tcW w:w="9190" w:type="dxa"/>
            <w:tcBorders/>
            <w:shd w:fill="auto" w:val="clear"/>
            <w:tcMar>
              <w:bottom w:w="0" w:type="dxa"/>
            </w:tcMar>
            <w:vAlign w:val="center"/>
          </w:tcPr>
          <w:p>
            <w:pPr>
              <w:pStyle w:val="TableContents"/>
              <w:spacing w:before="0" w:after="283"/>
              <w:rPr/>
            </w:pPr>
            <w:r>
              <w:rPr/>
              <w:t>Cover Page Interactive Data File (embedded within the Inline XBRL document)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4710" w:type="dxa"/>
        <w:jc w:val="left"/>
        <w:tblInd w:w="0" w:type="dxa"/>
        <w:tblCellMar>
          <w:top w:w="0" w:type="dxa"/>
          <w:left w:w="0" w:type="dxa"/>
          <w:bottom w:w="0" w:type="dxa"/>
          <w:right w:w="0" w:type="dxa"/>
        </w:tblCellMar>
      </w:tblPr>
      <w:tblGrid>
        <w:gridCol w:w="2120"/>
        <w:gridCol w:w="365"/>
        <w:gridCol w:w="2225"/>
      </w:tblGrid>
      <w:tr>
        <w:trPr/>
        <w:tc>
          <w:tcPr>
            <w:tcW w:w="2120" w:type="dxa"/>
            <w:tcBorders/>
            <w:shd w:fill="auto" w:val="clear"/>
            <w:vAlign w:val="center"/>
          </w:tcPr>
          <w:p>
            <w:pPr>
              <w:pStyle w:val="TableContents"/>
              <w:spacing w:before="0" w:after="283"/>
              <w:rPr/>
            </w:pPr>
            <w:r>
              <w:rPr/>
              <w:t>Dated: April 25, 2023</w:t>
            </w:r>
          </w:p>
        </w:tc>
        <w:tc>
          <w:tcPr>
            <w:tcW w:w="2590" w:type="dxa"/>
            <w:gridSpan w:val="2"/>
            <w:tcBorders/>
            <w:shd w:fill="auto" w:val="clear"/>
            <w:vAlign w:val="center"/>
          </w:tcPr>
          <w:p>
            <w:pPr>
              <w:pStyle w:val="TableContents"/>
              <w:spacing w:before="0" w:after="283"/>
              <w:rPr/>
            </w:pPr>
            <w:r>
              <w:rPr/>
              <w:t>Lucid Group, Inc.</w:t>
            </w:r>
          </w:p>
        </w:tc>
      </w:tr>
      <w:tr>
        <w:trPr/>
        <w:tc>
          <w:tcPr>
            <w:tcW w:w="212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2225" w:type="dxa"/>
            <w:tcBorders>
              <w:bottom w:val="single" w:sz="8" w:space="0" w:color="000000"/>
            </w:tcBorders>
            <w:shd w:fill="auto" w:val="clear"/>
            <w:tcMar>
              <w:bottom w:w="28" w:type="dxa"/>
            </w:tcMar>
            <w:vAlign w:val="center"/>
          </w:tcPr>
          <w:p>
            <w:pPr>
              <w:pStyle w:val="TableContents"/>
              <w:spacing w:before="0" w:after="283"/>
              <w:jc w:val="both"/>
              <w:rPr/>
            </w:pPr>
            <w:r>
              <w:rPr/>
              <w:t>/s/ Sherry House</w:t>
            </w:r>
          </w:p>
        </w:tc>
      </w:tr>
      <w:tr>
        <w:trPr/>
        <w:tc>
          <w:tcPr>
            <w:tcW w:w="212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rPr/>
            </w:pPr>
            <w:r>
              <w:rPr/>
              <w:t xml:space="preserve">Sherry House </w:t>
              <w:br/>
              <w:t>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ind w:left="0" w:right="0" w:hanging="0"/>
        <w:rPr/>
      </w:pPr>
      <w:bookmarkStart w:id="22" w:name="tm2313633d1_ex3-1.htm"/>
      <w:bookmarkStart w:id="23" w:name="kstm2313633d1_ex31"/>
      <w:bookmarkEnd w:id="22"/>
      <w:bookmarkEnd w:id="23"/>
      <w:r>
        <w:rPr/>
        <w:t> </w:t>
      </w:r>
    </w:p>
    <w:p>
      <w:pPr>
        <w:pStyle w:val="TextBody"/>
        <w:jc w:val="right"/>
        <w:rPr>
          <w:b/>
        </w:rPr>
      </w:pPr>
      <w:r>
        <w:rPr>
          <w:b/>
        </w:rPr>
        <w:t>Exhibit 3.1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br/>
        <w:t>CERTIFICATE OF INCORPORATION OF</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 *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 a Delaware corporation, hereby certifies as follows:</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68"/>
        <w:gridCol w:w="10037"/>
      </w:tblGrid>
      <w:tr>
        <w:trPr/>
        <w:tc>
          <w:tcPr>
            <w:tcW w:w="168" w:type="dxa"/>
            <w:tcBorders/>
            <w:shd w:fill="auto" w:val="clear"/>
            <w:vAlign w:val="center"/>
          </w:tcPr>
          <w:p>
            <w:pPr>
              <w:pStyle w:val="TableContents"/>
              <w:spacing w:before="0" w:after="283"/>
              <w:jc w:val="center"/>
              <w:rPr/>
            </w:pPr>
            <w:r>
              <w:rPr/>
              <w:t>1.</w:t>
            </w:r>
          </w:p>
        </w:tc>
        <w:tc>
          <w:tcPr>
            <w:tcW w:w="1003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Lucid Group,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The Corporation was originally incorporated in Delaware under the name “Annetta Acquisition Corp” by the filing of the Corporation’s original Certificate of Incorporation with the Secretary of State of the State of Delaware on April 30, 2020.</w:t>
            </w:r>
          </w:p>
        </w:tc>
      </w:tr>
      <w:tr>
        <w:trPr/>
        <w:tc>
          <w:tcPr>
            <w:tcW w:w="168" w:type="dxa"/>
            <w:tcBorders/>
            <w:shd w:fill="auto" w:val="clear"/>
            <w:vAlign w:val="center"/>
          </w:tcPr>
          <w:p>
            <w:pPr>
              <w:pStyle w:val="TableContents"/>
              <w:spacing w:before="0" w:after="283"/>
              <w:jc w:val="center"/>
              <w:rPr/>
            </w:pPr>
            <w:r>
              <w:rPr/>
              <w:t> </w:t>
            </w:r>
          </w:p>
        </w:tc>
        <w:tc>
          <w:tcPr>
            <w:tcW w:w="10037"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68" w:type="dxa"/>
            <w:tcBorders/>
            <w:shd w:fill="auto" w:val="clear"/>
            <w:vAlign w:val="center"/>
          </w:tcPr>
          <w:p>
            <w:pPr>
              <w:pStyle w:val="TableContents"/>
              <w:spacing w:before="0" w:after="283"/>
              <w:jc w:val="center"/>
              <w:rPr/>
            </w:pPr>
            <w:r>
              <w:rPr/>
              <w:t>2.</w:t>
            </w:r>
          </w:p>
        </w:tc>
        <w:tc>
          <w:tcPr>
            <w:tcW w:w="1003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Amended and Restated Certificate of Incorporation of the Corporation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which restates and integrates and also further amends the provisions of the Corporation’s Second Amended and Restated Certificate of Incorporation, was duly adopted by the Corporation’s Board of Directors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and by the stockholders in accordance with the provisions of Sections 242 and 245 of the General Corporation Law of the State of Delaware.</w:t>
            </w:r>
          </w:p>
        </w:tc>
      </w:tr>
      <w:tr>
        <w:trPr/>
        <w:tc>
          <w:tcPr>
            <w:tcW w:w="168" w:type="dxa"/>
            <w:tcBorders/>
            <w:shd w:fill="auto" w:val="clear"/>
            <w:vAlign w:val="center"/>
          </w:tcPr>
          <w:p>
            <w:pPr>
              <w:pStyle w:val="TableContents"/>
              <w:spacing w:before="0" w:after="283"/>
              <w:jc w:val="center"/>
              <w:rPr/>
            </w:pPr>
            <w:r>
              <w:rPr/>
              <w:t> </w:t>
            </w:r>
          </w:p>
        </w:tc>
        <w:tc>
          <w:tcPr>
            <w:tcW w:w="10037"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68" w:type="dxa"/>
            <w:tcBorders/>
            <w:shd w:fill="auto" w:val="clear"/>
            <w:vAlign w:val="center"/>
          </w:tcPr>
          <w:p>
            <w:pPr>
              <w:pStyle w:val="TableContents"/>
              <w:spacing w:before="0" w:after="283"/>
              <w:jc w:val="center"/>
              <w:rPr/>
            </w:pPr>
            <w:r>
              <w:rPr/>
              <w:t>3.</w:t>
            </w:r>
          </w:p>
        </w:tc>
        <w:tc>
          <w:tcPr>
            <w:tcW w:w="1003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text of the Certificate of Incorporation as amended and restated shall read in full as follows:</w:t>
            </w:r>
          </w:p>
        </w:tc>
      </w:tr>
    </w:tbl>
    <w:p>
      <w:pPr>
        <w:pStyle w:val="TextBody"/>
        <w:spacing w:before="0" w:after="0"/>
        <w:ind w:left="72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r>
      <w:r>
        <w:rPr>
          <w:rFonts w:ascii="Times New Roman;Times;Serif" w:hAnsi="Times New Roman;Times;Serif"/>
          <w:b/>
          <w:i w:val="false"/>
          <w:caps/>
          <w:sz w:val="20"/>
        </w:rPr>
        <w:t xml:space="preserve">NAME </w:t>
      </w:r>
    </w:p>
    <w:p>
      <w:pPr>
        <w:pStyle w:val="TextBody"/>
        <w:spacing w:before="0" w:after="0"/>
        <w:ind w:left="0" w:right="0" w:hanging="0"/>
        <w:jc w:val="center"/>
        <w:rPr>
          <w:caps/>
        </w:rPr>
      </w:pPr>
      <w:r>
        <w:rPr>
          <w:caps/>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Lucid Group, Inc.</w:t>
      </w:r>
    </w:p>
    <w:p>
      <w:pPr>
        <w:pStyle w:val="TextBody"/>
        <w:spacing w:before="0" w:after="0"/>
        <w:ind w:left="1800" w:right="0"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r>
      <w:r>
        <w:rPr>
          <w:rFonts w:ascii="Times New Roman;Times;Serif" w:hAnsi="Times New Roman;Times;Serif"/>
          <w:b/>
          <w:i w:val="false"/>
          <w:caps/>
          <w:sz w:val="20"/>
        </w:rPr>
        <w:t>REGISTERED OFFICE AND AGENT</w:t>
      </w:r>
    </w:p>
    <w:p>
      <w:pPr>
        <w:pStyle w:val="TextBody"/>
        <w:spacing w:before="0" w:after="0"/>
        <w:ind w:left="0" w:right="0" w:hanging="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251 Little Falls Drive, City of Wilmington, County of New Castle, Delaware 19808. The name of the Corporation’s registered agent at such address is Corporation Service Company.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r>
      <w:r>
        <w:rPr>
          <w:rFonts w:ascii="Times New Roman;Times;Serif" w:hAnsi="Times New Roman;Times;Serif"/>
          <w:b/>
          <w:i w:val="false"/>
          <w:caps/>
          <w:sz w:val="20"/>
        </w:rPr>
        <w:t>PURPOSE AND POWERS</w:t>
      </w:r>
    </w:p>
    <w:p>
      <w:pPr>
        <w:pStyle w:val="TextBody"/>
        <w:spacing w:before="0" w:after="0"/>
        <w:ind w:left="0" w:right="0" w:hanging="0"/>
        <w:jc w:val="center"/>
        <w:rPr>
          <w:caps/>
        </w:rPr>
      </w:pPr>
      <w:r>
        <w:rPr>
          <w:caps/>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shall be to engage in any lawful act or activity for which corporations may be organized under the General Corporation Law of the State of Delaware as the same exists or may hereafter be amended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r>
      <w:r>
        <w:rPr>
          <w:rFonts w:ascii="Times New Roman;Times;Serif" w:hAnsi="Times New Roman;Times;Serif"/>
          <w:b/>
          <w:i w:val="false"/>
          <w:caps/>
          <w:sz w:val="20"/>
        </w:rPr>
        <w:t>CAPITAL STOCK</w:t>
      </w:r>
    </w:p>
    <w:p>
      <w:pPr>
        <w:pStyle w:val="TextBody"/>
        <w:spacing w:before="0" w:after="0"/>
        <w:ind w:left="0" w:right="0" w:hanging="0"/>
        <w:jc w:val="center"/>
        <w:rPr>
          <w:caps/>
        </w:rPr>
      </w:pPr>
      <w:r>
        <w:rPr>
          <w:caps/>
        </w:rPr>
        <w:t> </w:t>
      </w:r>
    </w:p>
    <w:tbl>
      <w:tblPr>
        <w:tblW w:w="5000" w:type="pct"/>
        <w:jc w:val="left"/>
        <w:tblInd w:w="0" w:type="dxa"/>
        <w:tblCellMar>
          <w:top w:w="0" w:type="dxa"/>
          <w:left w:w="0" w:type="dxa"/>
          <w:bottom w:w="0" w:type="dxa"/>
          <w:right w:w="0" w:type="dxa"/>
        </w:tblCellMar>
      </w:tblPr>
      <w:tblGrid>
        <w:gridCol w:w="166"/>
        <w:gridCol w:w="1534"/>
        <w:gridCol w:w="8505"/>
      </w:tblGrid>
      <w:tr>
        <w:trPr/>
        <w:tc>
          <w:tcPr>
            <w:tcW w:w="166"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b/>
              </w:rPr>
            </w:pPr>
            <w:r>
              <w:rPr>
                <w:b/>
              </w:rPr>
              <w:t>(A)</w:t>
            </w:r>
          </w:p>
        </w:tc>
        <w:tc>
          <w:tcPr>
            <w:tcW w:w="8505" w:type="dxa"/>
            <w:tcBorders/>
            <w:shd w:fill="auto" w:val="clear"/>
            <w:vAlign w:val="center"/>
          </w:tcPr>
          <w:p>
            <w:pPr>
              <w:pStyle w:val="TableContents"/>
              <w:spacing w:before="0" w:after="283"/>
              <w:rPr>
                <w:b/>
              </w:rPr>
            </w:pPr>
            <w:r>
              <w:rPr>
                <w:b/>
              </w:rPr>
              <w:t>Authorized Shares</w:t>
            </w:r>
          </w:p>
        </w:tc>
      </w:tr>
    </w:tbl>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7"/>
        <w:gridCol w:w="10011"/>
      </w:tblGrid>
      <w:tr>
        <w:trPr/>
        <w:tc>
          <w:tcPr>
            <w:tcW w:w="3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pPr>
            <w:r>
              <w:rPr/>
              <w:t>1.</w:t>
            </w:r>
          </w:p>
        </w:tc>
        <w:tc>
          <w:tcPr>
            <w:tcW w:w="10011" w:type="dxa"/>
            <w:tcBorders/>
            <w:shd w:fill="auto" w:val="clear"/>
            <w:vAlign w:val="center"/>
          </w:tcPr>
          <w:p>
            <w:pPr>
              <w:pStyle w:val="TableContents"/>
              <w:spacing w:before="0" w:after="283"/>
              <w:jc w:val="both"/>
              <w:rPr/>
            </w:pPr>
            <w:r>
              <w:rPr>
                <w:b/>
              </w:rPr>
              <w:t>Classes of Stock.</w:t>
            </w:r>
            <w:r>
              <w:rPr/>
              <w:t xml:space="preserve"> The total number of shares of stock that the Corporation shall have authority to issue is 15,010,000,000, consisting of 15,000,000,000 shares of Common Stock, par value $0.0001 per share (the “</w:t>
            </w:r>
            <w:r>
              <w:rPr>
                <w:b/>
              </w:rPr>
              <w:t>Common Stock</w:t>
            </w:r>
            <w:r>
              <w:rPr/>
              <w:t>”), and 10,000,000 shares of Preferred Stock, par value $0.0001 per share (the “</w:t>
            </w:r>
            <w:r>
              <w:rPr>
                <w:b/>
              </w:rPr>
              <w:t>Preferred Stock</w:t>
            </w:r>
            <w:r>
              <w:rPr/>
              <w:t>”).</w:t>
            </w:r>
          </w:p>
        </w:tc>
      </w:tr>
    </w:tbl>
    <w:p>
      <w:pPr>
        <w:pStyle w:val="TextBody"/>
        <w:spacing w:before="0" w:after="0"/>
        <w:ind w:left="180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180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7"/>
        <w:gridCol w:w="10021"/>
      </w:tblGrid>
      <w:tr>
        <w:trPr/>
        <w:tc>
          <w:tcPr>
            <w:tcW w:w="3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pPr>
            <w:r>
              <w:rPr/>
              <w:t>2.</w:t>
            </w:r>
          </w:p>
        </w:tc>
        <w:tc>
          <w:tcPr>
            <w:tcW w:w="10021" w:type="dxa"/>
            <w:tcBorders/>
            <w:shd w:fill="auto" w:val="clear"/>
            <w:vAlign w:val="center"/>
          </w:tcPr>
          <w:p>
            <w:pPr>
              <w:pStyle w:val="TableContents"/>
              <w:spacing w:before="0" w:after="283"/>
              <w:jc w:val="both"/>
              <w:rPr/>
            </w:pPr>
            <w:r>
              <w:rPr>
                <w:b/>
              </w:rPr>
              <w:t>Preferred Stock.</w:t>
            </w:r>
            <w:r>
              <w:rPr/>
              <w:t xml:space="preserve"> The Board of Directors is hereby empowered, without any action or vote by the Corporation’s stockholders (except as may otherwise be provided by the terms of any class or series of Preferred Stock then outstanding), to authorize by resolution or resolutions from time to time the issuance of one or more classes or series of Preferred Stock and to fix the designations, powers, preferences and relative, participating, optional or other rights, if any, and the qualifications, limitations or restrictions thereof, if any, with respect to each such class or series of Preferred Stock and the number of shares constituting each such class or series, and to increase or decrease the number of shares of any such class or series to the extent permitted by the DGCL.</w:t>
            </w:r>
          </w:p>
        </w:tc>
      </w:tr>
    </w:tbl>
    <w:p>
      <w:pPr>
        <w:pStyle w:val="TextBody"/>
        <w:spacing w:before="0" w:after="0"/>
        <w:ind w:left="72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3"/>
        <w:gridCol w:w="1880"/>
        <w:gridCol w:w="8112"/>
      </w:tblGrid>
      <w:tr>
        <w:trPr/>
        <w:tc>
          <w:tcPr>
            <w:tcW w:w="213"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b/>
              </w:rPr>
            </w:pPr>
            <w:r>
              <w:rPr>
                <w:b/>
              </w:rPr>
              <w:t>(B)</w:t>
            </w:r>
          </w:p>
        </w:tc>
        <w:tc>
          <w:tcPr>
            <w:tcW w:w="8112" w:type="dxa"/>
            <w:tcBorders/>
            <w:shd w:fill="auto" w:val="clear"/>
            <w:vAlign w:val="center"/>
          </w:tcPr>
          <w:p>
            <w:pPr>
              <w:pStyle w:val="TableContents"/>
              <w:spacing w:before="0" w:after="283"/>
              <w:rPr>
                <w:b/>
              </w:rPr>
            </w:pPr>
            <w:r>
              <w:rPr>
                <w:b/>
              </w:rPr>
              <w:t>Voting Rights</w:t>
            </w:r>
          </w:p>
        </w:tc>
      </w:tr>
    </w:tbl>
    <w:p>
      <w:pPr>
        <w:pStyle w:val="TextBody"/>
        <w:spacing w:before="0" w:after="0"/>
        <w:ind w:left="108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holder of Common Stock, as such, shall be entitled to one vote for each share of Common Stock held of record by such holder on all matters on which stockholders generally are entitled to vote;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except as otherwise required by law, holders of Common Stock, as such, shall not be entitled to vote on any amendment to this Certificate of Incorporation (including any certificate of designations relating to any class or series of Preferred Stock) that relates solely to the terms of one or more outstanding classes or series of Preferred Stock if the holders of such affected class or series are entitled, either separately or together with the holders of one or more other such classes or series, to vote thereon pursuant to this Certificate of Incorporation (including any certificate of designations relating to any class or series of Preferred Stock) or pursuant to the DGCL.</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BYLAWS</w:t>
      </w:r>
    </w:p>
    <w:p>
      <w:pPr>
        <w:pStyle w:val="TextBody"/>
        <w:spacing w:before="0" w:after="0"/>
        <w:ind w:left="0" w:right="0" w:hanging="0"/>
        <w:jc w:val="center"/>
        <w:rPr>
          <w:caps/>
        </w:rPr>
      </w:pPr>
      <w:r>
        <w:rPr>
          <w:caps/>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 adopt, amend or repeal the bylaws of the Corporation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may adopt, amend or repeal the Bylaws only with the affirmative vote of the holders of a majority of the voting power of all outstanding securities of the Corporation generally entitled to vote in the election of directors, voting together as a single class.</w:t>
      </w:r>
    </w:p>
    <w:p>
      <w:pPr>
        <w:pStyle w:val="TextBody"/>
        <w:spacing w:before="0" w:after="0"/>
        <w:ind w:left="0" w:right="0" w:hanging="0"/>
        <w:jc w:val="center"/>
        <w:rPr>
          <w:caps/>
        </w:rPr>
      </w:pPr>
      <w:r>
        <w:rPr>
          <w:caps/>
        </w:rPr>
        <w:t> </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r>
      <w:r>
        <w:rPr>
          <w:rFonts w:ascii="Times New Roman;Times;Serif" w:hAnsi="Times New Roman;Times;Serif"/>
          <w:b/>
          <w:i w:val="false"/>
          <w:caps/>
          <w:sz w:val="20"/>
        </w:rPr>
        <w:t>BOARD OF DIRECTORS</w:t>
      </w:r>
    </w:p>
    <w:p>
      <w:pPr>
        <w:pStyle w:val="TextBody"/>
        <w:spacing w:before="0" w:after="0"/>
        <w:ind w:left="0" w:right="0" w:hanging="0"/>
        <w:jc w:val="center"/>
        <w:rPr>
          <w:caps/>
        </w:rPr>
      </w:pPr>
      <w:r>
        <w:rPr>
          <w:caps/>
        </w:rPr>
        <w:t> </w:t>
      </w:r>
    </w:p>
    <w:tbl>
      <w:tblPr>
        <w:tblW w:w="5000" w:type="pct"/>
        <w:jc w:val="left"/>
        <w:tblInd w:w="0" w:type="dxa"/>
        <w:tblCellMar>
          <w:top w:w="0" w:type="dxa"/>
          <w:left w:w="0" w:type="dxa"/>
          <w:bottom w:w="0" w:type="dxa"/>
          <w:right w:w="0" w:type="dxa"/>
        </w:tblCellMar>
      </w:tblPr>
      <w:tblGrid>
        <w:gridCol w:w="37"/>
        <w:gridCol w:w="326"/>
        <w:gridCol w:w="9842"/>
      </w:tblGrid>
      <w:tr>
        <w:trPr/>
        <w:tc>
          <w:tcPr>
            <w:tcW w:w="37"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b/>
              </w:rPr>
            </w:pPr>
            <w:r>
              <w:rPr>
                <w:b/>
              </w:rPr>
              <w:t>(A)</w:t>
            </w:r>
          </w:p>
        </w:tc>
        <w:tc>
          <w:tcPr>
            <w:tcW w:w="9842" w:type="dxa"/>
            <w:tcBorders/>
            <w:shd w:fill="auto" w:val="clear"/>
            <w:vAlign w:val="center"/>
          </w:tcPr>
          <w:p>
            <w:pPr>
              <w:pStyle w:val="TableContents"/>
              <w:spacing w:before="0" w:after="283"/>
              <w:jc w:val="both"/>
              <w:rPr/>
            </w:pPr>
            <w:r>
              <w:rPr>
                <w:b/>
              </w:rPr>
              <w:t>Power of the Board of Directors</w:t>
            </w:r>
            <w:r>
              <w:rPr/>
              <w:t>. The business and affairs of the Corporation shall be managed by or under the direction of a Board of Directors.</w:t>
            </w:r>
          </w:p>
        </w:tc>
      </w:tr>
    </w:tbl>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1"/>
        <w:gridCol w:w="9887"/>
      </w:tblGrid>
      <w:tr>
        <w:trPr/>
        <w:tc>
          <w:tcPr>
            <w:tcW w:w="3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b/>
              </w:rPr>
            </w:pPr>
            <w:r>
              <w:rPr>
                <w:b/>
              </w:rPr>
              <w:t>(B)</w:t>
            </w:r>
          </w:p>
        </w:tc>
        <w:tc>
          <w:tcPr>
            <w:tcW w:w="9887" w:type="dxa"/>
            <w:tcBorders/>
            <w:shd w:fill="auto" w:val="clear"/>
            <w:vAlign w:val="center"/>
          </w:tcPr>
          <w:p>
            <w:pPr>
              <w:pStyle w:val="TableContents"/>
              <w:spacing w:before="0" w:after="283"/>
              <w:jc w:val="both"/>
              <w:rPr/>
            </w:pPr>
            <w:r>
              <w:rPr>
                <w:b/>
              </w:rPr>
              <w:t>Number of Directors.</w:t>
            </w:r>
            <w:r>
              <w:rPr/>
              <w:t xml:space="preserve"> The number of directors which shall constitute the Board of Directors shall, as of the date this Certificate of Incorporation becomes effective, be nine and, thereafter, shall be fixed exclusively by one or more resolutions adopted from time to time solely by the affirmative vote of a majority of the Board of Directors.</w:t>
            </w:r>
          </w:p>
        </w:tc>
      </w:tr>
    </w:tbl>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0"/>
        <w:gridCol w:w="1391"/>
        <w:gridCol w:w="8664"/>
      </w:tblGrid>
      <w:tr>
        <w:trPr/>
        <w:tc>
          <w:tcPr>
            <w:tcW w:w="150"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b/>
              </w:rPr>
            </w:pPr>
            <w:r>
              <w:rPr>
                <w:b/>
              </w:rPr>
              <w:t>(C)</w:t>
            </w:r>
          </w:p>
        </w:tc>
        <w:tc>
          <w:tcPr>
            <w:tcW w:w="8664" w:type="dxa"/>
            <w:tcBorders/>
            <w:shd w:fill="auto" w:val="clear"/>
            <w:vAlign w:val="center"/>
          </w:tcPr>
          <w:p>
            <w:pPr>
              <w:pStyle w:val="TableContents"/>
              <w:spacing w:before="0" w:after="283"/>
              <w:rPr/>
            </w:pPr>
            <w:r>
              <w:rPr>
                <w:b/>
              </w:rPr>
              <w:t>Election of Directors</w:t>
            </w:r>
            <w:r>
              <w:rPr/>
              <w:t>.</w:t>
            </w:r>
          </w:p>
        </w:tc>
      </w:tr>
    </w:tbl>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8"/>
        <w:gridCol w:w="9940"/>
      </w:tblGrid>
      <w:tr>
        <w:trPr/>
        <w:tc>
          <w:tcPr>
            <w:tcW w:w="3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pPr>
            <w:r>
              <w:rPr/>
              <w:t>(1)</w:t>
            </w:r>
          </w:p>
        </w:tc>
        <w:tc>
          <w:tcPr>
            <w:tcW w:w="9940" w:type="dxa"/>
            <w:tcBorders/>
            <w:shd w:fill="auto" w:val="clear"/>
            <w:vAlign w:val="center"/>
          </w:tcPr>
          <w:p>
            <w:pPr>
              <w:pStyle w:val="TableContents"/>
              <w:spacing w:before="0" w:after="283"/>
              <w:jc w:val="both"/>
              <w:rPr/>
            </w:pPr>
            <w:r>
              <w:rPr/>
              <w:t>Each director shall be elected annually by the stockholders and shall serve for a term ending on the date of the annual meeting of stockholders next following the annual meeting at which such director was elected. Notwithstanding the foregoing, each director shall hold office until such director’s successor shall have been duly elected and qualified or until such director’s earlier death, resignation or removal. In no event will a decrease in the number of directors shorten the term of any incumbent director.</w:t>
            </w:r>
          </w:p>
        </w:tc>
      </w:tr>
    </w:tbl>
    <w:p>
      <w:pPr>
        <w:pStyle w:val="TextBody"/>
        <w:spacing w:before="0" w:after="0"/>
        <w:ind w:left="180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7"/>
        <w:gridCol w:w="9901"/>
      </w:tblGrid>
      <w:tr>
        <w:trPr/>
        <w:tc>
          <w:tcPr>
            <w:tcW w:w="3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pPr>
            <w:r>
              <w:rPr/>
              <w:t>(2)</w:t>
            </w:r>
          </w:p>
        </w:tc>
        <w:tc>
          <w:tcPr>
            <w:tcW w:w="9901" w:type="dxa"/>
            <w:tcBorders/>
            <w:shd w:fill="auto" w:val="clear"/>
            <w:vAlign w:val="center"/>
          </w:tcPr>
          <w:p>
            <w:pPr>
              <w:pStyle w:val="TableContents"/>
              <w:spacing w:before="0" w:after="283"/>
              <w:jc w:val="both"/>
              <w:rPr/>
            </w:pPr>
            <w:r>
              <w:rPr/>
              <w:t>There shall be no cumulative voting in the election of directors. Election of directors need not be by written ballot unless the Bylaws so provide.</w:t>
            </w:r>
          </w:p>
        </w:tc>
      </w:tr>
    </w:tbl>
    <w:p>
      <w:pPr>
        <w:pStyle w:val="TextBody"/>
        <w:spacing w:before="0" w:after="0"/>
        <w:ind w:left="72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180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8"/>
        <w:gridCol w:w="9880"/>
      </w:tblGrid>
      <w:tr>
        <w:trPr/>
        <w:tc>
          <w:tcPr>
            <w:tcW w:w="3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b/>
              </w:rPr>
            </w:pPr>
            <w:r>
              <w:rPr>
                <w:b/>
              </w:rPr>
              <w:t>(D)</w:t>
            </w:r>
          </w:p>
        </w:tc>
        <w:tc>
          <w:tcPr>
            <w:tcW w:w="9880" w:type="dxa"/>
            <w:tcBorders/>
            <w:shd w:fill="auto" w:val="clear"/>
            <w:vAlign w:val="center"/>
          </w:tcPr>
          <w:p>
            <w:pPr>
              <w:pStyle w:val="TableContents"/>
              <w:spacing w:before="0" w:after="283"/>
              <w:jc w:val="both"/>
              <w:rPr/>
            </w:pPr>
            <w:r>
              <w:rPr>
                <w:b/>
              </w:rPr>
              <w:t>Vacancies.</w:t>
            </w:r>
            <w:r>
              <w:rPr/>
              <w:t xml:space="preserve"> Vacancies on the Board of Directors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w:t>
            </w:r>
          </w:p>
        </w:tc>
      </w:tr>
    </w:tbl>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3"/>
        <w:gridCol w:w="9885"/>
      </w:tblGrid>
      <w:tr>
        <w:trPr/>
        <w:tc>
          <w:tcPr>
            <w:tcW w:w="3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b/>
              </w:rPr>
            </w:pPr>
            <w:r>
              <w:rPr>
                <w:b/>
              </w:rPr>
              <w:t>(E)</w:t>
            </w:r>
          </w:p>
        </w:tc>
        <w:tc>
          <w:tcPr>
            <w:tcW w:w="9885" w:type="dxa"/>
            <w:tcBorders/>
            <w:shd w:fill="auto" w:val="clear"/>
            <w:vAlign w:val="center"/>
          </w:tcPr>
          <w:p>
            <w:pPr>
              <w:pStyle w:val="TableContents"/>
              <w:spacing w:before="0" w:after="283"/>
              <w:jc w:val="both"/>
              <w:rPr/>
            </w:pPr>
            <w:r>
              <w:rPr>
                <w:b/>
              </w:rPr>
              <w:t>Removal.</w:t>
            </w:r>
            <w:r>
              <w:rPr/>
              <w:t xml:space="preserve"> Any director may be removed from office by the stockholders, with or without cause, by the affirmative vote of the holders of a majority of the total voting power of all outstanding securities of the Corporation generally entitled to vote in the election of directors, voting together as a single class.</w:t>
            </w:r>
          </w:p>
        </w:tc>
      </w:tr>
    </w:tbl>
    <w:p>
      <w:pPr>
        <w:pStyle w:val="TextBody"/>
        <w:spacing w:before="0" w:after="0"/>
        <w:ind w:left="72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r>
      <w:r>
        <w:rPr>
          <w:rFonts w:ascii="Times New Roman;Times;Serif" w:hAnsi="Times New Roman;Times;Serif"/>
          <w:b/>
          <w:i w:val="false"/>
          <w:caps/>
          <w:sz w:val="20"/>
        </w:rPr>
        <w:t>MEETINGS OF STOCKHOLDERS</w:t>
      </w:r>
    </w:p>
    <w:p>
      <w:pPr>
        <w:pStyle w:val="TextBody"/>
        <w:spacing w:before="0" w:after="0"/>
        <w:ind w:left="0" w:right="0" w:hanging="0"/>
        <w:jc w:val="center"/>
        <w:rPr>
          <w:caps/>
        </w:rPr>
      </w:pPr>
      <w:r>
        <w:rPr>
          <w:caps/>
        </w:rPr>
        <w:t> </w:t>
      </w:r>
    </w:p>
    <w:tbl>
      <w:tblPr>
        <w:tblW w:w="5000" w:type="pct"/>
        <w:jc w:val="left"/>
        <w:tblInd w:w="0" w:type="dxa"/>
        <w:tblCellMar>
          <w:top w:w="0" w:type="dxa"/>
          <w:left w:w="0" w:type="dxa"/>
          <w:bottom w:w="0" w:type="dxa"/>
          <w:right w:w="0" w:type="dxa"/>
        </w:tblCellMar>
      </w:tblPr>
      <w:tblGrid>
        <w:gridCol w:w="37"/>
        <w:gridCol w:w="298"/>
        <w:gridCol w:w="9870"/>
      </w:tblGrid>
      <w:tr>
        <w:trPr/>
        <w:tc>
          <w:tcPr>
            <w:tcW w:w="3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b/>
              </w:rPr>
            </w:pPr>
            <w:r>
              <w:rPr>
                <w:b/>
              </w:rPr>
              <w:t>(A)</w:t>
            </w:r>
          </w:p>
        </w:tc>
        <w:tc>
          <w:tcPr>
            <w:tcW w:w="9870" w:type="dxa"/>
            <w:tcBorders/>
            <w:shd w:fill="auto" w:val="clear"/>
            <w:vAlign w:val="center"/>
          </w:tcPr>
          <w:p>
            <w:pPr>
              <w:pStyle w:val="TableContents"/>
              <w:spacing w:before="0" w:after="283"/>
              <w:jc w:val="both"/>
              <w:rPr/>
            </w:pPr>
            <w:r>
              <w:rPr>
                <w:b/>
              </w:rPr>
              <w:t xml:space="preserve">Annual Meetings. </w:t>
            </w:r>
            <w:r>
              <w:rPr/>
              <w:t>An annual meeting of stockholders for the election of directors to succeed those whose terms expire and for the transaction of such other business as may properly come before the meeting shall be held at such place, on such date, and at such time as the Board of Directors shall determine.</w:t>
            </w:r>
          </w:p>
        </w:tc>
      </w:tr>
    </w:tbl>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0"/>
        <w:gridCol w:w="9868"/>
      </w:tblGrid>
      <w:tr>
        <w:trPr/>
        <w:tc>
          <w:tcPr>
            <w:tcW w:w="3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b/>
              </w:rPr>
            </w:pPr>
            <w:r>
              <w:rPr>
                <w:b/>
              </w:rPr>
              <w:t>(B)</w:t>
            </w:r>
          </w:p>
        </w:tc>
        <w:tc>
          <w:tcPr>
            <w:tcW w:w="9868" w:type="dxa"/>
            <w:tcBorders/>
            <w:shd w:fill="auto" w:val="clear"/>
            <w:vAlign w:val="center"/>
          </w:tcPr>
          <w:p>
            <w:pPr>
              <w:pStyle w:val="TableContents"/>
              <w:spacing w:before="0" w:after="283"/>
              <w:jc w:val="both"/>
              <w:rPr/>
            </w:pPr>
            <w:r>
              <w:rPr>
                <w:b/>
              </w:rPr>
              <w:t>Special Meetings.</w:t>
            </w:r>
            <w:r>
              <w:rPr/>
              <w:t xml:space="preserve"> Special meetings of the stockholders may be called only by the Board of Directors acting pursuant to a resolution adopted by a majority of the Board of Directors.</w:t>
            </w:r>
          </w:p>
        </w:tc>
      </w:tr>
    </w:tbl>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79"/>
        <w:gridCol w:w="9889"/>
      </w:tblGrid>
      <w:tr>
        <w:trPr/>
        <w:tc>
          <w:tcPr>
            <w:tcW w:w="3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b/>
              </w:rPr>
            </w:pPr>
            <w:r>
              <w:rPr>
                <w:b/>
              </w:rPr>
              <w:t>(C)</w:t>
            </w:r>
          </w:p>
        </w:tc>
        <w:tc>
          <w:tcPr>
            <w:tcW w:w="9889" w:type="dxa"/>
            <w:tcBorders/>
            <w:shd w:fill="auto" w:val="clear"/>
            <w:vAlign w:val="center"/>
          </w:tcPr>
          <w:p>
            <w:pPr>
              <w:pStyle w:val="TableContents"/>
              <w:spacing w:before="0" w:after="283"/>
              <w:jc w:val="both"/>
              <w:rPr/>
            </w:pPr>
            <w:r>
              <w:rPr>
                <w:b/>
              </w:rPr>
              <w:t>Action by Written Consent.</w:t>
            </w:r>
            <w:r>
              <w:rPr/>
              <w:t xml:space="preserve"> Subject to the rights of the holders of any class or series of Preferred Stock then outstanding, as may be set forth in the resolution or resolutions adopted by the Board of Directors pursuant to Article IV(A) hereto for such class or series of Preferred Stock, any action required or permitted to be taken at any annual or special meeting of stockholders may be taken either (i) upon the vote of stockholders at an annual or special meeting duly noticed and called in accordance with the DGCL, as amended from time to time, and this Article VII or (ii) until such date as Ayar and its Permitted Transferees (each as defined in that certain Investor Rights Agreement, dated as of February 22, 2021, by and among the Corporation, Ayar Third Investment Company, Churchill Sponsor IV LLC and the other Parties party thereto from time to time (the “</w:t>
            </w:r>
            <w:r>
              <w:rPr>
                <w:b/>
              </w:rPr>
              <w:t>Investor Rights Agreement</w:t>
            </w:r>
            <w:r>
              <w:rPr/>
              <w:t>”)) beneficially own, in the aggregate, less than fifty percent (50%) in voting power of all outstanding securities of the Corporation generally entitled to vote in the election of directors, voting together as a single class (such date, the “</w:t>
            </w:r>
            <w:r>
              <w:rPr>
                <w:b/>
              </w:rPr>
              <w:t>Ayar Threshold Date</w:t>
            </w:r>
            <w:r>
              <w:rPr/>
              <w:t>”), by written consent of stockholders without a meeting. For the purposes of this Certificate of Incorporation, beneficial ownership shall be determined in accordance with Rule 13d-3 promulgated under the Securities Exchange Act of 1934, as amended.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br/>
      </w:r>
      <w:r>
        <w:rPr>
          <w:rFonts w:ascii="Times New Roman;Times;Serif" w:hAnsi="Times New Roman;Times;Serif"/>
          <w:b/>
          <w:i w:val="false"/>
          <w:caps/>
          <w:sz w:val="20"/>
        </w:rPr>
        <w:t>INDEMNIFICATION</w:t>
      </w:r>
    </w:p>
    <w:p>
      <w:pPr>
        <w:pStyle w:val="TextBody"/>
        <w:spacing w:before="0" w:after="0"/>
        <w:ind w:left="0" w:right="0" w:hanging="0"/>
        <w:jc w:val="center"/>
        <w:rPr>
          <w:caps/>
        </w:rPr>
      </w:pPr>
      <w:r>
        <w:rPr>
          <w:caps/>
        </w:rPr>
        <w:t> </w:t>
      </w:r>
    </w:p>
    <w:tbl>
      <w:tblPr>
        <w:tblW w:w="5000" w:type="pct"/>
        <w:jc w:val="left"/>
        <w:tblInd w:w="0" w:type="dxa"/>
        <w:tblCellMar>
          <w:top w:w="0" w:type="dxa"/>
          <w:left w:w="0" w:type="dxa"/>
          <w:bottom w:w="0" w:type="dxa"/>
          <w:right w:w="0" w:type="dxa"/>
        </w:tblCellMar>
      </w:tblPr>
      <w:tblGrid>
        <w:gridCol w:w="37"/>
        <w:gridCol w:w="309"/>
        <w:gridCol w:w="9859"/>
      </w:tblGrid>
      <w:tr>
        <w:trPr/>
        <w:tc>
          <w:tcPr>
            <w:tcW w:w="3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b/>
              </w:rPr>
            </w:pPr>
            <w:r>
              <w:rPr>
                <w:b/>
              </w:rPr>
              <w:t>(A)</w:t>
            </w:r>
          </w:p>
        </w:tc>
        <w:tc>
          <w:tcPr>
            <w:tcW w:w="9859" w:type="dxa"/>
            <w:tcBorders/>
            <w:shd w:fill="auto" w:val="clear"/>
            <w:vAlign w:val="center"/>
          </w:tcPr>
          <w:p>
            <w:pPr>
              <w:pStyle w:val="TableContents"/>
              <w:spacing w:before="0" w:after="283"/>
              <w:jc w:val="both"/>
              <w:rPr/>
            </w:pPr>
            <w:r>
              <w:rPr>
                <w:b/>
              </w:rPr>
              <w:t xml:space="preserve">Limited Liability. </w:t>
            </w:r>
            <w:r>
              <w:rPr/>
              <w:t>A director of the Corporation shall not be liable to the Corporation or its stockholders for monetary damages for breach of fiduciary duty as a director to the fullest extent permitted by the DGCL.</w:t>
            </w:r>
          </w:p>
        </w:tc>
      </w:tr>
    </w:tbl>
    <w:p>
      <w:pPr>
        <w:pStyle w:val="TextBody"/>
        <w:spacing w:before="0" w:after="0"/>
        <w:ind w:left="108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30"/>
        <w:gridCol w:w="1156"/>
        <w:gridCol w:w="8919"/>
      </w:tblGrid>
      <w:tr>
        <w:trPr/>
        <w:tc>
          <w:tcPr>
            <w:tcW w:w="130"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b/>
              </w:rPr>
            </w:pPr>
            <w:r>
              <w:rPr>
                <w:b/>
              </w:rPr>
              <w:t>(B)</w:t>
            </w:r>
          </w:p>
        </w:tc>
        <w:tc>
          <w:tcPr>
            <w:tcW w:w="8919" w:type="dxa"/>
            <w:tcBorders/>
            <w:shd w:fill="auto" w:val="clear"/>
            <w:vAlign w:val="center"/>
          </w:tcPr>
          <w:p>
            <w:pPr>
              <w:pStyle w:val="TableContents"/>
              <w:spacing w:before="0" w:after="283"/>
              <w:rPr>
                <w:b/>
              </w:rPr>
            </w:pPr>
            <w:r>
              <w:rPr>
                <w:b/>
              </w:rPr>
              <w:t>Right to Indemnification.</w:t>
            </w:r>
          </w:p>
        </w:tc>
      </w:tr>
    </w:tbl>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2"/>
        <w:gridCol w:w="9946"/>
      </w:tblGrid>
      <w:tr>
        <w:trPr/>
        <w:tc>
          <w:tcPr>
            <w:tcW w:w="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pPr>
            <w:r>
              <w:rPr/>
              <w:t>(1)</w:t>
            </w:r>
          </w:p>
        </w:tc>
        <w:tc>
          <w:tcPr>
            <w:tcW w:w="9946" w:type="dxa"/>
            <w:tcBorders/>
            <w:shd w:fill="auto" w:val="clear"/>
            <w:vAlign w:val="center"/>
          </w:tcPr>
          <w:p>
            <w:pPr>
              <w:pStyle w:val="TableContents"/>
              <w:spacing w:before="0" w:after="283"/>
              <w:jc w:val="both"/>
              <w:rPr/>
            </w:pPr>
            <w:r>
              <w:rPr/>
              <w:t>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shall be indemnified and held harmless by the Corporation to the fullest extent permitted by the DGCL. The right to indemnification conferred in this Article VIII shall also include the right to be paid by the Corporation the expenses incurred in connection with any such proceeding in advance of its final disposition to the fullest extent authorized by the DGCL. The right to indemnification conferred in this Article VIII shall be a contract right.</w:t>
            </w:r>
          </w:p>
        </w:tc>
      </w:tr>
    </w:tbl>
    <w:p>
      <w:pPr>
        <w:pStyle w:val="TextBody"/>
        <w:spacing w:before="0" w:after="0"/>
        <w:ind w:left="180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2"/>
        <w:gridCol w:w="9926"/>
      </w:tblGrid>
      <w:tr>
        <w:trPr/>
        <w:tc>
          <w:tcPr>
            <w:tcW w:w="3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pPr>
            <w:r>
              <w:rPr/>
              <w:t>(2)</w:t>
            </w:r>
          </w:p>
        </w:tc>
        <w:tc>
          <w:tcPr>
            <w:tcW w:w="9926" w:type="dxa"/>
            <w:tcBorders/>
            <w:shd w:fill="auto" w:val="clear"/>
            <w:vAlign w:val="center"/>
          </w:tcPr>
          <w:p>
            <w:pPr>
              <w:pStyle w:val="TableContents"/>
              <w:spacing w:before="0" w:after="283"/>
              <w:jc w:val="both"/>
              <w:rPr/>
            </w:pPr>
            <w:r>
              <w:rPr/>
              <w:t>The Corporation may, by action of its Board of Directors, provide indemnification to such of the employees and agents of the Corporation to such extent and to such effect as the Board of Directors shall determine to be appropriate and authorized by the DGCL.</w:t>
            </w:r>
          </w:p>
        </w:tc>
      </w:tr>
    </w:tbl>
    <w:p>
      <w:pPr>
        <w:pStyle w:val="TextBody"/>
        <w:spacing w:before="0" w:after="0"/>
        <w:ind w:left="72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6"/>
        <w:gridCol w:w="9882"/>
      </w:tblGrid>
      <w:tr>
        <w:trPr/>
        <w:tc>
          <w:tcPr>
            <w:tcW w:w="3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b/>
              </w:rPr>
            </w:pPr>
            <w:r>
              <w:rPr>
                <w:b/>
              </w:rPr>
              <w:t>(C)</w:t>
            </w:r>
          </w:p>
        </w:tc>
        <w:tc>
          <w:tcPr>
            <w:tcW w:w="9882" w:type="dxa"/>
            <w:tcBorders/>
            <w:shd w:fill="auto" w:val="clear"/>
            <w:vAlign w:val="center"/>
          </w:tcPr>
          <w:p>
            <w:pPr>
              <w:pStyle w:val="TableContents"/>
              <w:spacing w:before="0" w:after="283"/>
              <w:jc w:val="both"/>
              <w:rPr/>
            </w:pPr>
            <w:r>
              <w:rPr>
                <w:b/>
              </w:rPr>
              <w:t>Insurance.</w:t>
            </w:r>
            <w:r>
              <w:rPr/>
              <w:t xml:space="preserve">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DGCL.</w:t>
            </w:r>
          </w:p>
        </w:tc>
      </w:tr>
    </w:tbl>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15"/>
        <w:gridCol w:w="9853"/>
      </w:tblGrid>
      <w:tr>
        <w:trPr/>
        <w:tc>
          <w:tcPr>
            <w:tcW w:w="3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b/>
              </w:rPr>
            </w:pPr>
            <w:r>
              <w:rPr>
                <w:b/>
              </w:rPr>
              <w:t>(D)</w:t>
            </w:r>
          </w:p>
        </w:tc>
        <w:tc>
          <w:tcPr>
            <w:tcW w:w="9853" w:type="dxa"/>
            <w:tcBorders/>
            <w:shd w:fill="auto" w:val="clear"/>
            <w:vAlign w:val="center"/>
          </w:tcPr>
          <w:p>
            <w:pPr>
              <w:pStyle w:val="TableContents"/>
              <w:spacing w:before="0" w:after="283"/>
              <w:jc w:val="both"/>
              <w:rPr/>
            </w:pPr>
            <w:r>
              <w:rPr>
                <w:b/>
              </w:rPr>
              <w:t>Nonexclusivity of Rights.</w:t>
            </w:r>
            <w:r>
              <w:rPr/>
              <w:t xml:space="preserve"> The rights and authority conferred in this Article VIII shall not be exclusive of any other right that any person may otherwise have or hereafter acquire.</w:t>
            </w:r>
          </w:p>
        </w:tc>
      </w:tr>
    </w:tbl>
    <w:p>
      <w:pPr>
        <w:pStyle w:val="TextBody"/>
        <w:spacing w:before="0" w:after="0"/>
        <w:ind w:left="108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71"/>
        <w:gridCol w:w="9897"/>
      </w:tblGrid>
      <w:tr>
        <w:trPr/>
        <w:tc>
          <w:tcPr>
            <w:tcW w:w="3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b/>
              </w:rPr>
            </w:pPr>
            <w:r>
              <w:rPr>
                <w:b/>
              </w:rPr>
              <w:t>(E)</w:t>
            </w:r>
          </w:p>
        </w:tc>
        <w:tc>
          <w:tcPr>
            <w:tcW w:w="9897" w:type="dxa"/>
            <w:tcBorders/>
            <w:shd w:fill="auto" w:val="clear"/>
            <w:vAlign w:val="center"/>
          </w:tcPr>
          <w:p>
            <w:pPr>
              <w:pStyle w:val="TableContents"/>
              <w:spacing w:before="0" w:after="283"/>
              <w:jc w:val="both"/>
              <w:rPr/>
            </w:pPr>
            <w:r>
              <w:rPr>
                <w:b/>
              </w:rPr>
              <w:t>Preservation of Rights.</w:t>
            </w:r>
            <w:r>
              <w:rPr/>
              <w:t xml:space="preserve"> Neither the amendment nor repeal of this Article VIII, nor the adoption of any provision of this Certificate of Incorporation or the Bylaws, nor, to the fullest extent permitted by the DGCL, any modification of law, shall adversely affect any right or protection of any person granted pursuant hereto existing at, or arising out of or related to any event, act or omission that occurred prior to, the time of such amendment, repeal, adoption or modification (regardless of when any proceeding (or part thereof) relating to such event, act or omission arises or is first threatened, commenced or completed).</w:t>
            </w:r>
          </w:p>
        </w:tc>
      </w:tr>
    </w:tbl>
    <w:p>
      <w:pPr>
        <w:pStyle w:val="TextBody"/>
        <w:spacing w:before="0" w:after="0"/>
        <w:ind w:left="72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br/>
      </w:r>
      <w:r>
        <w:rPr>
          <w:rFonts w:ascii="Times New Roman;Times;Serif" w:hAnsi="Times New Roman;Times;Serif"/>
          <w:b/>
          <w:i w:val="false"/>
          <w:caps/>
          <w:sz w:val="20"/>
        </w:rPr>
        <w:t>AMENDMENTS</w:t>
      </w:r>
    </w:p>
    <w:p>
      <w:pPr>
        <w:pStyle w:val="TextBody"/>
        <w:spacing w:before="0" w:after="0"/>
        <w:ind w:left="0" w:right="0" w:hanging="0"/>
        <w:jc w:val="center"/>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amend this Amended and Restated Certificate of Incorporation in any manner permitted by the DGCL and all rights and powers conferred upon stockholders, directors and officers herein are granted subject to this reservation.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executed this Amended and Restated Certificate of Incorporation this 24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April, 2023.</w:t>
      </w:r>
    </w:p>
    <w:p>
      <w:pPr>
        <w:pStyle w:val="TextBody"/>
        <w:spacing w:before="0" w:after="0"/>
        <w:ind w:left="0" w:right="0" w:firstLine="720"/>
        <w:rPr>
          <w:caps w:val="false"/>
          <w:smallCaps w:val="false"/>
        </w:rPr>
      </w:pPr>
      <w:r>
        <w:rPr>
          <w:caps w:val="false"/>
          <w:smallCaps w:val="false"/>
        </w:rPr>
        <w:t> </w:t>
      </w:r>
    </w:p>
    <w:tbl>
      <w:tblPr>
        <w:tblW w:w="3145" w:type="dxa"/>
        <w:jc w:val="left"/>
        <w:tblInd w:w="0" w:type="dxa"/>
        <w:tblCellMar>
          <w:top w:w="0" w:type="dxa"/>
          <w:left w:w="0" w:type="dxa"/>
          <w:bottom w:w="0" w:type="dxa"/>
          <w:right w:w="0" w:type="dxa"/>
        </w:tblCellMar>
      </w:tblPr>
      <w:tblGrid>
        <w:gridCol w:w="75"/>
        <w:gridCol w:w="545"/>
        <w:gridCol w:w="2525"/>
      </w:tblGrid>
      <w:tr>
        <w:trPr/>
        <w:tc>
          <w:tcPr>
            <w:tcW w:w="75" w:type="dxa"/>
            <w:tcBorders/>
            <w:shd w:fill="auto" w:val="clear"/>
            <w:vAlign w:val="center"/>
          </w:tcPr>
          <w:p>
            <w:pPr>
              <w:pStyle w:val="TableContents"/>
              <w:spacing w:before="0" w:after="283"/>
              <w:rPr/>
            </w:pPr>
            <w:r>
              <w:rPr/>
              <w:t> </w:t>
            </w:r>
          </w:p>
        </w:tc>
        <w:tc>
          <w:tcPr>
            <w:tcW w:w="3070" w:type="dxa"/>
            <w:gridSpan w:val="2"/>
            <w:tcBorders/>
            <w:shd w:fill="auto" w:val="clear"/>
            <w:vAlign w:val="center"/>
          </w:tcPr>
          <w:p>
            <w:pPr>
              <w:pStyle w:val="TableContents"/>
              <w:spacing w:before="0" w:after="283"/>
              <w:rPr>
                <w:b/>
                <w:sz w:val="20"/>
              </w:rPr>
            </w:pPr>
            <w:r>
              <w:rPr>
                <w:b/>
                <w:sz w:val="20"/>
              </w:rPr>
              <w:t>LUCID GROUP, INC.</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252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By:</w:t>
            </w:r>
          </w:p>
        </w:tc>
        <w:tc>
          <w:tcPr>
            <w:tcW w:w="252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Jonathan Butler</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2525" w:type="dxa"/>
            <w:tcBorders/>
            <w:shd w:fill="auto" w:val="clear"/>
            <w:vAlign w:val="center"/>
          </w:tcPr>
          <w:p>
            <w:pPr>
              <w:pStyle w:val="TableContents"/>
              <w:spacing w:before="0" w:after="283"/>
              <w:rPr>
                <w:sz w:val="20"/>
              </w:rPr>
            </w:pPr>
            <w:r>
              <w:rPr>
                <w:sz w:val="20"/>
              </w:rPr>
              <w:t>Jonathan Butler</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2525" w:type="dxa"/>
            <w:tcBorders/>
            <w:shd w:fill="auto" w:val="clear"/>
            <w:vAlign w:val="center"/>
          </w:tcPr>
          <w:p>
            <w:pPr>
              <w:pStyle w:val="TableContents"/>
              <w:spacing w:before="0" w:after="283"/>
              <w:rPr>
                <w:sz w:val="20"/>
              </w:rPr>
            </w:pPr>
            <w:r>
              <w:rPr>
                <w:sz w:val="20"/>
              </w:rPr>
              <w:t>General Counsel and Secretary</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Certificate of Incorporation</w:t>
      </w: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rPr>
          <w:caps w:val="false"/>
          <w:smallCaps w:val="false"/>
        </w:rPr>
      </w:pPr>
      <w:bookmarkStart w:id="24" w:name="tm2313633d1_ex10-1.htm"/>
      <w:bookmarkStart w:id="25" w:name="kstm2313633d1_ex101"/>
      <w:bookmarkEnd w:id="24"/>
      <w:bookmarkEnd w:id="25"/>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2021 STOCK INCENTIVE PLAN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7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ind w:left="72" w:right="0" w:hanging="0"/>
        <w:jc w:val="center"/>
        <w:rPr>
          <w:caps w:val="false"/>
          <w:smallCaps w:val="false"/>
        </w:rPr>
      </w:pPr>
      <w:r>
        <w:rPr>
          <w:caps w:val="false"/>
          <w:smallCaps w:val="false"/>
        </w:rPr>
        <w:t> </w:t>
      </w:r>
    </w:p>
    <w:p>
      <w:pPr>
        <w:pStyle w:val="TextBody"/>
        <w:spacing w:before="0" w:after="0"/>
        <w:ind w:left="72"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spacing w:before="0" w:after="0"/>
        <w:ind w:left="72" w:right="0" w:hanging="0"/>
        <w:jc w:val="right"/>
        <w:rPr>
          <w:caps w:val="false"/>
          <w:smallCaps w:val="false"/>
        </w:rPr>
      </w:pPr>
      <w:r>
        <w:rPr>
          <w:caps w:val="false"/>
          <w:smallCaps w:val="false"/>
        </w:rPr>
        <w:t> </w:t>
      </w:r>
    </w:p>
    <w:tbl>
      <w:tblPr>
        <w:tblW w:w="4905" w:type="dxa"/>
        <w:jc w:val="left"/>
        <w:tblInd w:w="0" w:type="dxa"/>
        <w:tblCellMar>
          <w:top w:w="0" w:type="dxa"/>
          <w:left w:w="0" w:type="dxa"/>
          <w:bottom w:w="0" w:type="dxa"/>
          <w:right w:w="0" w:type="dxa"/>
        </w:tblCellMar>
      </w:tblPr>
      <w:tblGrid>
        <w:gridCol w:w="980"/>
        <w:gridCol w:w="3770"/>
        <w:gridCol w:w="155"/>
      </w:tblGrid>
      <w:tr>
        <w:trPr/>
        <w:tc>
          <w:tcPr>
            <w:tcW w:w="980" w:type="dxa"/>
            <w:tcBorders/>
            <w:shd w:fill="auto" w:val="clear"/>
            <w:vAlign w:val="center"/>
          </w:tcPr>
          <w:p>
            <w:pPr>
              <w:pStyle w:val="TableContents"/>
              <w:spacing w:before="0" w:after="283"/>
              <w:ind w:left="0" w:right="0" w:hanging="360"/>
              <w:jc w:val="left"/>
              <w:rPr/>
            </w:pPr>
            <w:r>
              <w:rPr/>
              <w:t>Section 1.</w:t>
            </w:r>
          </w:p>
        </w:tc>
        <w:tc>
          <w:tcPr>
            <w:tcW w:w="3770" w:type="dxa"/>
            <w:tcBorders/>
            <w:shd w:fill="auto" w:val="clear"/>
            <w:vAlign w:val="center"/>
          </w:tcPr>
          <w:p>
            <w:pPr>
              <w:pStyle w:val="TableContents"/>
              <w:spacing w:before="0" w:after="283"/>
              <w:jc w:val="left"/>
              <w:rPr/>
            </w:pPr>
            <w:r>
              <w:rPr/>
              <w:t>ESTABLISHMENT AND PURPOSE</w:t>
            </w:r>
          </w:p>
        </w:tc>
        <w:tc>
          <w:tcPr>
            <w:tcW w:w="155" w:type="dxa"/>
            <w:tcBorders/>
            <w:shd w:fill="auto" w:val="clear"/>
            <w:vAlign w:val="center"/>
          </w:tcPr>
          <w:p>
            <w:pPr>
              <w:pStyle w:val="TableContents"/>
              <w:spacing w:before="0" w:after="283"/>
              <w:ind w:left="0" w:right="0" w:hanging="360"/>
              <w:jc w:val="right"/>
              <w:rPr/>
            </w:pPr>
            <w:r>
              <w:rPr/>
              <w:t>1</w:t>
            </w:r>
          </w:p>
        </w:tc>
      </w:tr>
      <w:tr>
        <w:trPr/>
        <w:tc>
          <w:tcPr>
            <w:tcW w:w="980" w:type="dxa"/>
            <w:tcBorders/>
            <w:shd w:fill="auto" w:val="clear"/>
            <w:vAlign w:val="center"/>
          </w:tcPr>
          <w:p>
            <w:pPr>
              <w:pStyle w:val="TableContents"/>
              <w:spacing w:before="0" w:after="283"/>
              <w:ind w:left="0" w:right="0" w:hanging="360"/>
              <w:jc w:val="left"/>
              <w:rPr/>
            </w:pPr>
            <w:r>
              <w:rPr/>
              <w:t>Section 2.</w:t>
            </w:r>
          </w:p>
        </w:tc>
        <w:tc>
          <w:tcPr>
            <w:tcW w:w="3770" w:type="dxa"/>
            <w:tcBorders/>
            <w:shd w:fill="auto" w:val="clear"/>
            <w:vAlign w:val="center"/>
          </w:tcPr>
          <w:p>
            <w:pPr>
              <w:pStyle w:val="TableContents"/>
              <w:spacing w:before="0" w:after="283"/>
              <w:jc w:val="left"/>
              <w:rPr/>
            </w:pPr>
            <w:r>
              <w:rPr/>
              <w:t>DEFINITIONS</w:t>
            </w:r>
          </w:p>
        </w:tc>
        <w:tc>
          <w:tcPr>
            <w:tcW w:w="155" w:type="dxa"/>
            <w:tcBorders/>
            <w:shd w:fill="auto" w:val="clear"/>
            <w:vAlign w:val="center"/>
          </w:tcPr>
          <w:p>
            <w:pPr>
              <w:pStyle w:val="TableContents"/>
              <w:spacing w:before="0" w:after="283"/>
              <w:ind w:left="0" w:right="0" w:hanging="540"/>
              <w:jc w:val="right"/>
              <w:rPr/>
            </w:pPr>
            <w:r>
              <w:rPr/>
              <w:t>1</w:t>
            </w:r>
          </w:p>
        </w:tc>
      </w:tr>
      <w:tr>
        <w:trPr/>
        <w:tc>
          <w:tcPr>
            <w:tcW w:w="4750" w:type="dxa"/>
            <w:gridSpan w:val="2"/>
            <w:tcBorders/>
            <w:shd w:fill="auto" w:val="clear"/>
            <w:vAlign w:val="center"/>
          </w:tcPr>
          <w:p>
            <w:pPr>
              <w:pStyle w:val="TableContents"/>
              <w:spacing w:before="0" w:after="283"/>
              <w:jc w:val="left"/>
              <w:rPr/>
            </w:pPr>
            <w:r>
              <w:rPr/>
              <w:t>(a)   “2009 Plan”</w:t>
            </w:r>
          </w:p>
        </w:tc>
        <w:tc>
          <w:tcPr>
            <w:tcW w:w="155" w:type="dxa"/>
            <w:tcBorders/>
            <w:shd w:fill="auto" w:val="clear"/>
            <w:vAlign w:val="center"/>
          </w:tcPr>
          <w:p>
            <w:pPr>
              <w:pStyle w:val="TableContents"/>
              <w:spacing w:before="0" w:after="283"/>
              <w:ind w:left="0" w:right="0" w:hanging="540"/>
              <w:jc w:val="right"/>
              <w:rPr/>
            </w:pPr>
            <w:r>
              <w:rPr/>
              <w:t>1</w:t>
            </w:r>
          </w:p>
        </w:tc>
      </w:tr>
      <w:tr>
        <w:trPr/>
        <w:tc>
          <w:tcPr>
            <w:tcW w:w="4750" w:type="dxa"/>
            <w:gridSpan w:val="2"/>
            <w:tcBorders/>
            <w:shd w:fill="auto" w:val="clear"/>
            <w:vAlign w:val="center"/>
          </w:tcPr>
          <w:p>
            <w:pPr>
              <w:pStyle w:val="TableContents"/>
              <w:spacing w:before="0" w:after="283"/>
              <w:jc w:val="left"/>
              <w:rPr/>
            </w:pPr>
            <w:r>
              <w:rPr/>
              <w:t>(b)   “2014 Plan”</w:t>
            </w:r>
          </w:p>
        </w:tc>
        <w:tc>
          <w:tcPr>
            <w:tcW w:w="155" w:type="dxa"/>
            <w:tcBorders/>
            <w:shd w:fill="auto" w:val="clear"/>
            <w:vAlign w:val="center"/>
          </w:tcPr>
          <w:p>
            <w:pPr>
              <w:pStyle w:val="TableContents"/>
              <w:spacing w:before="0" w:after="283"/>
              <w:ind w:left="0" w:right="0" w:hanging="540"/>
              <w:jc w:val="right"/>
              <w:rPr/>
            </w:pPr>
            <w:r>
              <w:rPr/>
              <w:t>1</w:t>
            </w:r>
          </w:p>
        </w:tc>
      </w:tr>
      <w:tr>
        <w:trPr/>
        <w:tc>
          <w:tcPr>
            <w:tcW w:w="4750" w:type="dxa"/>
            <w:gridSpan w:val="2"/>
            <w:tcBorders/>
            <w:shd w:fill="auto" w:val="clear"/>
            <w:vAlign w:val="center"/>
          </w:tcPr>
          <w:p>
            <w:pPr>
              <w:pStyle w:val="TableContents"/>
              <w:spacing w:before="0" w:after="283"/>
              <w:jc w:val="left"/>
              <w:rPr/>
            </w:pPr>
            <w:r>
              <w:rPr/>
              <w:t>(c)   “2021 Plan”</w:t>
            </w:r>
          </w:p>
        </w:tc>
        <w:tc>
          <w:tcPr>
            <w:tcW w:w="155" w:type="dxa"/>
            <w:tcBorders/>
            <w:shd w:fill="auto" w:val="clear"/>
            <w:vAlign w:val="center"/>
          </w:tcPr>
          <w:p>
            <w:pPr>
              <w:pStyle w:val="TableContents"/>
              <w:spacing w:before="0" w:after="283"/>
              <w:ind w:left="0" w:right="0" w:hanging="540"/>
              <w:jc w:val="right"/>
              <w:rPr/>
            </w:pPr>
            <w:r>
              <w:rPr/>
              <w:t>1</w:t>
            </w:r>
          </w:p>
        </w:tc>
      </w:tr>
      <w:tr>
        <w:trPr/>
        <w:tc>
          <w:tcPr>
            <w:tcW w:w="4750" w:type="dxa"/>
            <w:gridSpan w:val="2"/>
            <w:tcBorders/>
            <w:shd w:fill="auto" w:val="clear"/>
            <w:vAlign w:val="center"/>
          </w:tcPr>
          <w:p>
            <w:pPr>
              <w:pStyle w:val="TableContents"/>
              <w:spacing w:before="0" w:after="283"/>
              <w:jc w:val="left"/>
              <w:rPr/>
            </w:pPr>
            <w:r>
              <w:rPr/>
              <w:t>(d)   “Affiliate”</w:t>
            </w:r>
          </w:p>
        </w:tc>
        <w:tc>
          <w:tcPr>
            <w:tcW w:w="155" w:type="dxa"/>
            <w:tcBorders/>
            <w:shd w:fill="auto" w:val="clear"/>
            <w:vAlign w:val="center"/>
          </w:tcPr>
          <w:p>
            <w:pPr>
              <w:pStyle w:val="TableContents"/>
              <w:spacing w:before="0" w:after="283"/>
              <w:ind w:left="0" w:right="0" w:hanging="540"/>
              <w:jc w:val="right"/>
              <w:rPr/>
            </w:pPr>
            <w:r>
              <w:rPr/>
              <w:t>1</w:t>
            </w:r>
          </w:p>
        </w:tc>
      </w:tr>
      <w:tr>
        <w:trPr/>
        <w:tc>
          <w:tcPr>
            <w:tcW w:w="4750" w:type="dxa"/>
            <w:gridSpan w:val="2"/>
            <w:tcBorders/>
            <w:shd w:fill="auto" w:val="clear"/>
            <w:vAlign w:val="center"/>
          </w:tcPr>
          <w:p>
            <w:pPr>
              <w:pStyle w:val="TableContents"/>
              <w:spacing w:before="0" w:after="283"/>
              <w:jc w:val="left"/>
              <w:rPr/>
            </w:pPr>
            <w:r>
              <w:rPr/>
              <w:t>(e)   “Award”</w:t>
            </w:r>
          </w:p>
        </w:tc>
        <w:tc>
          <w:tcPr>
            <w:tcW w:w="155" w:type="dxa"/>
            <w:tcBorders/>
            <w:shd w:fill="auto" w:val="clear"/>
            <w:vAlign w:val="center"/>
          </w:tcPr>
          <w:p>
            <w:pPr>
              <w:pStyle w:val="TableContents"/>
              <w:spacing w:before="0" w:after="283"/>
              <w:ind w:left="0" w:right="0" w:hanging="540"/>
              <w:jc w:val="right"/>
              <w:rPr/>
            </w:pPr>
            <w:r>
              <w:rPr/>
              <w:t>1</w:t>
            </w:r>
          </w:p>
        </w:tc>
      </w:tr>
      <w:tr>
        <w:trPr/>
        <w:tc>
          <w:tcPr>
            <w:tcW w:w="4750" w:type="dxa"/>
            <w:gridSpan w:val="2"/>
            <w:tcBorders/>
            <w:shd w:fill="auto" w:val="clear"/>
            <w:vAlign w:val="center"/>
          </w:tcPr>
          <w:p>
            <w:pPr>
              <w:pStyle w:val="TableContents"/>
              <w:spacing w:before="0" w:after="283"/>
              <w:jc w:val="left"/>
              <w:rPr/>
            </w:pPr>
            <w:r>
              <w:rPr/>
              <w:t>(f)   “Award Agreement”</w:t>
            </w:r>
          </w:p>
        </w:tc>
        <w:tc>
          <w:tcPr>
            <w:tcW w:w="155" w:type="dxa"/>
            <w:tcBorders/>
            <w:shd w:fill="auto" w:val="clear"/>
            <w:vAlign w:val="center"/>
          </w:tcPr>
          <w:p>
            <w:pPr>
              <w:pStyle w:val="TableContents"/>
              <w:spacing w:before="0" w:after="283"/>
              <w:ind w:left="0" w:right="0" w:hanging="540"/>
              <w:jc w:val="right"/>
              <w:rPr/>
            </w:pPr>
            <w:r>
              <w:rPr/>
              <w:t>1</w:t>
            </w:r>
          </w:p>
        </w:tc>
      </w:tr>
      <w:tr>
        <w:trPr/>
        <w:tc>
          <w:tcPr>
            <w:tcW w:w="4750" w:type="dxa"/>
            <w:gridSpan w:val="2"/>
            <w:tcBorders/>
            <w:shd w:fill="auto" w:val="clear"/>
            <w:vAlign w:val="center"/>
          </w:tcPr>
          <w:p>
            <w:pPr>
              <w:pStyle w:val="TableContents"/>
              <w:spacing w:before="0" w:after="283"/>
              <w:jc w:val="left"/>
              <w:rPr/>
            </w:pPr>
            <w:r>
              <w:rPr/>
              <w:t>(g)   “Board of Directors” or “Board”</w:t>
            </w:r>
          </w:p>
        </w:tc>
        <w:tc>
          <w:tcPr>
            <w:tcW w:w="155" w:type="dxa"/>
            <w:tcBorders/>
            <w:shd w:fill="auto" w:val="clear"/>
            <w:vAlign w:val="center"/>
          </w:tcPr>
          <w:p>
            <w:pPr>
              <w:pStyle w:val="TableContents"/>
              <w:spacing w:before="0" w:after="283"/>
              <w:ind w:left="0" w:right="0" w:hanging="540"/>
              <w:jc w:val="right"/>
              <w:rPr/>
            </w:pPr>
            <w:r>
              <w:rPr/>
              <w:t>1</w:t>
            </w:r>
          </w:p>
        </w:tc>
      </w:tr>
      <w:tr>
        <w:trPr/>
        <w:tc>
          <w:tcPr>
            <w:tcW w:w="4750" w:type="dxa"/>
            <w:gridSpan w:val="2"/>
            <w:tcBorders/>
            <w:shd w:fill="auto" w:val="clear"/>
            <w:vAlign w:val="center"/>
          </w:tcPr>
          <w:p>
            <w:pPr>
              <w:pStyle w:val="TableContents"/>
              <w:spacing w:before="0" w:after="283"/>
              <w:jc w:val="left"/>
              <w:rPr/>
            </w:pPr>
            <w:r>
              <w:rPr/>
              <w:t>(h)   “Cash-Based Award”</w:t>
            </w:r>
          </w:p>
        </w:tc>
        <w:tc>
          <w:tcPr>
            <w:tcW w:w="155" w:type="dxa"/>
            <w:tcBorders/>
            <w:shd w:fill="auto" w:val="clear"/>
            <w:vAlign w:val="center"/>
          </w:tcPr>
          <w:p>
            <w:pPr>
              <w:pStyle w:val="TableContents"/>
              <w:spacing w:before="0" w:after="283"/>
              <w:ind w:left="0" w:right="0" w:hanging="540"/>
              <w:jc w:val="right"/>
              <w:rPr/>
            </w:pPr>
            <w:r>
              <w:rPr/>
              <w:t>2</w:t>
            </w:r>
          </w:p>
        </w:tc>
      </w:tr>
      <w:tr>
        <w:trPr/>
        <w:tc>
          <w:tcPr>
            <w:tcW w:w="4750" w:type="dxa"/>
            <w:gridSpan w:val="2"/>
            <w:tcBorders/>
            <w:shd w:fill="auto" w:val="clear"/>
            <w:vAlign w:val="center"/>
          </w:tcPr>
          <w:p>
            <w:pPr>
              <w:pStyle w:val="TableContents"/>
              <w:spacing w:before="0" w:after="283"/>
              <w:jc w:val="left"/>
              <w:rPr/>
            </w:pPr>
            <w:r>
              <w:rPr/>
              <w:t>(i)    “Cause”</w:t>
            </w:r>
          </w:p>
        </w:tc>
        <w:tc>
          <w:tcPr>
            <w:tcW w:w="155" w:type="dxa"/>
            <w:tcBorders/>
            <w:shd w:fill="auto" w:val="clear"/>
            <w:vAlign w:val="center"/>
          </w:tcPr>
          <w:p>
            <w:pPr>
              <w:pStyle w:val="TableContents"/>
              <w:spacing w:before="0" w:after="283"/>
              <w:ind w:left="0" w:right="0" w:hanging="540"/>
              <w:jc w:val="right"/>
              <w:rPr/>
            </w:pPr>
            <w:r>
              <w:rPr/>
              <w:t>2</w:t>
            </w:r>
          </w:p>
        </w:tc>
      </w:tr>
      <w:tr>
        <w:trPr/>
        <w:tc>
          <w:tcPr>
            <w:tcW w:w="4750" w:type="dxa"/>
            <w:gridSpan w:val="2"/>
            <w:tcBorders/>
            <w:shd w:fill="auto" w:val="clear"/>
            <w:vAlign w:val="center"/>
          </w:tcPr>
          <w:p>
            <w:pPr>
              <w:pStyle w:val="TableContents"/>
              <w:spacing w:before="0" w:after="283"/>
              <w:jc w:val="left"/>
              <w:rPr/>
            </w:pPr>
            <w:r>
              <w:rPr/>
              <w:t>(j)    “Change in Control”</w:t>
            </w:r>
          </w:p>
        </w:tc>
        <w:tc>
          <w:tcPr>
            <w:tcW w:w="155" w:type="dxa"/>
            <w:tcBorders/>
            <w:shd w:fill="auto" w:val="clear"/>
            <w:vAlign w:val="center"/>
          </w:tcPr>
          <w:p>
            <w:pPr>
              <w:pStyle w:val="TableContents"/>
              <w:spacing w:before="0" w:after="283"/>
              <w:ind w:left="0" w:right="0" w:hanging="540"/>
              <w:jc w:val="right"/>
              <w:rPr/>
            </w:pPr>
            <w:r>
              <w:rPr/>
              <w:t>2</w:t>
            </w:r>
          </w:p>
        </w:tc>
      </w:tr>
      <w:tr>
        <w:trPr/>
        <w:tc>
          <w:tcPr>
            <w:tcW w:w="4750" w:type="dxa"/>
            <w:gridSpan w:val="2"/>
            <w:tcBorders/>
            <w:shd w:fill="auto" w:val="clear"/>
            <w:vAlign w:val="center"/>
          </w:tcPr>
          <w:p>
            <w:pPr>
              <w:pStyle w:val="TableContents"/>
              <w:spacing w:before="0" w:after="283"/>
              <w:jc w:val="left"/>
              <w:rPr/>
            </w:pPr>
            <w:r>
              <w:rPr/>
              <w:t>(k)   “Code”</w:t>
            </w:r>
          </w:p>
        </w:tc>
        <w:tc>
          <w:tcPr>
            <w:tcW w:w="155" w:type="dxa"/>
            <w:tcBorders/>
            <w:shd w:fill="auto" w:val="clear"/>
            <w:vAlign w:val="center"/>
          </w:tcPr>
          <w:p>
            <w:pPr>
              <w:pStyle w:val="TableContents"/>
              <w:spacing w:before="0" w:after="283"/>
              <w:ind w:left="0" w:right="0" w:hanging="540"/>
              <w:jc w:val="right"/>
              <w:rPr/>
            </w:pPr>
            <w:r>
              <w:rPr/>
              <w:t>3</w:t>
            </w:r>
          </w:p>
        </w:tc>
      </w:tr>
      <w:tr>
        <w:trPr/>
        <w:tc>
          <w:tcPr>
            <w:tcW w:w="4750" w:type="dxa"/>
            <w:gridSpan w:val="2"/>
            <w:tcBorders/>
            <w:shd w:fill="auto" w:val="clear"/>
            <w:vAlign w:val="center"/>
          </w:tcPr>
          <w:p>
            <w:pPr>
              <w:pStyle w:val="TableContents"/>
              <w:spacing w:before="0" w:after="283"/>
              <w:jc w:val="left"/>
              <w:rPr/>
            </w:pPr>
            <w:r>
              <w:rPr/>
              <w:t>(l)    “Committee”</w:t>
            </w:r>
          </w:p>
        </w:tc>
        <w:tc>
          <w:tcPr>
            <w:tcW w:w="155" w:type="dxa"/>
            <w:tcBorders/>
            <w:shd w:fill="auto" w:val="clear"/>
            <w:vAlign w:val="center"/>
          </w:tcPr>
          <w:p>
            <w:pPr>
              <w:pStyle w:val="TableContents"/>
              <w:spacing w:before="0" w:after="283"/>
              <w:ind w:left="0" w:right="0" w:hanging="540"/>
              <w:jc w:val="right"/>
              <w:rPr/>
            </w:pPr>
            <w:r>
              <w:rPr/>
              <w:t>4</w:t>
            </w:r>
          </w:p>
        </w:tc>
      </w:tr>
      <w:tr>
        <w:trPr/>
        <w:tc>
          <w:tcPr>
            <w:tcW w:w="4750" w:type="dxa"/>
            <w:gridSpan w:val="2"/>
            <w:tcBorders/>
            <w:shd w:fill="auto" w:val="clear"/>
            <w:vAlign w:val="center"/>
          </w:tcPr>
          <w:p>
            <w:pPr>
              <w:pStyle w:val="TableContents"/>
              <w:spacing w:before="0" w:after="283"/>
              <w:jc w:val="left"/>
              <w:rPr/>
            </w:pPr>
            <w:r>
              <w:rPr/>
              <w:t>(m)   “Company”</w:t>
            </w:r>
          </w:p>
        </w:tc>
        <w:tc>
          <w:tcPr>
            <w:tcW w:w="155" w:type="dxa"/>
            <w:tcBorders/>
            <w:shd w:fill="auto" w:val="clear"/>
            <w:vAlign w:val="center"/>
          </w:tcPr>
          <w:p>
            <w:pPr>
              <w:pStyle w:val="TableContents"/>
              <w:spacing w:before="0" w:after="283"/>
              <w:ind w:left="0" w:right="0" w:hanging="540"/>
              <w:jc w:val="right"/>
              <w:rPr/>
            </w:pPr>
            <w:r>
              <w:rPr/>
              <w:t>4</w:t>
            </w:r>
          </w:p>
        </w:tc>
      </w:tr>
      <w:tr>
        <w:trPr/>
        <w:tc>
          <w:tcPr>
            <w:tcW w:w="4750" w:type="dxa"/>
            <w:gridSpan w:val="2"/>
            <w:tcBorders/>
            <w:shd w:fill="auto" w:val="clear"/>
            <w:vAlign w:val="center"/>
          </w:tcPr>
          <w:p>
            <w:pPr>
              <w:pStyle w:val="TableContents"/>
              <w:spacing w:before="0" w:after="283"/>
              <w:jc w:val="left"/>
              <w:rPr/>
            </w:pPr>
            <w:r>
              <w:rPr/>
              <w:t>(n)   “Consultant”</w:t>
            </w:r>
          </w:p>
        </w:tc>
        <w:tc>
          <w:tcPr>
            <w:tcW w:w="155" w:type="dxa"/>
            <w:tcBorders/>
            <w:shd w:fill="auto" w:val="clear"/>
            <w:vAlign w:val="center"/>
          </w:tcPr>
          <w:p>
            <w:pPr>
              <w:pStyle w:val="TableContents"/>
              <w:spacing w:before="0" w:after="283"/>
              <w:ind w:left="0" w:right="0" w:hanging="540"/>
              <w:jc w:val="right"/>
              <w:rPr/>
            </w:pPr>
            <w:r>
              <w:rPr/>
              <w:t>4</w:t>
            </w:r>
          </w:p>
        </w:tc>
      </w:tr>
      <w:tr>
        <w:trPr/>
        <w:tc>
          <w:tcPr>
            <w:tcW w:w="4750" w:type="dxa"/>
            <w:gridSpan w:val="2"/>
            <w:tcBorders/>
            <w:shd w:fill="auto" w:val="clear"/>
            <w:vAlign w:val="center"/>
          </w:tcPr>
          <w:p>
            <w:pPr>
              <w:pStyle w:val="TableContents"/>
              <w:spacing w:before="0" w:after="283"/>
              <w:jc w:val="left"/>
              <w:rPr/>
            </w:pPr>
            <w:r>
              <w:rPr/>
              <w:t>(o)   “Disability”</w:t>
            </w:r>
          </w:p>
        </w:tc>
        <w:tc>
          <w:tcPr>
            <w:tcW w:w="155" w:type="dxa"/>
            <w:tcBorders/>
            <w:shd w:fill="auto" w:val="clear"/>
            <w:vAlign w:val="center"/>
          </w:tcPr>
          <w:p>
            <w:pPr>
              <w:pStyle w:val="TableContents"/>
              <w:spacing w:before="0" w:after="283"/>
              <w:ind w:left="0" w:right="0" w:hanging="540"/>
              <w:jc w:val="right"/>
              <w:rPr/>
            </w:pPr>
            <w:r>
              <w:rPr/>
              <w:t>4</w:t>
            </w:r>
          </w:p>
        </w:tc>
      </w:tr>
      <w:tr>
        <w:trPr/>
        <w:tc>
          <w:tcPr>
            <w:tcW w:w="4750" w:type="dxa"/>
            <w:gridSpan w:val="2"/>
            <w:tcBorders/>
            <w:shd w:fill="auto" w:val="clear"/>
            <w:vAlign w:val="center"/>
          </w:tcPr>
          <w:p>
            <w:pPr>
              <w:pStyle w:val="TableContents"/>
              <w:spacing w:before="0" w:after="283"/>
              <w:jc w:val="left"/>
              <w:rPr/>
            </w:pPr>
            <w:r>
              <w:rPr/>
              <w:t>(p)   “Effective Date”</w:t>
            </w:r>
          </w:p>
        </w:tc>
        <w:tc>
          <w:tcPr>
            <w:tcW w:w="155" w:type="dxa"/>
            <w:tcBorders/>
            <w:shd w:fill="auto" w:val="clear"/>
            <w:vAlign w:val="center"/>
          </w:tcPr>
          <w:p>
            <w:pPr>
              <w:pStyle w:val="TableContents"/>
              <w:spacing w:before="0" w:after="283"/>
              <w:ind w:left="0" w:right="0" w:hanging="540"/>
              <w:jc w:val="right"/>
              <w:rPr/>
            </w:pPr>
            <w:r>
              <w:rPr/>
              <w:t>4</w:t>
            </w:r>
          </w:p>
        </w:tc>
      </w:tr>
      <w:tr>
        <w:trPr/>
        <w:tc>
          <w:tcPr>
            <w:tcW w:w="4750" w:type="dxa"/>
            <w:gridSpan w:val="2"/>
            <w:tcBorders/>
            <w:shd w:fill="auto" w:val="clear"/>
            <w:vAlign w:val="center"/>
          </w:tcPr>
          <w:p>
            <w:pPr>
              <w:pStyle w:val="TableContents"/>
              <w:spacing w:before="0" w:after="283"/>
              <w:jc w:val="left"/>
              <w:rPr/>
            </w:pPr>
            <w:r>
              <w:rPr/>
              <w:t>(q)   “Employee”</w:t>
            </w:r>
          </w:p>
        </w:tc>
        <w:tc>
          <w:tcPr>
            <w:tcW w:w="155" w:type="dxa"/>
            <w:tcBorders/>
            <w:shd w:fill="auto" w:val="clear"/>
            <w:vAlign w:val="center"/>
          </w:tcPr>
          <w:p>
            <w:pPr>
              <w:pStyle w:val="TableContents"/>
              <w:spacing w:before="0" w:after="283"/>
              <w:ind w:left="0" w:right="0" w:hanging="540"/>
              <w:jc w:val="right"/>
              <w:rPr/>
            </w:pPr>
            <w:r>
              <w:rPr/>
              <w:t>4</w:t>
            </w:r>
          </w:p>
        </w:tc>
      </w:tr>
      <w:tr>
        <w:trPr/>
        <w:tc>
          <w:tcPr>
            <w:tcW w:w="4750" w:type="dxa"/>
            <w:gridSpan w:val="2"/>
            <w:tcBorders/>
            <w:shd w:fill="auto" w:val="clear"/>
            <w:vAlign w:val="center"/>
          </w:tcPr>
          <w:p>
            <w:pPr>
              <w:pStyle w:val="TableContents"/>
              <w:spacing w:before="0" w:after="283"/>
              <w:jc w:val="left"/>
              <w:rPr/>
            </w:pPr>
            <w:r>
              <w:rPr/>
              <w:t>(r)    “ESPP Addendum”</w:t>
            </w:r>
          </w:p>
        </w:tc>
        <w:tc>
          <w:tcPr>
            <w:tcW w:w="155" w:type="dxa"/>
            <w:tcBorders/>
            <w:shd w:fill="auto" w:val="clear"/>
            <w:vAlign w:val="center"/>
          </w:tcPr>
          <w:p>
            <w:pPr>
              <w:pStyle w:val="TableContents"/>
              <w:spacing w:before="0" w:after="283"/>
              <w:ind w:left="0" w:right="0" w:hanging="540"/>
              <w:jc w:val="right"/>
              <w:rPr/>
            </w:pPr>
            <w:r>
              <w:rPr/>
              <w:t>4</w:t>
            </w:r>
          </w:p>
        </w:tc>
      </w:tr>
      <w:tr>
        <w:trPr/>
        <w:tc>
          <w:tcPr>
            <w:tcW w:w="4750" w:type="dxa"/>
            <w:gridSpan w:val="2"/>
            <w:tcBorders/>
            <w:shd w:fill="auto" w:val="clear"/>
            <w:vAlign w:val="center"/>
          </w:tcPr>
          <w:p>
            <w:pPr>
              <w:pStyle w:val="TableContents"/>
              <w:spacing w:before="0" w:after="283"/>
              <w:jc w:val="left"/>
              <w:rPr/>
            </w:pPr>
            <w:r>
              <w:rPr/>
              <w:t>(s)   “Exchange Act”</w:t>
            </w:r>
          </w:p>
        </w:tc>
        <w:tc>
          <w:tcPr>
            <w:tcW w:w="155" w:type="dxa"/>
            <w:tcBorders/>
            <w:shd w:fill="auto" w:val="clear"/>
            <w:vAlign w:val="center"/>
          </w:tcPr>
          <w:p>
            <w:pPr>
              <w:pStyle w:val="TableContents"/>
              <w:spacing w:before="0" w:after="283"/>
              <w:ind w:left="0" w:right="0" w:hanging="540"/>
              <w:jc w:val="right"/>
              <w:rPr/>
            </w:pPr>
            <w:r>
              <w:rPr/>
              <w:t>4</w:t>
            </w:r>
          </w:p>
        </w:tc>
      </w:tr>
      <w:tr>
        <w:trPr/>
        <w:tc>
          <w:tcPr>
            <w:tcW w:w="4750" w:type="dxa"/>
            <w:gridSpan w:val="2"/>
            <w:tcBorders/>
            <w:shd w:fill="auto" w:val="clear"/>
            <w:vAlign w:val="center"/>
          </w:tcPr>
          <w:p>
            <w:pPr>
              <w:pStyle w:val="TableContents"/>
              <w:spacing w:before="0" w:after="283"/>
              <w:jc w:val="left"/>
              <w:rPr/>
            </w:pPr>
            <w:r>
              <w:rPr/>
              <w:t>(t)    “Exercise Price”</w:t>
            </w:r>
          </w:p>
        </w:tc>
        <w:tc>
          <w:tcPr>
            <w:tcW w:w="155" w:type="dxa"/>
            <w:tcBorders/>
            <w:shd w:fill="auto" w:val="clear"/>
            <w:vAlign w:val="center"/>
          </w:tcPr>
          <w:p>
            <w:pPr>
              <w:pStyle w:val="TableContents"/>
              <w:spacing w:before="0" w:after="283"/>
              <w:ind w:left="0" w:right="0" w:hanging="540"/>
              <w:jc w:val="right"/>
              <w:rPr/>
            </w:pPr>
            <w:r>
              <w:rPr/>
              <w:t>4</w:t>
            </w:r>
          </w:p>
        </w:tc>
      </w:tr>
      <w:tr>
        <w:trPr/>
        <w:tc>
          <w:tcPr>
            <w:tcW w:w="4750" w:type="dxa"/>
            <w:gridSpan w:val="2"/>
            <w:tcBorders/>
            <w:shd w:fill="auto" w:val="clear"/>
            <w:vAlign w:val="center"/>
          </w:tcPr>
          <w:p>
            <w:pPr>
              <w:pStyle w:val="TableContents"/>
              <w:spacing w:before="0" w:after="283"/>
              <w:jc w:val="left"/>
              <w:rPr/>
            </w:pPr>
            <w:r>
              <w:rPr/>
              <w:t>(u)   “Fair Market Value”</w:t>
            </w:r>
          </w:p>
        </w:tc>
        <w:tc>
          <w:tcPr>
            <w:tcW w:w="155" w:type="dxa"/>
            <w:tcBorders/>
            <w:shd w:fill="auto" w:val="clear"/>
            <w:vAlign w:val="center"/>
          </w:tcPr>
          <w:p>
            <w:pPr>
              <w:pStyle w:val="TableContents"/>
              <w:spacing w:before="0" w:after="283"/>
              <w:ind w:left="0" w:right="0" w:hanging="540"/>
              <w:jc w:val="right"/>
              <w:rPr/>
            </w:pPr>
            <w:r>
              <w:rPr/>
              <w:t>4</w:t>
            </w:r>
          </w:p>
        </w:tc>
      </w:tr>
      <w:tr>
        <w:trPr/>
        <w:tc>
          <w:tcPr>
            <w:tcW w:w="4750" w:type="dxa"/>
            <w:gridSpan w:val="2"/>
            <w:tcBorders/>
            <w:shd w:fill="auto" w:val="clear"/>
            <w:vAlign w:val="center"/>
          </w:tcPr>
          <w:p>
            <w:pPr>
              <w:pStyle w:val="TableContents"/>
              <w:spacing w:before="0" w:after="283"/>
              <w:jc w:val="left"/>
              <w:rPr/>
            </w:pPr>
            <w:r>
              <w:rPr/>
              <w:t>(v)   “ISO”</w:t>
            </w:r>
          </w:p>
        </w:tc>
        <w:tc>
          <w:tcPr>
            <w:tcW w:w="155" w:type="dxa"/>
            <w:tcBorders/>
            <w:shd w:fill="auto" w:val="clear"/>
            <w:vAlign w:val="center"/>
          </w:tcPr>
          <w:p>
            <w:pPr>
              <w:pStyle w:val="TableContents"/>
              <w:spacing w:before="0" w:after="283"/>
              <w:ind w:left="0" w:right="0" w:hanging="540"/>
              <w:jc w:val="right"/>
              <w:rPr/>
            </w:pPr>
            <w:r>
              <w:rPr/>
              <w:t>5</w:t>
            </w:r>
          </w:p>
        </w:tc>
      </w:tr>
      <w:tr>
        <w:trPr/>
        <w:tc>
          <w:tcPr>
            <w:tcW w:w="4750" w:type="dxa"/>
            <w:gridSpan w:val="2"/>
            <w:tcBorders/>
            <w:shd w:fill="auto" w:val="clear"/>
            <w:vAlign w:val="center"/>
          </w:tcPr>
          <w:p>
            <w:pPr>
              <w:pStyle w:val="TableContents"/>
              <w:spacing w:before="0" w:after="283"/>
              <w:jc w:val="left"/>
              <w:rPr/>
            </w:pPr>
            <w:r>
              <w:rPr/>
              <w:t>(w)   “Nonstatutory Option” or “NSO”</w:t>
            </w:r>
          </w:p>
        </w:tc>
        <w:tc>
          <w:tcPr>
            <w:tcW w:w="155" w:type="dxa"/>
            <w:tcBorders/>
            <w:shd w:fill="auto" w:val="clear"/>
            <w:vAlign w:val="center"/>
          </w:tcPr>
          <w:p>
            <w:pPr>
              <w:pStyle w:val="TableContents"/>
              <w:spacing w:before="0" w:after="283"/>
              <w:ind w:left="0" w:right="0" w:hanging="540"/>
              <w:jc w:val="right"/>
              <w:rPr/>
            </w:pPr>
            <w:r>
              <w:rPr/>
              <w:t>5</w:t>
            </w:r>
          </w:p>
        </w:tc>
      </w:tr>
      <w:tr>
        <w:trPr/>
        <w:tc>
          <w:tcPr>
            <w:tcW w:w="4750" w:type="dxa"/>
            <w:gridSpan w:val="2"/>
            <w:tcBorders/>
            <w:shd w:fill="auto" w:val="clear"/>
            <w:vAlign w:val="center"/>
          </w:tcPr>
          <w:p>
            <w:pPr>
              <w:pStyle w:val="TableContents"/>
              <w:spacing w:before="0" w:after="283"/>
              <w:jc w:val="left"/>
              <w:rPr/>
            </w:pPr>
            <w:r>
              <w:rPr/>
              <w:t>(x)    “Option”</w:t>
            </w:r>
          </w:p>
        </w:tc>
        <w:tc>
          <w:tcPr>
            <w:tcW w:w="155" w:type="dxa"/>
            <w:tcBorders/>
            <w:shd w:fill="auto" w:val="clear"/>
            <w:vAlign w:val="center"/>
          </w:tcPr>
          <w:p>
            <w:pPr>
              <w:pStyle w:val="TableContents"/>
              <w:spacing w:before="0" w:after="283"/>
              <w:ind w:left="0" w:right="0" w:hanging="540"/>
              <w:jc w:val="right"/>
              <w:rPr/>
            </w:pPr>
            <w:r>
              <w:rPr/>
              <w:t>5</w:t>
            </w:r>
          </w:p>
        </w:tc>
      </w:tr>
      <w:tr>
        <w:trPr/>
        <w:tc>
          <w:tcPr>
            <w:tcW w:w="4750" w:type="dxa"/>
            <w:gridSpan w:val="2"/>
            <w:tcBorders/>
            <w:shd w:fill="auto" w:val="clear"/>
            <w:vAlign w:val="center"/>
          </w:tcPr>
          <w:p>
            <w:pPr>
              <w:pStyle w:val="TableContents"/>
              <w:spacing w:before="0" w:after="283"/>
              <w:jc w:val="left"/>
              <w:rPr/>
            </w:pPr>
            <w:r>
              <w:rPr/>
              <w:t>(y)   “Outside Director”</w:t>
            </w:r>
          </w:p>
        </w:tc>
        <w:tc>
          <w:tcPr>
            <w:tcW w:w="155" w:type="dxa"/>
            <w:tcBorders/>
            <w:shd w:fill="auto" w:val="clear"/>
            <w:vAlign w:val="center"/>
          </w:tcPr>
          <w:p>
            <w:pPr>
              <w:pStyle w:val="TableContents"/>
              <w:spacing w:before="0" w:after="283"/>
              <w:ind w:left="0" w:right="0" w:hanging="540"/>
              <w:jc w:val="right"/>
              <w:rPr/>
            </w:pPr>
            <w:r>
              <w:rPr/>
              <w:t>5</w:t>
            </w:r>
          </w:p>
        </w:tc>
      </w:tr>
      <w:tr>
        <w:trPr/>
        <w:tc>
          <w:tcPr>
            <w:tcW w:w="4750" w:type="dxa"/>
            <w:gridSpan w:val="2"/>
            <w:tcBorders/>
            <w:shd w:fill="auto" w:val="clear"/>
            <w:vAlign w:val="center"/>
          </w:tcPr>
          <w:p>
            <w:pPr>
              <w:pStyle w:val="TableContents"/>
              <w:spacing w:before="0" w:after="283"/>
              <w:jc w:val="left"/>
              <w:rPr/>
            </w:pPr>
            <w:r>
              <w:rPr/>
              <w:t>(z)    “Parent”</w:t>
            </w:r>
          </w:p>
        </w:tc>
        <w:tc>
          <w:tcPr>
            <w:tcW w:w="155" w:type="dxa"/>
            <w:tcBorders/>
            <w:shd w:fill="auto" w:val="clear"/>
            <w:vAlign w:val="center"/>
          </w:tcPr>
          <w:p>
            <w:pPr>
              <w:pStyle w:val="TableContents"/>
              <w:spacing w:before="0" w:after="283"/>
              <w:ind w:left="0" w:right="0" w:hanging="540"/>
              <w:jc w:val="right"/>
              <w:rPr/>
            </w:pPr>
            <w:r>
              <w:rPr/>
              <w:t>5</w:t>
            </w:r>
          </w:p>
        </w:tc>
      </w:tr>
      <w:tr>
        <w:trPr/>
        <w:tc>
          <w:tcPr>
            <w:tcW w:w="4750" w:type="dxa"/>
            <w:gridSpan w:val="2"/>
            <w:tcBorders/>
            <w:shd w:fill="auto" w:val="clear"/>
            <w:vAlign w:val="center"/>
          </w:tcPr>
          <w:p>
            <w:pPr>
              <w:pStyle w:val="TableContents"/>
              <w:spacing w:before="0" w:after="283"/>
              <w:jc w:val="left"/>
              <w:rPr/>
            </w:pPr>
            <w:r>
              <w:rPr/>
              <w:t>(aa)  “Participant”</w:t>
            </w:r>
          </w:p>
        </w:tc>
        <w:tc>
          <w:tcPr>
            <w:tcW w:w="155" w:type="dxa"/>
            <w:tcBorders/>
            <w:shd w:fill="auto" w:val="clear"/>
            <w:vAlign w:val="center"/>
          </w:tcPr>
          <w:p>
            <w:pPr>
              <w:pStyle w:val="TableContents"/>
              <w:spacing w:before="0" w:after="283"/>
              <w:jc w:val="right"/>
              <w:rPr/>
            </w:pPr>
            <w:r>
              <w:rPr/>
              <w:t>5</w:t>
            </w:r>
          </w:p>
        </w:tc>
      </w:tr>
    </w:tbl>
    <w:p>
      <w:pPr>
        <w:pStyle w:val="TextBody"/>
        <w:rPr/>
      </w:pPr>
      <w:r>
        <w:rPr/>
        <w:t> </w:t>
      </w:r>
    </w:p>
    <w:p>
      <w:pPr>
        <w:pStyle w:val="TextBody"/>
        <w:jc w:val="center"/>
        <w:rPr/>
      </w:pPr>
      <w:r>
        <w:rPr/>
        <w:t>LUCID GROUP, INC.</w:t>
        <w:br/>
        <w:t xml:space="preserve">AMENDED AND RESTATED 2021 STOCK INCENTIVE PLAN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 </w:t>
      </w:r>
    </w:p>
    <w:p>
      <w:pPr>
        <w:pStyle w:val="TextBody"/>
        <w:spacing w:before="0" w:after="0"/>
        <w:ind w:left="0" w:right="0" w:hanging="0"/>
        <w:rPr/>
      </w:pPr>
      <w:r>
        <w:rPr/>
        <w:t> </w:t>
      </w:r>
    </w:p>
    <w:p>
      <w:pPr>
        <w:pStyle w:val="TextBody"/>
        <w:rPr/>
      </w:pPr>
      <w:r>
        <w:rPr/>
        <w:t> </w:t>
      </w:r>
    </w:p>
    <w:tbl>
      <w:tblPr>
        <w:tblW w:w="8325" w:type="dxa"/>
        <w:jc w:val="left"/>
        <w:tblInd w:w="0" w:type="dxa"/>
        <w:tblCellMar>
          <w:top w:w="0" w:type="dxa"/>
          <w:left w:w="0" w:type="dxa"/>
          <w:bottom w:w="0" w:type="dxa"/>
          <w:right w:w="0" w:type="dxa"/>
        </w:tblCellMar>
      </w:tblPr>
      <w:tblGrid>
        <w:gridCol w:w="980"/>
        <w:gridCol w:w="7070"/>
        <w:gridCol w:w="275"/>
      </w:tblGrid>
      <w:tr>
        <w:trPr/>
        <w:tc>
          <w:tcPr>
            <w:tcW w:w="8050" w:type="dxa"/>
            <w:gridSpan w:val="2"/>
            <w:tcBorders/>
            <w:shd w:fill="auto" w:val="clear"/>
            <w:vAlign w:val="center"/>
          </w:tcPr>
          <w:p>
            <w:pPr>
              <w:pStyle w:val="TableContents"/>
              <w:spacing w:before="0" w:after="283"/>
              <w:ind w:left="0" w:right="0" w:hanging="540"/>
              <w:jc w:val="left"/>
              <w:rPr/>
            </w:pPr>
            <w:r>
              <w:rPr/>
              <w:t>(bb)  “Plan”</w:t>
            </w:r>
          </w:p>
        </w:tc>
        <w:tc>
          <w:tcPr>
            <w:tcW w:w="275" w:type="dxa"/>
            <w:tcBorders/>
            <w:shd w:fill="auto" w:val="clear"/>
            <w:vAlign w:val="center"/>
          </w:tcPr>
          <w:p>
            <w:pPr>
              <w:pStyle w:val="TableContents"/>
              <w:spacing w:before="0" w:after="283"/>
              <w:ind w:left="0" w:right="0" w:hanging="540"/>
              <w:jc w:val="right"/>
              <w:rPr/>
            </w:pPr>
            <w:r>
              <w:rPr/>
              <w:t>5</w:t>
            </w:r>
          </w:p>
        </w:tc>
      </w:tr>
      <w:tr>
        <w:trPr/>
        <w:tc>
          <w:tcPr>
            <w:tcW w:w="8050" w:type="dxa"/>
            <w:gridSpan w:val="2"/>
            <w:tcBorders/>
            <w:shd w:fill="auto" w:val="clear"/>
            <w:vAlign w:val="center"/>
          </w:tcPr>
          <w:p>
            <w:pPr>
              <w:pStyle w:val="TableContents"/>
              <w:spacing w:before="0" w:after="283"/>
              <w:jc w:val="left"/>
              <w:rPr/>
            </w:pPr>
            <w:r>
              <w:rPr/>
              <w:t>(cc)  “Purchase Price”</w:t>
            </w:r>
          </w:p>
        </w:tc>
        <w:tc>
          <w:tcPr>
            <w:tcW w:w="275" w:type="dxa"/>
            <w:tcBorders/>
            <w:shd w:fill="auto" w:val="clear"/>
            <w:vAlign w:val="center"/>
          </w:tcPr>
          <w:p>
            <w:pPr>
              <w:pStyle w:val="TableContents"/>
              <w:spacing w:before="0" w:after="283"/>
              <w:ind w:left="0" w:right="0" w:hanging="540"/>
              <w:jc w:val="right"/>
              <w:rPr/>
            </w:pPr>
            <w:r>
              <w:rPr/>
              <w:t>5</w:t>
            </w:r>
          </w:p>
        </w:tc>
      </w:tr>
      <w:tr>
        <w:trPr/>
        <w:tc>
          <w:tcPr>
            <w:tcW w:w="8050" w:type="dxa"/>
            <w:gridSpan w:val="2"/>
            <w:tcBorders/>
            <w:shd w:fill="auto" w:val="clear"/>
            <w:vAlign w:val="center"/>
          </w:tcPr>
          <w:p>
            <w:pPr>
              <w:pStyle w:val="TableContents"/>
              <w:spacing w:before="0" w:after="283"/>
              <w:jc w:val="left"/>
              <w:rPr/>
            </w:pPr>
            <w:r>
              <w:rPr/>
              <w:t>(dd)  “Restatement Date”</w:t>
            </w:r>
          </w:p>
        </w:tc>
        <w:tc>
          <w:tcPr>
            <w:tcW w:w="275" w:type="dxa"/>
            <w:tcBorders/>
            <w:shd w:fill="auto" w:val="clear"/>
            <w:vAlign w:val="center"/>
          </w:tcPr>
          <w:p>
            <w:pPr>
              <w:pStyle w:val="TableContents"/>
              <w:spacing w:before="0" w:after="283"/>
              <w:ind w:left="0" w:right="0" w:hanging="540"/>
              <w:jc w:val="right"/>
              <w:rPr/>
            </w:pPr>
            <w:r>
              <w:rPr/>
              <w:t>5</w:t>
            </w:r>
          </w:p>
        </w:tc>
      </w:tr>
      <w:tr>
        <w:trPr/>
        <w:tc>
          <w:tcPr>
            <w:tcW w:w="8050" w:type="dxa"/>
            <w:gridSpan w:val="2"/>
            <w:tcBorders/>
            <w:shd w:fill="auto" w:val="clear"/>
            <w:vAlign w:val="center"/>
          </w:tcPr>
          <w:p>
            <w:pPr>
              <w:pStyle w:val="TableContents"/>
              <w:spacing w:before="0" w:after="283"/>
              <w:jc w:val="left"/>
              <w:rPr/>
            </w:pPr>
            <w:r>
              <w:rPr/>
              <w:t>(ee)   “Restricted Share”</w:t>
            </w:r>
          </w:p>
        </w:tc>
        <w:tc>
          <w:tcPr>
            <w:tcW w:w="275" w:type="dxa"/>
            <w:tcBorders/>
            <w:shd w:fill="auto" w:val="clear"/>
            <w:vAlign w:val="center"/>
          </w:tcPr>
          <w:p>
            <w:pPr>
              <w:pStyle w:val="TableContents"/>
              <w:spacing w:before="0" w:after="283"/>
              <w:ind w:left="0" w:right="0" w:hanging="540"/>
              <w:jc w:val="right"/>
              <w:rPr/>
            </w:pPr>
            <w:r>
              <w:rPr/>
              <w:t>5</w:t>
            </w:r>
          </w:p>
        </w:tc>
      </w:tr>
      <w:tr>
        <w:trPr/>
        <w:tc>
          <w:tcPr>
            <w:tcW w:w="8050" w:type="dxa"/>
            <w:gridSpan w:val="2"/>
            <w:tcBorders/>
            <w:shd w:fill="auto" w:val="clear"/>
            <w:vAlign w:val="center"/>
          </w:tcPr>
          <w:p>
            <w:pPr>
              <w:pStyle w:val="TableContents"/>
              <w:spacing w:before="0" w:after="283"/>
              <w:jc w:val="left"/>
              <w:rPr/>
            </w:pPr>
            <w:r>
              <w:rPr/>
              <w:t>(ff)   “Restricted Stock Unit”</w:t>
            </w:r>
          </w:p>
        </w:tc>
        <w:tc>
          <w:tcPr>
            <w:tcW w:w="275" w:type="dxa"/>
            <w:tcBorders/>
            <w:shd w:fill="auto" w:val="clear"/>
            <w:vAlign w:val="center"/>
          </w:tcPr>
          <w:p>
            <w:pPr>
              <w:pStyle w:val="TableContents"/>
              <w:spacing w:before="0" w:after="283"/>
              <w:ind w:left="0" w:right="0" w:hanging="540"/>
              <w:jc w:val="right"/>
              <w:rPr/>
            </w:pPr>
            <w:r>
              <w:rPr/>
              <w:t>5</w:t>
            </w:r>
          </w:p>
        </w:tc>
      </w:tr>
      <w:tr>
        <w:trPr/>
        <w:tc>
          <w:tcPr>
            <w:tcW w:w="8050" w:type="dxa"/>
            <w:gridSpan w:val="2"/>
            <w:tcBorders/>
            <w:shd w:fill="auto" w:val="clear"/>
            <w:vAlign w:val="center"/>
          </w:tcPr>
          <w:p>
            <w:pPr>
              <w:pStyle w:val="TableContents"/>
              <w:spacing w:before="0" w:after="283"/>
              <w:jc w:val="left"/>
              <w:rPr/>
            </w:pPr>
            <w:r>
              <w:rPr/>
              <w:t>(gg)  “SAR”</w:t>
            </w:r>
          </w:p>
        </w:tc>
        <w:tc>
          <w:tcPr>
            <w:tcW w:w="275" w:type="dxa"/>
            <w:tcBorders/>
            <w:shd w:fill="auto" w:val="clear"/>
            <w:vAlign w:val="center"/>
          </w:tcPr>
          <w:p>
            <w:pPr>
              <w:pStyle w:val="TableContents"/>
              <w:spacing w:before="0" w:after="283"/>
              <w:ind w:left="0" w:right="0" w:hanging="540"/>
              <w:jc w:val="right"/>
              <w:rPr/>
            </w:pPr>
            <w:r>
              <w:rPr/>
              <w:t>6</w:t>
            </w:r>
          </w:p>
        </w:tc>
      </w:tr>
      <w:tr>
        <w:trPr/>
        <w:tc>
          <w:tcPr>
            <w:tcW w:w="8050" w:type="dxa"/>
            <w:gridSpan w:val="2"/>
            <w:tcBorders/>
            <w:shd w:fill="auto" w:val="clear"/>
            <w:vAlign w:val="center"/>
          </w:tcPr>
          <w:p>
            <w:pPr>
              <w:pStyle w:val="TableContents"/>
              <w:spacing w:before="0" w:after="283"/>
              <w:jc w:val="left"/>
              <w:rPr/>
            </w:pPr>
            <w:r>
              <w:rPr/>
              <w:t>(hh)  “Section 409A”</w:t>
            </w:r>
          </w:p>
        </w:tc>
        <w:tc>
          <w:tcPr>
            <w:tcW w:w="275" w:type="dxa"/>
            <w:tcBorders/>
            <w:shd w:fill="auto" w:val="clear"/>
            <w:vAlign w:val="center"/>
          </w:tcPr>
          <w:p>
            <w:pPr>
              <w:pStyle w:val="TableContents"/>
              <w:spacing w:before="0" w:after="283"/>
              <w:ind w:left="0" w:right="0" w:hanging="540"/>
              <w:jc w:val="right"/>
              <w:rPr/>
            </w:pPr>
            <w:r>
              <w:rPr/>
              <w:t>6</w:t>
            </w:r>
          </w:p>
        </w:tc>
      </w:tr>
      <w:tr>
        <w:trPr/>
        <w:tc>
          <w:tcPr>
            <w:tcW w:w="8050" w:type="dxa"/>
            <w:gridSpan w:val="2"/>
            <w:tcBorders/>
            <w:shd w:fill="auto" w:val="clear"/>
            <w:vAlign w:val="center"/>
          </w:tcPr>
          <w:p>
            <w:pPr>
              <w:pStyle w:val="TableContents"/>
              <w:spacing w:before="0" w:after="283"/>
              <w:jc w:val="left"/>
              <w:rPr/>
            </w:pPr>
            <w:r>
              <w:rPr/>
              <w:t>(ii)    “Securities Act”</w:t>
            </w:r>
          </w:p>
        </w:tc>
        <w:tc>
          <w:tcPr>
            <w:tcW w:w="275" w:type="dxa"/>
            <w:tcBorders/>
            <w:shd w:fill="auto" w:val="clear"/>
            <w:vAlign w:val="center"/>
          </w:tcPr>
          <w:p>
            <w:pPr>
              <w:pStyle w:val="TableContents"/>
              <w:spacing w:before="0" w:after="283"/>
              <w:ind w:left="0" w:right="0" w:hanging="540"/>
              <w:jc w:val="right"/>
              <w:rPr/>
            </w:pPr>
            <w:r>
              <w:rPr/>
              <w:t>6</w:t>
            </w:r>
          </w:p>
        </w:tc>
      </w:tr>
      <w:tr>
        <w:trPr/>
        <w:tc>
          <w:tcPr>
            <w:tcW w:w="8050" w:type="dxa"/>
            <w:gridSpan w:val="2"/>
            <w:tcBorders/>
            <w:shd w:fill="auto" w:val="clear"/>
            <w:vAlign w:val="center"/>
          </w:tcPr>
          <w:p>
            <w:pPr>
              <w:pStyle w:val="TableContents"/>
              <w:spacing w:before="0" w:after="283"/>
              <w:jc w:val="left"/>
              <w:rPr/>
            </w:pPr>
            <w:r>
              <w:rPr/>
              <w:t>(jj)    “Service”</w:t>
            </w:r>
          </w:p>
        </w:tc>
        <w:tc>
          <w:tcPr>
            <w:tcW w:w="275" w:type="dxa"/>
            <w:tcBorders/>
            <w:shd w:fill="auto" w:val="clear"/>
            <w:vAlign w:val="center"/>
          </w:tcPr>
          <w:p>
            <w:pPr>
              <w:pStyle w:val="TableContents"/>
              <w:spacing w:before="0" w:after="283"/>
              <w:ind w:left="0" w:right="0" w:hanging="540"/>
              <w:jc w:val="right"/>
              <w:rPr/>
            </w:pPr>
            <w:r>
              <w:rPr/>
              <w:t>6</w:t>
            </w:r>
          </w:p>
        </w:tc>
      </w:tr>
      <w:tr>
        <w:trPr/>
        <w:tc>
          <w:tcPr>
            <w:tcW w:w="8050" w:type="dxa"/>
            <w:gridSpan w:val="2"/>
            <w:tcBorders/>
            <w:shd w:fill="auto" w:val="clear"/>
            <w:vAlign w:val="center"/>
          </w:tcPr>
          <w:p>
            <w:pPr>
              <w:pStyle w:val="TableContents"/>
              <w:spacing w:before="0" w:after="283"/>
              <w:jc w:val="left"/>
              <w:rPr/>
            </w:pPr>
            <w:r>
              <w:rPr/>
              <w:t>(kk)  “Share”</w:t>
            </w:r>
          </w:p>
        </w:tc>
        <w:tc>
          <w:tcPr>
            <w:tcW w:w="275" w:type="dxa"/>
            <w:tcBorders/>
            <w:shd w:fill="auto" w:val="clear"/>
            <w:vAlign w:val="center"/>
          </w:tcPr>
          <w:p>
            <w:pPr>
              <w:pStyle w:val="TableContents"/>
              <w:spacing w:before="0" w:after="283"/>
              <w:ind w:left="0" w:right="0" w:hanging="540"/>
              <w:jc w:val="right"/>
              <w:rPr/>
            </w:pPr>
            <w:r>
              <w:rPr/>
              <w:t>6</w:t>
            </w:r>
          </w:p>
        </w:tc>
      </w:tr>
      <w:tr>
        <w:trPr/>
        <w:tc>
          <w:tcPr>
            <w:tcW w:w="8050" w:type="dxa"/>
            <w:gridSpan w:val="2"/>
            <w:tcBorders/>
            <w:shd w:fill="auto" w:val="clear"/>
            <w:vAlign w:val="center"/>
          </w:tcPr>
          <w:p>
            <w:pPr>
              <w:pStyle w:val="TableContents"/>
              <w:spacing w:before="0" w:after="283"/>
              <w:jc w:val="left"/>
              <w:rPr/>
            </w:pPr>
            <w:r>
              <w:rPr/>
              <w:t>(ll)    “Stock”</w:t>
            </w:r>
          </w:p>
        </w:tc>
        <w:tc>
          <w:tcPr>
            <w:tcW w:w="275" w:type="dxa"/>
            <w:tcBorders/>
            <w:shd w:fill="auto" w:val="clear"/>
            <w:vAlign w:val="center"/>
          </w:tcPr>
          <w:p>
            <w:pPr>
              <w:pStyle w:val="TableContents"/>
              <w:spacing w:before="0" w:after="283"/>
              <w:ind w:left="0" w:right="0" w:hanging="540"/>
              <w:jc w:val="right"/>
              <w:rPr/>
            </w:pPr>
            <w:r>
              <w:rPr/>
              <w:t>6</w:t>
            </w:r>
          </w:p>
        </w:tc>
      </w:tr>
      <w:tr>
        <w:trPr/>
        <w:tc>
          <w:tcPr>
            <w:tcW w:w="8050" w:type="dxa"/>
            <w:gridSpan w:val="2"/>
            <w:tcBorders/>
            <w:shd w:fill="auto" w:val="clear"/>
            <w:vAlign w:val="center"/>
          </w:tcPr>
          <w:p>
            <w:pPr>
              <w:pStyle w:val="TableContents"/>
              <w:spacing w:before="0" w:after="283"/>
              <w:jc w:val="left"/>
              <w:rPr/>
            </w:pPr>
            <w:r>
              <w:rPr/>
              <w:t>(mm)“Stock Purchase Right”</w:t>
            </w:r>
          </w:p>
        </w:tc>
        <w:tc>
          <w:tcPr>
            <w:tcW w:w="275" w:type="dxa"/>
            <w:tcBorders/>
            <w:shd w:fill="auto" w:val="clear"/>
            <w:vAlign w:val="center"/>
          </w:tcPr>
          <w:p>
            <w:pPr>
              <w:pStyle w:val="TableContents"/>
              <w:spacing w:before="0" w:after="283"/>
              <w:ind w:left="0" w:right="0" w:hanging="540"/>
              <w:jc w:val="right"/>
              <w:rPr/>
            </w:pPr>
            <w:r>
              <w:rPr/>
              <w:t>6</w:t>
            </w:r>
          </w:p>
        </w:tc>
      </w:tr>
      <w:tr>
        <w:trPr/>
        <w:tc>
          <w:tcPr>
            <w:tcW w:w="8050" w:type="dxa"/>
            <w:gridSpan w:val="2"/>
            <w:tcBorders/>
            <w:shd w:fill="auto" w:val="clear"/>
            <w:vAlign w:val="center"/>
          </w:tcPr>
          <w:p>
            <w:pPr>
              <w:pStyle w:val="TableContents"/>
              <w:spacing w:before="0" w:after="283"/>
              <w:jc w:val="left"/>
              <w:rPr/>
            </w:pPr>
            <w:r>
              <w:rPr/>
              <w:t>(nn)  “Subsidiary”</w:t>
            </w:r>
          </w:p>
        </w:tc>
        <w:tc>
          <w:tcPr>
            <w:tcW w:w="275" w:type="dxa"/>
            <w:tcBorders/>
            <w:shd w:fill="auto" w:val="clear"/>
            <w:vAlign w:val="center"/>
          </w:tcPr>
          <w:p>
            <w:pPr>
              <w:pStyle w:val="TableContents"/>
              <w:spacing w:before="0" w:after="283"/>
              <w:ind w:left="0" w:right="0" w:hanging="360"/>
              <w:jc w:val="right"/>
              <w:rPr/>
            </w:pPr>
            <w:r>
              <w:rPr/>
              <w:t>6</w:t>
            </w:r>
          </w:p>
        </w:tc>
      </w:tr>
      <w:tr>
        <w:trPr/>
        <w:tc>
          <w:tcPr>
            <w:tcW w:w="980" w:type="dxa"/>
            <w:tcBorders/>
            <w:shd w:fill="auto" w:val="clear"/>
            <w:vAlign w:val="center"/>
          </w:tcPr>
          <w:p>
            <w:pPr>
              <w:pStyle w:val="TableContents"/>
              <w:spacing w:before="0" w:after="283"/>
              <w:ind w:left="0" w:right="0" w:hanging="360"/>
              <w:jc w:val="left"/>
              <w:rPr/>
            </w:pPr>
            <w:r>
              <w:rPr/>
              <w:t>Section 3.</w:t>
            </w:r>
          </w:p>
        </w:tc>
        <w:tc>
          <w:tcPr>
            <w:tcW w:w="7070" w:type="dxa"/>
            <w:tcBorders/>
            <w:shd w:fill="auto" w:val="clear"/>
            <w:vAlign w:val="center"/>
          </w:tcPr>
          <w:p>
            <w:pPr>
              <w:pStyle w:val="TableContents"/>
              <w:spacing w:before="0" w:after="283"/>
              <w:jc w:val="left"/>
              <w:rPr/>
            </w:pPr>
            <w:r>
              <w:rPr/>
              <w:t>ADMINISTRATION</w:t>
            </w:r>
          </w:p>
        </w:tc>
        <w:tc>
          <w:tcPr>
            <w:tcW w:w="275" w:type="dxa"/>
            <w:tcBorders/>
            <w:shd w:fill="auto" w:val="clear"/>
            <w:vAlign w:val="center"/>
          </w:tcPr>
          <w:p>
            <w:pPr>
              <w:pStyle w:val="TableContents"/>
              <w:spacing w:before="0" w:after="283"/>
              <w:ind w:left="0" w:right="0" w:hanging="540"/>
              <w:jc w:val="right"/>
              <w:rPr/>
            </w:pPr>
            <w:r>
              <w:rPr/>
              <w:t>6</w:t>
            </w:r>
          </w:p>
        </w:tc>
      </w:tr>
      <w:tr>
        <w:trPr/>
        <w:tc>
          <w:tcPr>
            <w:tcW w:w="8050" w:type="dxa"/>
            <w:gridSpan w:val="2"/>
            <w:tcBorders/>
            <w:shd w:fill="auto" w:val="clear"/>
            <w:vAlign w:val="center"/>
          </w:tcPr>
          <w:p>
            <w:pPr>
              <w:pStyle w:val="TableContents"/>
              <w:spacing w:before="0" w:after="283"/>
              <w:jc w:val="left"/>
              <w:rPr/>
            </w:pPr>
            <w:r>
              <w:rPr/>
              <w:t>(a)   Committee Composition</w:t>
            </w:r>
          </w:p>
        </w:tc>
        <w:tc>
          <w:tcPr>
            <w:tcW w:w="275" w:type="dxa"/>
            <w:tcBorders/>
            <w:shd w:fill="auto" w:val="clear"/>
            <w:vAlign w:val="center"/>
          </w:tcPr>
          <w:p>
            <w:pPr>
              <w:pStyle w:val="TableContents"/>
              <w:spacing w:before="0" w:after="283"/>
              <w:ind w:left="0" w:right="0" w:hanging="540"/>
              <w:jc w:val="right"/>
              <w:rPr/>
            </w:pPr>
            <w:r>
              <w:rPr/>
              <w:t>6</w:t>
            </w:r>
          </w:p>
        </w:tc>
      </w:tr>
      <w:tr>
        <w:trPr/>
        <w:tc>
          <w:tcPr>
            <w:tcW w:w="8050" w:type="dxa"/>
            <w:gridSpan w:val="2"/>
            <w:tcBorders/>
            <w:shd w:fill="auto" w:val="clear"/>
            <w:vAlign w:val="center"/>
          </w:tcPr>
          <w:p>
            <w:pPr>
              <w:pStyle w:val="TableContents"/>
              <w:spacing w:before="0" w:after="283"/>
              <w:jc w:val="left"/>
              <w:rPr/>
            </w:pPr>
            <w:r>
              <w:rPr/>
              <w:t>(b)   Committee Appointment</w:t>
            </w:r>
          </w:p>
        </w:tc>
        <w:tc>
          <w:tcPr>
            <w:tcW w:w="275" w:type="dxa"/>
            <w:tcBorders/>
            <w:shd w:fill="auto" w:val="clear"/>
            <w:vAlign w:val="center"/>
          </w:tcPr>
          <w:p>
            <w:pPr>
              <w:pStyle w:val="TableContents"/>
              <w:spacing w:before="0" w:after="283"/>
              <w:ind w:left="0" w:right="0" w:hanging="540"/>
              <w:jc w:val="right"/>
              <w:rPr/>
            </w:pPr>
            <w:r>
              <w:rPr/>
              <w:t>7</w:t>
            </w:r>
          </w:p>
        </w:tc>
      </w:tr>
      <w:tr>
        <w:trPr/>
        <w:tc>
          <w:tcPr>
            <w:tcW w:w="8050" w:type="dxa"/>
            <w:gridSpan w:val="2"/>
            <w:tcBorders/>
            <w:shd w:fill="auto" w:val="clear"/>
            <w:vAlign w:val="center"/>
          </w:tcPr>
          <w:p>
            <w:pPr>
              <w:pStyle w:val="TableContents"/>
              <w:spacing w:before="0" w:after="283"/>
              <w:jc w:val="left"/>
              <w:rPr/>
            </w:pPr>
            <w:r>
              <w:rPr/>
              <w:t>(c)   Committee Responsibilities</w:t>
            </w:r>
          </w:p>
        </w:tc>
        <w:tc>
          <w:tcPr>
            <w:tcW w:w="275" w:type="dxa"/>
            <w:tcBorders/>
            <w:shd w:fill="auto" w:val="clear"/>
            <w:vAlign w:val="center"/>
          </w:tcPr>
          <w:p>
            <w:pPr>
              <w:pStyle w:val="TableContents"/>
              <w:spacing w:before="0" w:after="283"/>
              <w:ind w:left="0" w:right="0" w:hanging="360"/>
              <w:jc w:val="right"/>
              <w:rPr/>
            </w:pPr>
            <w:r>
              <w:rPr/>
              <w:t>7</w:t>
            </w:r>
          </w:p>
        </w:tc>
      </w:tr>
      <w:tr>
        <w:trPr/>
        <w:tc>
          <w:tcPr>
            <w:tcW w:w="980" w:type="dxa"/>
            <w:tcBorders/>
            <w:shd w:fill="auto" w:val="clear"/>
            <w:vAlign w:val="center"/>
          </w:tcPr>
          <w:p>
            <w:pPr>
              <w:pStyle w:val="TableContents"/>
              <w:spacing w:before="0" w:after="283"/>
              <w:ind w:left="0" w:right="0" w:hanging="360"/>
              <w:jc w:val="left"/>
              <w:rPr/>
            </w:pPr>
            <w:r>
              <w:rPr/>
              <w:t>Section 4.</w:t>
            </w:r>
          </w:p>
        </w:tc>
        <w:tc>
          <w:tcPr>
            <w:tcW w:w="7070" w:type="dxa"/>
            <w:tcBorders/>
            <w:shd w:fill="auto" w:val="clear"/>
            <w:vAlign w:val="center"/>
          </w:tcPr>
          <w:p>
            <w:pPr>
              <w:pStyle w:val="TableContents"/>
              <w:spacing w:before="0" w:after="283"/>
              <w:jc w:val="left"/>
              <w:rPr/>
            </w:pPr>
            <w:r>
              <w:rPr/>
              <w:t>ELIGIBILITY</w:t>
            </w:r>
          </w:p>
        </w:tc>
        <w:tc>
          <w:tcPr>
            <w:tcW w:w="275" w:type="dxa"/>
            <w:tcBorders/>
            <w:shd w:fill="auto" w:val="clear"/>
            <w:vAlign w:val="center"/>
          </w:tcPr>
          <w:p>
            <w:pPr>
              <w:pStyle w:val="TableContents"/>
              <w:spacing w:before="0" w:after="283"/>
              <w:ind w:left="0" w:right="0" w:hanging="540"/>
              <w:jc w:val="right"/>
              <w:rPr/>
            </w:pPr>
            <w:r>
              <w:rPr/>
              <w:t>8</w:t>
            </w:r>
          </w:p>
        </w:tc>
      </w:tr>
      <w:tr>
        <w:trPr/>
        <w:tc>
          <w:tcPr>
            <w:tcW w:w="8050" w:type="dxa"/>
            <w:gridSpan w:val="2"/>
            <w:tcBorders/>
            <w:shd w:fill="auto" w:val="clear"/>
            <w:vAlign w:val="center"/>
          </w:tcPr>
          <w:p>
            <w:pPr>
              <w:pStyle w:val="TableContents"/>
              <w:spacing w:before="0" w:after="283"/>
              <w:jc w:val="left"/>
              <w:rPr/>
            </w:pPr>
            <w:r>
              <w:rPr/>
              <w:t>(a)   General Rule</w:t>
            </w:r>
          </w:p>
        </w:tc>
        <w:tc>
          <w:tcPr>
            <w:tcW w:w="275" w:type="dxa"/>
            <w:tcBorders/>
            <w:shd w:fill="auto" w:val="clear"/>
            <w:vAlign w:val="center"/>
          </w:tcPr>
          <w:p>
            <w:pPr>
              <w:pStyle w:val="TableContents"/>
              <w:spacing w:before="0" w:after="283"/>
              <w:ind w:left="0" w:right="0" w:hanging="540"/>
              <w:jc w:val="right"/>
              <w:rPr/>
            </w:pPr>
            <w:r>
              <w:rPr/>
              <w:t>8</w:t>
            </w:r>
          </w:p>
        </w:tc>
      </w:tr>
      <w:tr>
        <w:trPr/>
        <w:tc>
          <w:tcPr>
            <w:tcW w:w="8050" w:type="dxa"/>
            <w:gridSpan w:val="2"/>
            <w:tcBorders/>
            <w:shd w:fill="auto" w:val="clear"/>
            <w:vAlign w:val="center"/>
          </w:tcPr>
          <w:p>
            <w:pPr>
              <w:pStyle w:val="TableContents"/>
              <w:spacing w:before="0" w:after="283"/>
              <w:jc w:val="left"/>
              <w:rPr/>
            </w:pPr>
            <w:r>
              <w:rPr/>
              <w:t>(b)   Ten-Percent Stockholders</w:t>
            </w:r>
          </w:p>
        </w:tc>
        <w:tc>
          <w:tcPr>
            <w:tcW w:w="275" w:type="dxa"/>
            <w:tcBorders/>
            <w:shd w:fill="auto" w:val="clear"/>
            <w:vAlign w:val="center"/>
          </w:tcPr>
          <w:p>
            <w:pPr>
              <w:pStyle w:val="TableContents"/>
              <w:spacing w:before="0" w:after="283"/>
              <w:ind w:left="0" w:right="0" w:hanging="540"/>
              <w:jc w:val="right"/>
              <w:rPr/>
            </w:pPr>
            <w:r>
              <w:rPr/>
              <w:t>8</w:t>
            </w:r>
          </w:p>
        </w:tc>
      </w:tr>
      <w:tr>
        <w:trPr/>
        <w:tc>
          <w:tcPr>
            <w:tcW w:w="8050" w:type="dxa"/>
            <w:gridSpan w:val="2"/>
            <w:tcBorders/>
            <w:shd w:fill="auto" w:val="clear"/>
            <w:vAlign w:val="center"/>
          </w:tcPr>
          <w:p>
            <w:pPr>
              <w:pStyle w:val="TableContents"/>
              <w:spacing w:before="0" w:after="283"/>
              <w:jc w:val="left"/>
              <w:rPr/>
            </w:pPr>
            <w:r>
              <w:rPr/>
              <w:t>(c)   Attribution Rules</w:t>
            </w:r>
          </w:p>
        </w:tc>
        <w:tc>
          <w:tcPr>
            <w:tcW w:w="275" w:type="dxa"/>
            <w:tcBorders/>
            <w:shd w:fill="auto" w:val="clear"/>
            <w:vAlign w:val="center"/>
          </w:tcPr>
          <w:p>
            <w:pPr>
              <w:pStyle w:val="TableContents"/>
              <w:spacing w:before="0" w:after="283"/>
              <w:ind w:left="0" w:right="0" w:hanging="540"/>
              <w:jc w:val="right"/>
              <w:rPr/>
            </w:pPr>
            <w:r>
              <w:rPr/>
              <w:t>8</w:t>
            </w:r>
          </w:p>
        </w:tc>
      </w:tr>
      <w:tr>
        <w:trPr/>
        <w:tc>
          <w:tcPr>
            <w:tcW w:w="8050" w:type="dxa"/>
            <w:gridSpan w:val="2"/>
            <w:tcBorders/>
            <w:shd w:fill="auto" w:val="clear"/>
            <w:vAlign w:val="center"/>
          </w:tcPr>
          <w:p>
            <w:pPr>
              <w:pStyle w:val="TableContents"/>
              <w:spacing w:before="0" w:after="283"/>
              <w:jc w:val="left"/>
              <w:rPr/>
            </w:pPr>
            <w:r>
              <w:rPr/>
              <w:t>(d)   Outstanding Stock</w:t>
            </w:r>
          </w:p>
        </w:tc>
        <w:tc>
          <w:tcPr>
            <w:tcW w:w="275" w:type="dxa"/>
            <w:tcBorders/>
            <w:shd w:fill="auto" w:val="clear"/>
            <w:vAlign w:val="center"/>
          </w:tcPr>
          <w:p>
            <w:pPr>
              <w:pStyle w:val="TableContents"/>
              <w:spacing w:before="0" w:after="283"/>
              <w:ind w:left="0" w:right="0" w:hanging="360"/>
              <w:jc w:val="right"/>
              <w:rPr/>
            </w:pPr>
            <w:r>
              <w:rPr/>
              <w:t>8</w:t>
            </w:r>
          </w:p>
        </w:tc>
      </w:tr>
      <w:tr>
        <w:trPr/>
        <w:tc>
          <w:tcPr>
            <w:tcW w:w="980" w:type="dxa"/>
            <w:tcBorders/>
            <w:shd w:fill="auto" w:val="clear"/>
            <w:vAlign w:val="center"/>
          </w:tcPr>
          <w:p>
            <w:pPr>
              <w:pStyle w:val="TableContents"/>
              <w:spacing w:before="0" w:after="283"/>
              <w:ind w:left="0" w:right="0" w:hanging="360"/>
              <w:jc w:val="left"/>
              <w:rPr/>
            </w:pPr>
            <w:r>
              <w:rPr/>
              <w:t>Section 5.</w:t>
            </w:r>
          </w:p>
        </w:tc>
        <w:tc>
          <w:tcPr>
            <w:tcW w:w="7070" w:type="dxa"/>
            <w:tcBorders/>
            <w:shd w:fill="auto" w:val="clear"/>
            <w:vAlign w:val="center"/>
          </w:tcPr>
          <w:p>
            <w:pPr>
              <w:pStyle w:val="TableContents"/>
              <w:spacing w:before="0" w:after="283"/>
              <w:jc w:val="left"/>
              <w:rPr/>
            </w:pPr>
            <w:r>
              <w:rPr/>
              <w:t>STOCK SUBJECT TO PLAN; DIRECTOR COMPENSATION LIMIT</w:t>
            </w:r>
          </w:p>
        </w:tc>
        <w:tc>
          <w:tcPr>
            <w:tcW w:w="275" w:type="dxa"/>
            <w:tcBorders/>
            <w:shd w:fill="auto" w:val="clear"/>
            <w:vAlign w:val="center"/>
          </w:tcPr>
          <w:p>
            <w:pPr>
              <w:pStyle w:val="TableContents"/>
              <w:spacing w:before="0" w:after="283"/>
              <w:ind w:left="0" w:right="0" w:hanging="540"/>
              <w:jc w:val="right"/>
              <w:rPr/>
            </w:pPr>
            <w:r>
              <w:rPr/>
              <w:t>9</w:t>
            </w:r>
          </w:p>
        </w:tc>
      </w:tr>
      <w:tr>
        <w:trPr/>
        <w:tc>
          <w:tcPr>
            <w:tcW w:w="8050" w:type="dxa"/>
            <w:gridSpan w:val="2"/>
            <w:tcBorders/>
            <w:shd w:fill="auto" w:val="clear"/>
            <w:vAlign w:val="center"/>
          </w:tcPr>
          <w:p>
            <w:pPr>
              <w:pStyle w:val="TableContents"/>
              <w:spacing w:before="0" w:after="283"/>
              <w:jc w:val="left"/>
              <w:rPr/>
            </w:pPr>
            <w:r>
              <w:rPr/>
              <w:t>(a)   Basic Limitation</w:t>
            </w:r>
          </w:p>
        </w:tc>
        <w:tc>
          <w:tcPr>
            <w:tcW w:w="275" w:type="dxa"/>
            <w:tcBorders/>
            <w:shd w:fill="auto" w:val="clear"/>
            <w:vAlign w:val="center"/>
          </w:tcPr>
          <w:p>
            <w:pPr>
              <w:pStyle w:val="TableContents"/>
              <w:spacing w:before="0" w:after="283"/>
              <w:ind w:left="0" w:right="0" w:hanging="540"/>
              <w:jc w:val="right"/>
              <w:rPr/>
            </w:pPr>
            <w:r>
              <w:rPr/>
              <w:t>9</w:t>
            </w:r>
          </w:p>
        </w:tc>
      </w:tr>
      <w:tr>
        <w:trPr/>
        <w:tc>
          <w:tcPr>
            <w:tcW w:w="8050" w:type="dxa"/>
            <w:gridSpan w:val="2"/>
            <w:tcBorders/>
            <w:shd w:fill="auto" w:val="clear"/>
            <w:vAlign w:val="center"/>
          </w:tcPr>
          <w:p>
            <w:pPr>
              <w:pStyle w:val="TableContents"/>
              <w:spacing w:before="0" w:after="283"/>
              <w:jc w:val="left"/>
              <w:rPr/>
            </w:pPr>
            <w:r>
              <w:rPr/>
              <w:t>(b)   Additional Shares</w:t>
            </w:r>
          </w:p>
        </w:tc>
        <w:tc>
          <w:tcPr>
            <w:tcW w:w="275" w:type="dxa"/>
            <w:tcBorders/>
            <w:shd w:fill="auto" w:val="clear"/>
            <w:vAlign w:val="center"/>
          </w:tcPr>
          <w:p>
            <w:pPr>
              <w:pStyle w:val="TableContents"/>
              <w:spacing w:before="0" w:after="283"/>
              <w:ind w:left="0" w:right="0" w:hanging="540"/>
              <w:jc w:val="right"/>
              <w:rPr/>
            </w:pPr>
            <w:r>
              <w:rPr/>
              <w:t>9</w:t>
            </w:r>
          </w:p>
        </w:tc>
      </w:tr>
      <w:tr>
        <w:trPr/>
        <w:tc>
          <w:tcPr>
            <w:tcW w:w="8050" w:type="dxa"/>
            <w:gridSpan w:val="2"/>
            <w:tcBorders/>
            <w:shd w:fill="auto" w:val="clear"/>
            <w:vAlign w:val="center"/>
          </w:tcPr>
          <w:p>
            <w:pPr>
              <w:pStyle w:val="TableContents"/>
              <w:spacing w:before="0" w:after="283"/>
              <w:jc w:val="left"/>
              <w:rPr/>
            </w:pPr>
            <w:r>
              <w:rPr/>
              <w:t>(c)   Substitution and Assumption of Awards</w:t>
            </w:r>
          </w:p>
        </w:tc>
        <w:tc>
          <w:tcPr>
            <w:tcW w:w="275" w:type="dxa"/>
            <w:tcBorders/>
            <w:shd w:fill="auto" w:val="clear"/>
            <w:vAlign w:val="center"/>
          </w:tcPr>
          <w:p>
            <w:pPr>
              <w:pStyle w:val="TableContents"/>
              <w:spacing w:before="0" w:after="283"/>
              <w:ind w:left="0" w:right="0" w:hanging="540"/>
              <w:jc w:val="right"/>
              <w:rPr/>
            </w:pPr>
            <w:r>
              <w:rPr/>
              <w:t>10</w:t>
            </w:r>
          </w:p>
        </w:tc>
      </w:tr>
      <w:tr>
        <w:trPr/>
        <w:tc>
          <w:tcPr>
            <w:tcW w:w="8050" w:type="dxa"/>
            <w:gridSpan w:val="2"/>
            <w:tcBorders/>
            <w:shd w:fill="auto" w:val="clear"/>
            <w:vAlign w:val="center"/>
          </w:tcPr>
          <w:p>
            <w:pPr>
              <w:pStyle w:val="TableContents"/>
              <w:spacing w:before="0" w:after="283"/>
              <w:jc w:val="left"/>
              <w:rPr/>
            </w:pPr>
            <w:r>
              <w:rPr/>
              <w:t>(d)   Outside Director Compensation Limit</w:t>
            </w:r>
          </w:p>
        </w:tc>
        <w:tc>
          <w:tcPr>
            <w:tcW w:w="275" w:type="dxa"/>
            <w:tcBorders/>
            <w:shd w:fill="auto" w:val="clear"/>
            <w:vAlign w:val="center"/>
          </w:tcPr>
          <w:p>
            <w:pPr>
              <w:pStyle w:val="TableContents"/>
              <w:spacing w:before="0" w:after="283"/>
              <w:ind w:left="0" w:right="0" w:hanging="360"/>
              <w:jc w:val="right"/>
              <w:rPr/>
            </w:pPr>
            <w:r>
              <w:rPr/>
              <w:t>10</w:t>
            </w:r>
          </w:p>
        </w:tc>
      </w:tr>
      <w:tr>
        <w:trPr/>
        <w:tc>
          <w:tcPr>
            <w:tcW w:w="980" w:type="dxa"/>
            <w:tcBorders/>
            <w:shd w:fill="auto" w:val="clear"/>
            <w:vAlign w:val="center"/>
          </w:tcPr>
          <w:p>
            <w:pPr>
              <w:pStyle w:val="TableContents"/>
              <w:spacing w:before="0" w:after="283"/>
              <w:ind w:left="0" w:right="0" w:hanging="360"/>
              <w:jc w:val="left"/>
              <w:rPr/>
            </w:pPr>
            <w:r>
              <w:rPr/>
              <w:t>Section 6.</w:t>
            </w:r>
          </w:p>
        </w:tc>
        <w:tc>
          <w:tcPr>
            <w:tcW w:w="7070" w:type="dxa"/>
            <w:tcBorders/>
            <w:shd w:fill="auto" w:val="clear"/>
            <w:vAlign w:val="center"/>
          </w:tcPr>
          <w:p>
            <w:pPr>
              <w:pStyle w:val="TableContents"/>
              <w:spacing w:before="0" w:after="283"/>
              <w:jc w:val="left"/>
              <w:rPr/>
            </w:pPr>
            <w:r>
              <w:rPr/>
              <w:t>RESTRICTED SHARES</w:t>
            </w:r>
          </w:p>
        </w:tc>
        <w:tc>
          <w:tcPr>
            <w:tcW w:w="275" w:type="dxa"/>
            <w:tcBorders/>
            <w:shd w:fill="auto" w:val="clear"/>
            <w:vAlign w:val="center"/>
          </w:tcPr>
          <w:p>
            <w:pPr>
              <w:pStyle w:val="TableContents"/>
              <w:spacing w:before="0" w:after="283"/>
              <w:ind w:left="0" w:right="0" w:hanging="540"/>
              <w:jc w:val="right"/>
              <w:rPr/>
            </w:pPr>
            <w:r>
              <w:rPr/>
              <w:t>10</w:t>
            </w:r>
          </w:p>
        </w:tc>
      </w:tr>
      <w:tr>
        <w:trPr/>
        <w:tc>
          <w:tcPr>
            <w:tcW w:w="8050" w:type="dxa"/>
            <w:gridSpan w:val="2"/>
            <w:tcBorders/>
            <w:shd w:fill="auto" w:val="clear"/>
            <w:vAlign w:val="center"/>
          </w:tcPr>
          <w:p>
            <w:pPr>
              <w:pStyle w:val="TableContents"/>
              <w:spacing w:before="0" w:after="283"/>
              <w:jc w:val="left"/>
              <w:rPr/>
            </w:pPr>
            <w:r>
              <w:rPr/>
              <w:t>(a)   Restricted Share Award Agreement</w:t>
            </w:r>
          </w:p>
        </w:tc>
        <w:tc>
          <w:tcPr>
            <w:tcW w:w="275" w:type="dxa"/>
            <w:tcBorders/>
            <w:shd w:fill="auto" w:val="clear"/>
            <w:vAlign w:val="center"/>
          </w:tcPr>
          <w:p>
            <w:pPr>
              <w:pStyle w:val="TableContents"/>
              <w:spacing w:before="0" w:after="283"/>
              <w:ind w:left="0" w:right="0" w:hanging="540"/>
              <w:jc w:val="right"/>
              <w:rPr/>
            </w:pPr>
            <w:r>
              <w:rPr/>
              <w:t>10</w:t>
            </w:r>
          </w:p>
        </w:tc>
      </w:tr>
      <w:tr>
        <w:trPr/>
        <w:tc>
          <w:tcPr>
            <w:tcW w:w="8050" w:type="dxa"/>
            <w:gridSpan w:val="2"/>
            <w:tcBorders/>
            <w:shd w:fill="auto" w:val="clear"/>
            <w:vAlign w:val="center"/>
          </w:tcPr>
          <w:p>
            <w:pPr>
              <w:pStyle w:val="TableContents"/>
              <w:spacing w:before="0" w:after="283"/>
              <w:jc w:val="left"/>
              <w:rPr/>
            </w:pPr>
            <w:r>
              <w:rPr/>
              <w:t>(b)   Payment for Awards</w:t>
            </w:r>
          </w:p>
        </w:tc>
        <w:tc>
          <w:tcPr>
            <w:tcW w:w="275" w:type="dxa"/>
            <w:tcBorders/>
            <w:shd w:fill="auto" w:val="clear"/>
            <w:vAlign w:val="center"/>
          </w:tcPr>
          <w:p>
            <w:pPr>
              <w:pStyle w:val="TableContents"/>
              <w:spacing w:before="0" w:after="283"/>
              <w:ind w:left="0" w:right="0" w:hanging="540"/>
              <w:jc w:val="right"/>
              <w:rPr/>
            </w:pPr>
            <w:r>
              <w:rPr/>
              <w:t>11</w:t>
            </w:r>
          </w:p>
        </w:tc>
      </w:tr>
      <w:tr>
        <w:trPr/>
        <w:tc>
          <w:tcPr>
            <w:tcW w:w="8050" w:type="dxa"/>
            <w:gridSpan w:val="2"/>
            <w:tcBorders/>
            <w:shd w:fill="auto" w:val="clear"/>
            <w:vAlign w:val="center"/>
          </w:tcPr>
          <w:p>
            <w:pPr>
              <w:pStyle w:val="TableContents"/>
              <w:spacing w:before="0" w:after="283"/>
              <w:jc w:val="left"/>
              <w:rPr/>
            </w:pPr>
            <w:r>
              <w:rPr/>
              <w:t>(c)   Vesting</w:t>
            </w:r>
          </w:p>
        </w:tc>
        <w:tc>
          <w:tcPr>
            <w:tcW w:w="275" w:type="dxa"/>
            <w:tcBorders/>
            <w:shd w:fill="auto" w:val="clear"/>
            <w:vAlign w:val="center"/>
          </w:tcPr>
          <w:p>
            <w:pPr>
              <w:pStyle w:val="TableContents"/>
              <w:spacing w:before="0" w:after="283"/>
              <w:jc w:val="right"/>
              <w:rPr/>
            </w:pPr>
            <w:r>
              <w:rPr/>
              <w:t>11</w:t>
            </w:r>
          </w:p>
        </w:tc>
      </w:tr>
    </w:tbl>
    <w:p>
      <w:pPr>
        <w:pStyle w:val="TextBody"/>
        <w:rPr/>
      </w:pPr>
      <w:r>
        <w:rPr/>
        <w:t> </w:t>
      </w:r>
    </w:p>
    <w:p>
      <w:pPr>
        <w:pStyle w:val="TextBody"/>
        <w:jc w:val="center"/>
        <w:rPr/>
      </w:pPr>
      <w:r>
        <w:rPr/>
        <w:t xml:space="preserve">LUCID GROUP, INC. </w:t>
        <w:br/>
        <w:t xml:space="preserve">SECOND AMENDED AND RESTATED 2021 STOCK INCENTIVE PLAN </w:t>
      </w:r>
    </w:p>
    <w:p>
      <w:pPr>
        <w:pStyle w:val="TextBody"/>
        <w:spacing w:before="0" w:after="0"/>
        <w:jc w:val="center"/>
        <w:rPr>
          <w:bdr w:val="single" w:sz="8" w:space="1" w:color="000000"/>
        </w:rPr>
      </w:pPr>
      <w:r>
        <w:rPr>
          <w:bdr w:val="single" w:sz="8" w:space="1" w:color="000000"/>
        </w:rPr>
        <w:t>ii </w:t>
      </w:r>
    </w:p>
    <w:p>
      <w:pPr>
        <w:pStyle w:val="TextBody"/>
        <w:spacing w:before="0" w:after="0"/>
        <w:ind w:left="0" w:right="0" w:hanging="0"/>
        <w:rPr/>
      </w:pPr>
      <w:r>
        <w:rPr/>
        <w:t> </w:t>
      </w:r>
    </w:p>
    <w:p>
      <w:pPr>
        <w:pStyle w:val="TextBody"/>
        <w:rPr/>
      </w:pPr>
      <w:r>
        <w:rPr/>
        <w:t> </w:t>
      </w:r>
    </w:p>
    <w:tbl>
      <w:tblPr>
        <w:tblW w:w="5715" w:type="dxa"/>
        <w:jc w:val="left"/>
        <w:tblInd w:w="0" w:type="dxa"/>
        <w:tblCellMar>
          <w:top w:w="0" w:type="dxa"/>
          <w:left w:w="0" w:type="dxa"/>
          <w:bottom w:w="0" w:type="dxa"/>
          <w:right w:w="0" w:type="dxa"/>
        </w:tblCellMar>
      </w:tblPr>
      <w:tblGrid>
        <w:gridCol w:w="980"/>
        <w:gridCol w:w="4460"/>
        <w:gridCol w:w="275"/>
      </w:tblGrid>
      <w:tr>
        <w:trPr/>
        <w:tc>
          <w:tcPr>
            <w:tcW w:w="5440" w:type="dxa"/>
            <w:gridSpan w:val="2"/>
            <w:tcBorders/>
            <w:shd w:fill="auto" w:val="clear"/>
            <w:vAlign w:val="center"/>
          </w:tcPr>
          <w:p>
            <w:pPr>
              <w:pStyle w:val="TableContents"/>
              <w:spacing w:before="0" w:after="283"/>
              <w:ind w:left="0" w:right="0" w:hanging="540"/>
              <w:jc w:val="left"/>
              <w:rPr/>
            </w:pPr>
            <w:r>
              <w:rPr/>
              <w:t>(d)   Voting and Dividend Rights</w:t>
            </w:r>
          </w:p>
        </w:tc>
        <w:tc>
          <w:tcPr>
            <w:tcW w:w="275" w:type="dxa"/>
            <w:tcBorders/>
            <w:shd w:fill="auto" w:val="clear"/>
            <w:vAlign w:val="center"/>
          </w:tcPr>
          <w:p>
            <w:pPr>
              <w:pStyle w:val="TableContents"/>
              <w:spacing w:before="0" w:after="283"/>
              <w:ind w:left="0" w:right="0" w:hanging="540"/>
              <w:jc w:val="right"/>
              <w:rPr/>
            </w:pPr>
            <w:r>
              <w:rPr/>
              <w:t>11</w:t>
            </w:r>
          </w:p>
        </w:tc>
      </w:tr>
      <w:tr>
        <w:trPr/>
        <w:tc>
          <w:tcPr>
            <w:tcW w:w="5440" w:type="dxa"/>
            <w:gridSpan w:val="2"/>
            <w:tcBorders/>
            <w:shd w:fill="auto" w:val="clear"/>
            <w:vAlign w:val="center"/>
          </w:tcPr>
          <w:p>
            <w:pPr>
              <w:pStyle w:val="TableContents"/>
              <w:spacing w:before="0" w:after="283"/>
              <w:jc w:val="left"/>
              <w:rPr/>
            </w:pPr>
            <w:r>
              <w:rPr/>
              <w:t>(e)   Restrictions on Transfer of Shares</w:t>
            </w:r>
          </w:p>
        </w:tc>
        <w:tc>
          <w:tcPr>
            <w:tcW w:w="275" w:type="dxa"/>
            <w:tcBorders/>
            <w:shd w:fill="auto" w:val="clear"/>
            <w:vAlign w:val="center"/>
          </w:tcPr>
          <w:p>
            <w:pPr>
              <w:pStyle w:val="TableContents"/>
              <w:spacing w:before="0" w:after="283"/>
              <w:ind w:left="0" w:right="0" w:hanging="360"/>
              <w:jc w:val="right"/>
              <w:rPr/>
            </w:pPr>
            <w:r>
              <w:rPr/>
              <w:t>11</w:t>
            </w:r>
          </w:p>
        </w:tc>
      </w:tr>
      <w:tr>
        <w:trPr/>
        <w:tc>
          <w:tcPr>
            <w:tcW w:w="980" w:type="dxa"/>
            <w:tcBorders/>
            <w:shd w:fill="auto" w:val="clear"/>
            <w:vAlign w:val="center"/>
          </w:tcPr>
          <w:p>
            <w:pPr>
              <w:pStyle w:val="TableContents"/>
              <w:spacing w:before="0" w:after="283"/>
              <w:ind w:left="0" w:right="0" w:hanging="360"/>
              <w:jc w:val="left"/>
              <w:rPr/>
            </w:pPr>
            <w:r>
              <w:rPr/>
              <w:t>Section 7.</w:t>
            </w:r>
          </w:p>
        </w:tc>
        <w:tc>
          <w:tcPr>
            <w:tcW w:w="4460" w:type="dxa"/>
            <w:tcBorders/>
            <w:shd w:fill="auto" w:val="clear"/>
            <w:vAlign w:val="center"/>
          </w:tcPr>
          <w:p>
            <w:pPr>
              <w:pStyle w:val="TableContents"/>
              <w:spacing w:before="0" w:after="283"/>
              <w:jc w:val="left"/>
              <w:rPr/>
            </w:pPr>
            <w:r>
              <w:rPr/>
              <w:t>TERMS AND CONDITIONS OF OPTIONS</w:t>
            </w:r>
          </w:p>
        </w:tc>
        <w:tc>
          <w:tcPr>
            <w:tcW w:w="275" w:type="dxa"/>
            <w:tcBorders/>
            <w:shd w:fill="auto" w:val="clear"/>
            <w:vAlign w:val="center"/>
          </w:tcPr>
          <w:p>
            <w:pPr>
              <w:pStyle w:val="TableContents"/>
              <w:spacing w:before="0" w:after="283"/>
              <w:ind w:left="0" w:right="0" w:hanging="540"/>
              <w:jc w:val="right"/>
              <w:rPr/>
            </w:pPr>
            <w:r>
              <w:rPr/>
              <w:t>11</w:t>
            </w:r>
          </w:p>
        </w:tc>
      </w:tr>
      <w:tr>
        <w:trPr/>
        <w:tc>
          <w:tcPr>
            <w:tcW w:w="5440" w:type="dxa"/>
            <w:gridSpan w:val="2"/>
            <w:tcBorders/>
            <w:shd w:fill="auto" w:val="clear"/>
            <w:vAlign w:val="center"/>
          </w:tcPr>
          <w:p>
            <w:pPr>
              <w:pStyle w:val="TableContents"/>
              <w:spacing w:before="0" w:after="283"/>
              <w:jc w:val="left"/>
              <w:rPr/>
            </w:pPr>
            <w:r>
              <w:rPr/>
              <w:t>(a)   Option Award Agreement</w:t>
            </w:r>
          </w:p>
        </w:tc>
        <w:tc>
          <w:tcPr>
            <w:tcW w:w="275" w:type="dxa"/>
            <w:tcBorders/>
            <w:shd w:fill="auto" w:val="clear"/>
            <w:vAlign w:val="center"/>
          </w:tcPr>
          <w:p>
            <w:pPr>
              <w:pStyle w:val="TableContents"/>
              <w:spacing w:before="0" w:after="283"/>
              <w:ind w:left="0" w:right="0" w:hanging="540"/>
              <w:jc w:val="right"/>
              <w:rPr/>
            </w:pPr>
            <w:r>
              <w:rPr/>
              <w:t>11</w:t>
            </w:r>
          </w:p>
        </w:tc>
      </w:tr>
      <w:tr>
        <w:trPr/>
        <w:tc>
          <w:tcPr>
            <w:tcW w:w="5440" w:type="dxa"/>
            <w:gridSpan w:val="2"/>
            <w:tcBorders/>
            <w:shd w:fill="auto" w:val="clear"/>
            <w:vAlign w:val="center"/>
          </w:tcPr>
          <w:p>
            <w:pPr>
              <w:pStyle w:val="TableContents"/>
              <w:spacing w:before="0" w:after="283"/>
              <w:jc w:val="left"/>
              <w:rPr/>
            </w:pPr>
            <w:r>
              <w:rPr/>
              <w:t>(b)   Number of Shares</w:t>
            </w:r>
          </w:p>
        </w:tc>
        <w:tc>
          <w:tcPr>
            <w:tcW w:w="275" w:type="dxa"/>
            <w:tcBorders/>
            <w:shd w:fill="auto" w:val="clear"/>
            <w:vAlign w:val="center"/>
          </w:tcPr>
          <w:p>
            <w:pPr>
              <w:pStyle w:val="TableContents"/>
              <w:spacing w:before="0" w:after="283"/>
              <w:ind w:left="0" w:right="0" w:hanging="540"/>
              <w:jc w:val="right"/>
              <w:rPr/>
            </w:pPr>
            <w:r>
              <w:rPr/>
              <w:t>11</w:t>
            </w:r>
          </w:p>
        </w:tc>
      </w:tr>
      <w:tr>
        <w:trPr/>
        <w:tc>
          <w:tcPr>
            <w:tcW w:w="5440" w:type="dxa"/>
            <w:gridSpan w:val="2"/>
            <w:tcBorders/>
            <w:shd w:fill="auto" w:val="clear"/>
            <w:vAlign w:val="center"/>
          </w:tcPr>
          <w:p>
            <w:pPr>
              <w:pStyle w:val="TableContents"/>
              <w:spacing w:before="0" w:after="283"/>
              <w:jc w:val="left"/>
              <w:rPr/>
            </w:pPr>
            <w:r>
              <w:rPr/>
              <w:t>(c)   Exercise Price</w:t>
            </w:r>
          </w:p>
        </w:tc>
        <w:tc>
          <w:tcPr>
            <w:tcW w:w="275" w:type="dxa"/>
            <w:tcBorders/>
            <w:shd w:fill="auto" w:val="clear"/>
            <w:vAlign w:val="center"/>
          </w:tcPr>
          <w:p>
            <w:pPr>
              <w:pStyle w:val="TableContents"/>
              <w:spacing w:before="0" w:after="283"/>
              <w:ind w:left="0" w:right="0" w:hanging="540"/>
              <w:jc w:val="right"/>
              <w:rPr/>
            </w:pPr>
            <w:r>
              <w:rPr/>
              <w:t>12</w:t>
            </w:r>
          </w:p>
        </w:tc>
      </w:tr>
      <w:tr>
        <w:trPr/>
        <w:tc>
          <w:tcPr>
            <w:tcW w:w="5440" w:type="dxa"/>
            <w:gridSpan w:val="2"/>
            <w:tcBorders/>
            <w:shd w:fill="auto" w:val="clear"/>
            <w:vAlign w:val="center"/>
          </w:tcPr>
          <w:p>
            <w:pPr>
              <w:pStyle w:val="TableContents"/>
              <w:spacing w:before="0" w:after="283"/>
              <w:jc w:val="left"/>
              <w:rPr/>
            </w:pPr>
            <w:r>
              <w:rPr/>
              <w:t>(d)   Withholding Taxes</w:t>
            </w:r>
          </w:p>
        </w:tc>
        <w:tc>
          <w:tcPr>
            <w:tcW w:w="275" w:type="dxa"/>
            <w:tcBorders/>
            <w:shd w:fill="auto" w:val="clear"/>
            <w:vAlign w:val="center"/>
          </w:tcPr>
          <w:p>
            <w:pPr>
              <w:pStyle w:val="TableContents"/>
              <w:spacing w:before="0" w:after="283"/>
              <w:ind w:left="0" w:right="0" w:hanging="540"/>
              <w:jc w:val="right"/>
              <w:rPr/>
            </w:pPr>
            <w:r>
              <w:rPr/>
              <w:t>12</w:t>
            </w:r>
          </w:p>
        </w:tc>
      </w:tr>
      <w:tr>
        <w:trPr/>
        <w:tc>
          <w:tcPr>
            <w:tcW w:w="5440" w:type="dxa"/>
            <w:gridSpan w:val="2"/>
            <w:tcBorders/>
            <w:shd w:fill="auto" w:val="clear"/>
            <w:vAlign w:val="center"/>
          </w:tcPr>
          <w:p>
            <w:pPr>
              <w:pStyle w:val="TableContents"/>
              <w:spacing w:before="0" w:after="283"/>
              <w:jc w:val="left"/>
              <w:rPr/>
            </w:pPr>
            <w:r>
              <w:rPr/>
              <w:t>(e)   Exercisability and Term</w:t>
            </w:r>
          </w:p>
        </w:tc>
        <w:tc>
          <w:tcPr>
            <w:tcW w:w="275" w:type="dxa"/>
            <w:tcBorders/>
            <w:shd w:fill="auto" w:val="clear"/>
            <w:vAlign w:val="center"/>
          </w:tcPr>
          <w:p>
            <w:pPr>
              <w:pStyle w:val="TableContents"/>
              <w:spacing w:before="0" w:after="283"/>
              <w:ind w:left="0" w:right="0" w:hanging="540"/>
              <w:jc w:val="right"/>
              <w:rPr/>
            </w:pPr>
            <w:r>
              <w:rPr/>
              <w:t>12</w:t>
            </w:r>
          </w:p>
        </w:tc>
      </w:tr>
      <w:tr>
        <w:trPr/>
        <w:tc>
          <w:tcPr>
            <w:tcW w:w="5440" w:type="dxa"/>
            <w:gridSpan w:val="2"/>
            <w:tcBorders/>
            <w:shd w:fill="auto" w:val="clear"/>
            <w:vAlign w:val="center"/>
          </w:tcPr>
          <w:p>
            <w:pPr>
              <w:pStyle w:val="TableContents"/>
              <w:spacing w:before="0" w:after="283"/>
              <w:jc w:val="left"/>
              <w:rPr/>
            </w:pPr>
            <w:r>
              <w:rPr/>
              <w:t>(f)    Exercise of Options</w:t>
            </w:r>
          </w:p>
        </w:tc>
        <w:tc>
          <w:tcPr>
            <w:tcW w:w="275" w:type="dxa"/>
            <w:tcBorders/>
            <w:shd w:fill="auto" w:val="clear"/>
            <w:vAlign w:val="center"/>
          </w:tcPr>
          <w:p>
            <w:pPr>
              <w:pStyle w:val="TableContents"/>
              <w:spacing w:before="0" w:after="283"/>
              <w:ind w:left="0" w:right="0" w:hanging="540"/>
              <w:jc w:val="right"/>
              <w:rPr/>
            </w:pPr>
            <w:r>
              <w:rPr/>
              <w:t>12</w:t>
            </w:r>
          </w:p>
        </w:tc>
      </w:tr>
      <w:tr>
        <w:trPr/>
        <w:tc>
          <w:tcPr>
            <w:tcW w:w="5440" w:type="dxa"/>
            <w:gridSpan w:val="2"/>
            <w:tcBorders/>
            <w:shd w:fill="auto" w:val="clear"/>
            <w:vAlign w:val="center"/>
          </w:tcPr>
          <w:p>
            <w:pPr>
              <w:pStyle w:val="TableContents"/>
              <w:spacing w:before="0" w:after="283"/>
              <w:jc w:val="left"/>
              <w:rPr/>
            </w:pPr>
            <w:r>
              <w:rPr/>
              <w:t>(g)   No Rights as a Stockholder</w:t>
            </w:r>
          </w:p>
        </w:tc>
        <w:tc>
          <w:tcPr>
            <w:tcW w:w="275" w:type="dxa"/>
            <w:tcBorders/>
            <w:shd w:fill="auto" w:val="clear"/>
            <w:vAlign w:val="center"/>
          </w:tcPr>
          <w:p>
            <w:pPr>
              <w:pStyle w:val="TableContents"/>
              <w:spacing w:before="0" w:after="283"/>
              <w:ind w:left="0" w:right="0" w:hanging="540"/>
              <w:jc w:val="right"/>
              <w:rPr/>
            </w:pPr>
            <w:r>
              <w:rPr/>
              <w:t>12</w:t>
            </w:r>
          </w:p>
        </w:tc>
      </w:tr>
      <w:tr>
        <w:trPr/>
        <w:tc>
          <w:tcPr>
            <w:tcW w:w="5440" w:type="dxa"/>
            <w:gridSpan w:val="2"/>
            <w:tcBorders/>
            <w:shd w:fill="auto" w:val="clear"/>
            <w:vAlign w:val="center"/>
          </w:tcPr>
          <w:p>
            <w:pPr>
              <w:pStyle w:val="TableContents"/>
              <w:spacing w:before="0" w:after="283"/>
              <w:jc w:val="left"/>
              <w:rPr/>
            </w:pPr>
            <w:r>
              <w:rPr/>
              <w:t>(h)   Modification, Extension and Renewal of Options</w:t>
            </w:r>
          </w:p>
        </w:tc>
        <w:tc>
          <w:tcPr>
            <w:tcW w:w="275" w:type="dxa"/>
            <w:tcBorders/>
            <w:shd w:fill="auto" w:val="clear"/>
            <w:vAlign w:val="center"/>
          </w:tcPr>
          <w:p>
            <w:pPr>
              <w:pStyle w:val="TableContents"/>
              <w:spacing w:before="0" w:after="283"/>
              <w:ind w:left="0" w:right="0" w:hanging="540"/>
              <w:jc w:val="right"/>
              <w:rPr/>
            </w:pPr>
            <w:r>
              <w:rPr/>
              <w:t>12</w:t>
            </w:r>
          </w:p>
        </w:tc>
      </w:tr>
      <w:tr>
        <w:trPr/>
        <w:tc>
          <w:tcPr>
            <w:tcW w:w="5440" w:type="dxa"/>
            <w:gridSpan w:val="2"/>
            <w:tcBorders/>
            <w:shd w:fill="auto" w:val="clear"/>
            <w:vAlign w:val="center"/>
          </w:tcPr>
          <w:p>
            <w:pPr>
              <w:pStyle w:val="TableContents"/>
              <w:spacing w:before="0" w:after="283"/>
              <w:jc w:val="left"/>
              <w:rPr/>
            </w:pPr>
            <w:r>
              <w:rPr/>
              <w:t>(i)    Restrictions on Transfer of Shares</w:t>
            </w:r>
          </w:p>
        </w:tc>
        <w:tc>
          <w:tcPr>
            <w:tcW w:w="275" w:type="dxa"/>
            <w:tcBorders/>
            <w:shd w:fill="auto" w:val="clear"/>
            <w:vAlign w:val="center"/>
          </w:tcPr>
          <w:p>
            <w:pPr>
              <w:pStyle w:val="TableContents"/>
              <w:spacing w:before="0" w:after="283"/>
              <w:ind w:left="0" w:right="0" w:hanging="540"/>
              <w:jc w:val="right"/>
              <w:rPr/>
            </w:pPr>
            <w:r>
              <w:rPr/>
              <w:t>13</w:t>
            </w:r>
          </w:p>
        </w:tc>
      </w:tr>
      <w:tr>
        <w:trPr/>
        <w:tc>
          <w:tcPr>
            <w:tcW w:w="5440" w:type="dxa"/>
            <w:gridSpan w:val="2"/>
            <w:tcBorders/>
            <w:shd w:fill="auto" w:val="clear"/>
            <w:vAlign w:val="center"/>
          </w:tcPr>
          <w:p>
            <w:pPr>
              <w:pStyle w:val="TableContents"/>
              <w:spacing w:before="0" w:after="283"/>
              <w:jc w:val="left"/>
              <w:rPr/>
            </w:pPr>
            <w:r>
              <w:rPr/>
              <w:t>(j)    Buyout Provisions</w:t>
            </w:r>
          </w:p>
        </w:tc>
        <w:tc>
          <w:tcPr>
            <w:tcW w:w="275" w:type="dxa"/>
            <w:tcBorders/>
            <w:shd w:fill="auto" w:val="clear"/>
            <w:vAlign w:val="center"/>
          </w:tcPr>
          <w:p>
            <w:pPr>
              <w:pStyle w:val="TableContents"/>
              <w:spacing w:before="0" w:after="283"/>
              <w:ind w:left="0" w:right="0" w:hanging="360"/>
              <w:jc w:val="right"/>
              <w:rPr/>
            </w:pPr>
            <w:r>
              <w:rPr/>
              <w:t>13</w:t>
            </w:r>
          </w:p>
        </w:tc>
      </w:tr>
      <w:tr>
        <w:trPr/>
        <w:tc>
          <w:tcPr>
            <w:tcW w:w="980" w:type="dxa"/>
            <w:tcBorders/>
            <w:shd w:fill="auto" w:val="clear"/>
            <w:vAlign w:val="center"/>
          </w:tcPr>
          <w:p>
            <w:pPr>
              <w:pStyle w:val="TableContents"/>
              <w:spacing w:before="0" w:after="283"/>
              <w:ind w:left="0" w:right="0" w:hanging="360"/>
              <w:jc w:val="left"/>
              <w:rPr/>
            </w:pPr>
            <w:r>
              <w:rPr/>
              <w:t>Section 8.</w:t>
            </w:r>
          </w:p>
        </w:tc>
        <w:tc>
          <w:tcPr>
            <w:tcW w:w="4460" w:type="dxa"/>
            <w:tcBorders/>
            <w:shd w:fill="auto" w:val="clear"/>
            <w:vAlign w:val="center"/>
          </w:tcPr>
          <w:p>
            <w:pPr>
              <w:pStyle w:val="TableContents"/>
              <w:spacing w:before="0" w:after="283"/>
              <w:jc w:val="left"/>
              <w:rPr/>
            </w:pPr>
            <w:r>
              <w:rPr/>
              <w:t>PAYMENT FOR SHARES</w:t>
            </w:r>
          </w:p>
        </w:tc>
        <w:tc>
          <w:tcPr>
            <w:tcW w:w="275" w:type="dxa"/>
            <w:tcBorders/>
            <w:shd w:fill="auto" w:val="clear"/>
            <w:vAlign w:val="center"/>
          </w:tcPr>
          <w:p>
            <w:pPr>
              <w:pStyle w:val="TableContents"/>
              <w:spacing w:before="0" w:after="283"/>
              <w:ind w:left="0" w:right="0" w:hanging="540"/>
              <w:jc w:val="right"/>
              <w:rPr/>
            </w:pPr>
            <w:r>
              <w:rPr/>
              <w:t>13</w:t>
            </w:r>
          </w:p>
        </w:tc>
      </w:tr>
      <w:tr>
        <w:trPr/>
        <w:tc>
          <w:tcPr>
            <w:tcW w:w="5440" w:type="dxa"/>
            <w:gridSpan w:val="2"/>
            <w:tcBorders/>
            <w:shd w:fill="auto" w:val="clear"/>
            <w:vAlign w:val="center"/>
          </w:tcPr>
          <w:p>
            <w:pPr>
              <w:pStyle w:val="TableContents"/>
              <w:spacing w:before="0" w:after="283"/>
              <w:jc w:val="left"/>
              <w:rPr/>
            </w:pPr>
            <w:r>
              <w:rPr/>
              <w:t>(a)   General Rule</w:t>
            </w:r>
          </w:p>
        </w:tc>
        <w:tc>
          <w:tcPr>
            <w:tcW w:w="275" w:type="dxa"/>
            <w:tcBorders/>
            <w:shd w:fill="auto" w:val="clear"/>
            <w:vAlign w:val="center"/>
          </w:tcPr>
          <w:p>
            <w:pPr>
              <w:pStyle w:val="TableContents"/>
              <w:spacing w:before="0" w:after="283"/>
              <w:ind w:left="0" w:right="0" w:hanging="540"/>
              <w:jc w:val="right"/>
              <w:rPr/>
            </w:pPr>
            <w:r>
              <w:rPr/>
              <w:t>13</w:t>
            </w:r>
          </w:p>
        </w:tc>
      </w:tr>
      <w:tr>
        <w:trPr/>
        <w:tc>
          <w:tcPr>
            <w:tcW w:w="5440" w:type="dxa"/>
            <w:gridSpan w:val="2"/>
            <w:tcBorders/>
            <w:shd w:fill="auto" w:val="clear"/>
            <w:vAlign w:val="center"/>
          </w:tcPr>
          <w:p>
            <w:pPr>
              <w:pStyle w:val="TableContents"/>
              <w:spacing w:before="0" w:after="283"/>
              <w:jc w:val="left"/>
              <w:rPr/>
            </w:pPr>
            <w:r>
              <w:rPr/>
              <w:t>(b)   Surrender of Stock</w:t>
            </w:r>
          </w:p>
        </w:tc>
        <w:tc>
          <w:tcPr>
            <w:tcW w:w="275" w:type="dxa"/>
            <w:tcBorders/>
            <w:shd w:fill="auto" w:val="clear"/>
            <w:vAlign w:val="center"/>
          </w:tcPr>
          <w:p>
            <w:pPr>
              <w:pStyle w:val="TableContents"/>
              <w:spacing w:before="0" w:after="283"/>
              <w:ind w:left="0" w:right="0" w:hanging="540"/>
              <w:jc w:val="right"/>
              <w:rPr/>
            </w:pPr>
            <w:r>
              <w:rPr/>
              <w:t>13</w:t>
            </w:r>
          </w:p>
        </w:tc>
      </w:tr>
      <w:tr>
        <w:trPr/>
        <w:tc>
          <w:tcPr>
            <w:tcW w:w="5440" w:type="dxa"/>
            <w:gridSpan w:val="2"/>
            <w:tcBorders/>
            <w:shd w:fill="auto" w:val="clear"/>
            <w:vAlign w:val="center"/>
          </w:tcPr>
          <w:p>
            <w:pPr>
              <w:pStyle w:val="TableContents"/>
              <w:spacing w:before="0" w:after="283"/>
              <w:jc w:val="left"/>
              <w:rPr/>
            </w:pPr>
            <w:r>
              <w:rPr/>
              <w:t>(c)   Services Rendered</w:t>
            </w:r>
          </w:p>
        </w:tc>
        <w:tc>
          <w:tcPr>
            <w:tcW w:w="275" w:type="dxa"/>
            <w:tcBorders/>
            <w:shd w:fill="auto" w:val="clear"/>
            <w:vAlign w:val="center"/>
          </w:tcPr>
          <w:p>
            <w:pPr>
              <w:pStyle w:val="TableContents"/>
              <w:spacing w:before="0" w:after="283"/>
              <w:ind w:left="0" w:right="0" w:hanging="540"/>
              <w:jc w:val="right"/>
              <w:rPr/>
            </w:pPr>
            <w:r>
              <w:rPr/>
              <w:t>13</w:t>
            </w:r>
          </w:p>
        </w:tc>
      </w:tr>
      <w:tr>
        <w:trPr/>
        <w:tc>
          <w:tcPr>
            <w:tcW w:w="5440" w:type="dxa"/>
            <w:gridSpan w:val="2"/>
            <w:tcBorders/>
            <w:shd w:fill="auto" w:val="clear"/>
            <w:vAlign w:val="center"/>
          </w:tcPr>
          <w:p>
            <w:pPr>
              <w:pStyle w:val="TableContents"/>
              <w:spacing w:before="0" w:after="283"/>
              <w:jc w:val="left"/>
              <w:rPr/>
            </w:pPr>
            <w:r>
              <w:rPr/>
              <w:t>(d)   Cashless Exercise</w:t>
            </w:r>
          </w:p>
        </w:tc>
        <w:tc>
          <w:tcPr>
            <w:tcW w:w="275" w:type="dxa"/>
            <w:tcBorders/>
            <w:shd w:fill="auto" w:val="clear"/>
            <w:vAlign w:val="center"/>
          </w:tcPr>
          <w:p>
            <w:pPr>
              <w:pStyle w:val="TableContents"/>
              <w:spacing w:before="0" w:after="283"/>
              <w:ind w:left="0" w:right="0" w:hanging="540"/>
              <w:jc w:val="right"/>
              <w:rPr/>
            </w:pPr>
            <w:r>
              <w:rPr/>
              <w:t>13</w:t>
            </w:r>
          </w:p>
        </w:tc>
      </w:tr>
      <w:tr>
        <w:trPr/>
        <w:tc>
          <w:tcPr>
            <w:tcW w:w="5440" w:type="dxa"/>
            <w:gridSpan w:val="2"/>
            <w:tcBorders/>
            <w:shd w:fill="auto" w:val="clear"/>
            <w:vAlign w:val="center"/>
          </w:tcPr>
          <w:p>
            <w:pPr>
              <w:pStyle w:val="TableContents"/>
              <w:spacing w:before="0" w:after="283"/>
              <w:jc w:val="left"/>
              <w:rPr/>
            </w:pPr>
            <w:r>
              <w:rPr/>
              <w:t>(e)   Exercise/Pledge</w:t>
            </w:r>
          </w:p>
        </w:tc>
        <w:tc>
          <w:tcPr>
            <w:tcW w:w="275" w:type="dxa"/>
            <w:tcBorders/>
            <w:shd w:fill="auto" w:val="clear"/>
            <w:vAlign w:val="center"/>
          </w:tcPr>
          <w:p>
            <w:pPr>
              <w:pStyle w:val="TableContents"/>
              <w:spacing w:before="0" w:after="283"/>
              <w:ind w:left="0" w:right="0" w:hanging="540"/>
              <w:jc w:val="right"/>
              <w:rPr/>
            </w:pPr>
            <w:r>
              <w:rPr/>
              <w:t>14</w:t>
            </w:r>
          </w:p>
        </w:tc>
      </w:tr>
      <w:tr>
        <w:trPr/>
        <w:tc>
          <w:tcPr>
            <w:tcW w:w="5440" w:type="dxa"/>
            <w:gridSpan w:val="2"/>
            <w:tcBorders/>
            <w:shd w:fill="auto" w:val="clear"/>
            <w:vAlign w:val="center"/>
          </w:tcPr>
          <w:p>
            <w:pPr>
              <w:pStyle w:val="TableContents"/>
              <w:spacing w:before="0" w:after="283"/>
              <w:jc w:val="left"/>
              <w:rPr/>
            </w:pPr>
            <w:r>
              <w:rPr/>
              <w:t>(f)   Net Exercise</w:t>
            </w:r>
          </w:p>
        </w:tc>
        <w:tc>
          <w:tcPr>
            <w:tcW w:w="275" w:type="dxa"/>
            <w:tcBorders/>
            <w:shd w:fill="auto" w:val="clear"/>
            <w:vAlign w:val="center"/>
          </w:tcPr>
          <w:p>
            <w:pPr>
              <w:pStyle w:val="TableContents"/>
              <w:spacing w:before="0" w:after="283"/>
              <w:ind w:left="0" w:right="0" w:hanging="540"/>
              <w:jc w:val="right"/>
              <w:rPr/>
            </w:pPr>
            <w:r>
              <w:rPr/>
              <w:t>14</w:t>
            </w:r>
          </w:p>
        </w:tc>
      </w:tr>
      <w:tr>
        <w:trPr/>
        <w:tc>
          <w:tcPr>
            <w:tcW w:w="5440" w:type="dxa"/>
            <w:gridSpan w:val="2"/>
            <w:tcBorders/>
            <w:shd w:fill="auto" w:val="clear"/>
            <w:vAlign w:val="center"/>
          </w:tcPr>
          <w:p>
            <w:pPr>
              <w:pStyle w:val="TableContents"/>
              <w:spacing w:before="0" w:after="283"/>
              <w:jc w:val="left"/>
              <w:rPr/>
            </w:pPr>
            <w:r>
              <w:rPr/>
              <w:t>(g)   Promissory Note</w:t>
            </w:r>
          </w:p>
        </w:tc>
        <w:tc>
          <w:tcPr>
            <w:tcW w:w="275" w:type="dxa"/>
            <w:tcBorders/>
            <w:shd w:fill="auto" w:val="clear"/>
            <w:vAlign w:val="center"/>
          </w:tcPr>
          <w:p>
            <w:pPr>
              <w:pStyle w:val="TableContents"/>
              <w:spacing w:before="0" w:after="283"/>
              <w:ind w:left="0" w:right="0" w:hanging="540"/>
              <w:jc w:val="right"/>
              <w:rPr/>
            </w:pPr>
            <w:r>
              <w:rPr/>
              <w:t>14</w:t>
            </w:r>
          </w:p>
        </w:tc>
      </w:tr>
      <w:tr>
        <w:trPr/>
        <w:tc>
          <w:tcPr>
            <w:tcW w:w="5440" w:type="dxa"/>
            <w:gridSpan w:val="2"/>
            <w:tcBorders/>
            <w:shd w:fill="auto" w:val="clear"/>
            <w:vAlign w:val="center"/>
          </w:tcPr>
          <w:p>
            <w:pPr>
              <w:pStyle w:val="TableContents"/>
              <w:spacing w:before="0" w:after="283"/>
              <w:jc w:val="left"/>
              <w:rPr/>
            </w:pPr>
            <w:r>
              <w:rPr/>
              <w:t>(h)   Other Forms of Payment</w:t>
            </w:r>
          </w:p>
        </w:tc>
        <w:tc>
          <w:tcPr>
            <w:tcW w:w="275" w:type="dxa"/>
            <w:tcBorders/>
            <w:shd w:fill="auto" w:val="clear"/>
            <w:vAlign w:val="center"/>
          </w:tcPr>
          <w:p>
            <w:pPr>
              <w:pStyle w:val="TableContents"/>
              <w:spacing w:before="0" w:after="283"/>
              <w:ind w:left="0" w:right="0" w:hanging="540"/>
              <w:jc w:val="right"/>
              <w:rPr/>
            </w:pPr>
            <w:r>
              <w:rPr/>
              <w:t>14</w:t>
            </w:r>
          </w:p>
        </w:tc>
      </w:tr>
      <w:tr>
        <w:trPr/>
        <w:tc>
          <w:tcPr>
            <w:tcW w:w="5440" w:type="dxa"/>
            <w:gridSpan w:val="2"/>
            <w:tcBorders/>
            <w:shd w:fill="auto" w:val="clear"/>
            <w:vAlign w:val="center"/>
          </w:tcPr>
          <w:p>
            <w:pPr>
              <w:pStyle w:val="TableContents"/>
              <w:spacing w:before="0" w:after="283"/>
              <w:jc w:val="left"/>
              <w:rPr/>
            </w:pPr>
            <w:r>
              <w:rPr/>
              <w:t>(i)    Limitations under Applicable Law</w:t>
            </w:r>
          </w:p>
        </w:tc>
        <w:tc>
          <w:tcPr>
            <w:tcW w:w="275" w:type="dxa"/>
            <w:tcBorders/>
            <w:shd w:fill="auto" w:val="clear"/>
            <w:vAlign w:val="center"/>
          </w:tcPr>
          <w:p>
            <w:pPr>
              <w:pStyle w:val="TableContents"/>
              <w:spacing w:before="0" w:after="283"/>
              <w:ind w:left="0" w:right="0" w:hanging="360"/>
              <w:jc w:val="right"/>
              <w:rPr/>
            </w:pPr>
            <w:r>
              <w:rPr/>
              <w:t>14</w:t>
            </w:r>
          </w:p>
        </w:tc>
      </w:tr>
      <w:tr>
        <w:trPr/>
        <w:tc>
          <w:tcPr>
            <w:tcW w:w="980" w:type="dxa"/>
            <w:tcBorders/>
            <w:shd w:fill="auto" w:val="clear"/>
            <w:vAlign w:val="center"/>
          </w:tcPr>
          <w:p>
            <w:pPr>
              <w:pStyle w:val="TableContents"/>
              <w:spacing w:before="0" w:after="283"/>
              <w:ind w:left="0" w:right="0" w:hanging="360"/>
              <w:jc w:val="left"/>
              <w:rPr/>
            </w:pPr>
            <w:r>
              <w:rPr/>
              <w:t>Section 9.</w:t>
            </w:r>
          </w:p>
        </w:tc>
        <w:tc>
          <w:tcPr>
            <w:tcW w:w="4460" w:type="dxa"/>
            <w:tcBorders/>
            <w:shd w:fill="auto" w:val="clear"/>
            <w:vAlign w:val="center"/>
          </w:tcPr>
          <w:p>
            <w:pPr>
              <w:pStyle w:val="TableContents"/>
              <w:spacing w:before="0" w:after="283"/>
              <w:jc w:val="left"/>
              <w:rPr/>
            </w:pPr>
            <w:r>
              <w:rPr/>
              <w:t>STOCK APPRECIATION RIGHTS</w:t>
            </w:r>
          </w:p>
        </w:tc>
        <w:tc>
          <w:tcPr>
            <w:tcW w:w="275" w:type="dxa"/>
            <w:tcBorders/>
            <w:shd w:fill="auto" w:val="clear"/>
            <w:vAlign w:val="center"/>
          </w:tcPr>
          <w:p>
            <w:pPr>
              <w:pStyle w:val="TableContents"/>
              <w:spacing w:before="0" w:after="283"/>
              <w:ind w:left="0" w:right="0" w:hanging="540"/>
              <w:jc w:val="right"/>
              <w:rPr/>
            </w:pPr>
            <w:r>
              <w:rPr/>
              <w:t>14</w:t>
            </w:r>
          </w:p>
        </w:tc>
      </w:tr>
      <w:tr>
        <w:trPr/>
        <w:tc>
          <w:tcPr>
            <w:tcW w:w="5440" w:type="dxa"/>
            <w:gridSpan w:val="2"/>
            <w:tcBorders/>
            <w:shd w:fill="auto" w:val="clear"/>
            <w:vAlign w:val="center"/>
          </w:tcPr>
          <w:p>
            <w:pPr>
              <w:pStyle w:val="TableContents"/>
              <w:spacing w:before="0" w:after="283"/>
              <w:jc w:val="left"/>
              <w:rPr/>
            </w:pPr>
            <w:r>
              <w:rPr/>
              <w:t>(a)   SAR Award Agreement</w:t>
            </w:r>
          </w:p>
        </w:tc>
        <w:tc>
          <w:tcPr>
            <w:tcW w:w="275" w:type="dxa"/>
            <w:tcBorders/>
            <w:shd w:fill="auto" w:val="clear"/>
            <w:vAlign w:val="center"/>
          </w:tcPr>
          <w:p>
            <w:pPr>
              <w:pStyle w:val="TableContents"/>
              <w:spacing w:before="0" w:after="283"/>
              <w:ind w:left="0" w:right="0" w:hanging="540"/>
              <w:jc w:val="right"/>
              <w:rPr/>
            </w:pPr>
            <w:r>
              <w:rPr/>
              <w:t>14</w:t>
            </w:r>
          </w:p>
        </w:tc>
      </w:tr>
      <w:tr>
        <w:trPr/>
        <w:tc>
          <w:tcPr>
            <w:tcW w:w="5440" w:type="dxa"/>
            <w:gridSpan w:val="2"/>
            <w:tcBorders/>
            <w:shd w:fill="auto" w:val="clear"/>
            <w:vAlign w:val="center"/>
          </w:tcPr>
          <w:p>
            <w:pPr>
              <w:pStyle w:val="TableContents"/>
              <w:spacing w:before="0" w:after="283"/>
              <w:jc w:val="left"/>
              <w:rPr/>
            </w:pPr>
            <w:r>
              <w:rPr/>
              <w:t>(b)   Number of Shares</w:t>
            </w:r>
          </w:p>
        </w:tc>
        <w:tc>
          <w:tcPr>
            <w:tcW w:w="275" w:type="dxa"/>
            <w:tcBorders/>
            <w:shd w:fill="auto" w:val="clear"/>
            <w:vAlign w:val="center"/>
          </w:tcPr>
          <w:p>
            <w:pPr>
              <w:pStyle w:val="TableContents"/>
              <w:spacing w:before="0" w:after="283"/>
              <w:ind w:left="0" w:right="0" w:hanging="540"/>
              <w:jc w:val="right"/>
              <w:rPr/>
            </w:pPr>
            <w:r>
              <w:rPr/>
              <w:t>14</w:t>
            </w:r>
          </w:p>
        </w:tc>
      </w:tr>
      <w:tr>
        <w:trPr/>
        <w:tc>
          <w:tcPr>
            <w:tcW w:w="5440" w:type="dxa"/>
            <w:gridSpan w:val="2"/>
            <w:tcBorders/>
            <w:shd w:fill="auto" w:val="clear"/>
            <w:vAlign w:val="center"/>
          </w:tcPr>
          <w:p>
            <w:pPr>
              <w:pStyle w:val="TableContents"/>
              <w:spacing w:before="0" w:after="283"/>
              <w:jc w:val="left"/>
              <w:rPr/>
            </w:pPr>
            <w:r>
              <w:rPr/>
              <w:t>(c)   Exercise Price</w:t>
            </w:r>
          </w:p>
        </w:tc>
        <w:tc>
          <w:tcPr>
            <w:tcW w:w="275" w:type="dxa"/>
            <w:tcBorders/>
            <w:shd w:fill="auto" w:val="clear"/>
            <w:vAlign w:val="center"/>
          </w:tcPr>
          <w:p>
            <w:pPr>
              <w:pStyle w:val="TableContents"/>
              <w:spacing w:before="0" w:after="283"/>
              <w:ind w:left="0" w:right="0" w:hanging="540"/>
              <w:jc w:val="right"/>
              <w:rPr/>
            </w:pPr>
            <w:r>
              <w:rPr/>
              <w:t>14</w:t>
            </w:r>
          </w:p>
        </w:tc>
      </w:tr>
      <w:tr>
        <w:trPr/>
        <w:tc>
          <w:tcPr>
            <w:tcW w:w="5440" w:type="dxa"/>
            <w:gridSpan w:val="2"/>
            <w:tcBorders/>
            <w:shd w:fill="auto" w:val="clear"/>
            <w:vAlign w:val="center"/>
          </w:tcPr>
          <w:p>
            <w:pPr>
              <w:pStyle w:val="TableContents"/>
              <w:spacing w:before="0" w:after="283"/>
              <w:jc w:val="left"/>
              <w:rPr/>
            </w:pPr>
            <w:r>
              <w:rPr/>
              <w:t>(d)   Exercisability and Term</w:t>
            </w:r>
          </w:p>
        </w:tc>
        <w:tc>
          <w:tcPr>
            <w:tcW w:w="275" w:type="dxa"/>
            <w:tcBorders/>
            <w:shd w:fill="auto" w:val="clear"/>
            <w:vAlign w:val="center"/>
          </w:tcPr>
          <w:p>
            <w:pPr>
              <w:pStyle w:val="TableContents"/>
              <w:spacing w:before="0" w:after="283"/>
              <w:ind w:left="0" w:right="0" w:hanging="540"/>
              <w:jc w:val="right"/>
              <w:rPr/>
            </w:pPr>
            <w:r>
              <w:rPr/>
              <w:t>15</w:t>
            </w:r>
          </w:p>
        </w:tc>
      </w:tr>
      <w:tr>
        <w:trPr/>
        <w:tc>
          <w:tcPr>
            <w:tcW w:w="5440" w:type="dxa"/>
            <w:gridSpan w:val="2"/>
            <w:tcBorders/>
            <w:shd w:fill="auto" w:val="clear"/>
            <w:vAlign w:val="center"/>
          </w:tcPr>
          <w:p>
            <w:pPr>
              <w:pStyle w:val="TableContents"/>
              <w:spacing w:before="0" w:after="283"/>
              <w:jc w:val="left"/>
              <w:rPr/>
            </w:pPr>
            <w:r>
              <w:rPr/>
              <w:t>(e)   Exercise of SARs</w:t>
            </w:r>
          </w:p>
        </w:tc>
        <w:tc>
          <w:tcPr>
            <w:tcW w:w="275" w:type="dxa"/>
            <w:tcBorders/>
            <w:shd w:fill="auto" w:val="clear"/>
            <w:vAlign w:val="center"/>
          </w:tcPr>
          <w:p>
            <w:pPr>
              <w:pStyle w:val="TableContents"/>
              <w:spacing w:before="0" w:after="283"/>
              <w:ind w:left="0" w:right="0" w:hanging="540"/>
              <w:jc w:val="right"/>
              <w:rPr/>
            </w:pPr>
            <w:r>
              <w:rPr/>
              <w:t>15</w:t>
            </w:r>
          </w:p>
        </w:tc>
      </w:tr>
      <w:tr>
        <w:trPr/>
        <w:tc>
          <w:tcPr>
            <w:tcW w:w="5440" w:type="dxa"/>
            <w:gridSpan w:val="2"/>
            <w:tcBorders/>
            <w:shd w:fill="auto" w:val="clear"/>
            <w:vAlign w:val="center"/>
          </w:tcPr>
          <w:p>
            <w:pPr>
              <w:pStyle w:val="TableContents"/>
              <w:spacing w:before="0" w:after="283"/>
              <w:jc w:val="left"/>
              <w:rPr/>
            </w:pPr>
            <w:r>
              <w:rPr/>
              <w:t>(f)    Modification, Extension or Assumption of SARs</w:t>
            </w:r>
          </w:p>
        </w:tc>
        <w:tc>
          <w:tcPr>
            <w:tcW w:w="275" w:type="dxa"/>
            <w:tcBorders/>
            <w:shd w:fill="auto" w:val="clear"/>
            <w:vAlign w:val="center"/>
          </w:tcPr>
          <w:p>
            <w:pPr>
              <w:pStyle w:val="TableContents"/>
              <w:spacing w:before="0" w:after="283"/>
              <w:ind w:left="0" w:right="0" w:hanging="540"/>
              <w:jc w:val="right"/>
              <w:rPr/>
            </w:pPr>
            <w:r>
              <w:rPr/>
              <w:t>15</w:t>
            </w:r>
          </w:p>
        </w:tc>
      </w:tr>
      <w:tr>
        <w:trPr/>
        <w:tc>
          <w:tcPr>
            <w:tcW w:w="5440" w:type="dxa"/>
            <w:gridSpan w:val="2"/>
            <w:tcBorders/>
            <w:shd w:fill="auto" w:val="clear"/>
            <w:vAlign w:val="center"/>
          </w:tcPr>
          <w:p>
            <w:pPr>
              <w:pStyle w:val="TableContents"/>
              <w:spacing w:before="0" w:after="283"/>
              <w:jc w:val="left"/>
              <w:rPr/>
            </w:pPr>
            <w:r>
              <w:rPr/>
              <w:t>(g)   Buyout Provisions</w:t>
            </w:r>
          </w:p>
        </w:tc>
        <w:tc>
          <w:tcPr>
            <w:tcW w:w="275" w:type="dxa"/>
            <w:tcBorders/>
            <w:shd w:fill="auto" w:val="clear"/>
            <w:vAlign w:val="center"/>
          </w:tcPr>
          <w:p>
            <w:pPr>
              <w:pStyle w:val="TableContents"/>
              <w:spacing w:before="0" w:after="283"/>
              <w:jc w:val="right"/>
              <w:rPr/>
            </w:pPr>
            <w:r>
              <w:rPr/>
              <w:t>15</w:t>
            </w:r>
          </w:p>
        </w:tc>
      </w:tr>
    </w:tbl>
    <w:p>
      <w:pPr>
        <w:pStyle w:val="TextBody"/>
        <w:rPr/>
      </w:pPr>
      <w:r>
        <w:rPr/>
        <w:t> </w:t>
      </w:r>
    </w:p>
    <w:p>
      <w:pPr>
        <w:pStyle w:val="TextBody"/>
        <w:jc w:val="center"/>
        <w:rPr/>
      </w:pPr>
      <w:r>
        <w:rPr/>
        <w:t xml:space="preserve">LUCID GROUP, INC. </w:t>
        <w:br/>
        <w:t xml:space="preserve">SECOND AMENDED AND RESTATED 2021 STOCK INCENTIVE PLAN </w:t>
      </w:r>
    </w:p>
    <w:p>
      <w:pPr>
        <w:pStyle w:val="TextBody"/>
        <w:spacing w:before="0" w:after="0"/>
        <w:jc w:val="center"/>
        <w:rPr>
          <w:bdr w:val="single" w:sz="8" w:space="1" w:color="000000"/>
        </w:rPr>
      </w:pPr>
      <w:r>
        <w:rPr>
          <w:bdr w:val="single" w:sz="8" w:space="1" w:color="000000"/>
        </w:rPr>
        <w:t>iii </w:t>
      </w:r>
    </w:p>
    <w:p>
      <w:pPr>
        <w:pStyle w:val="TextBody"/>
        <w:spacing w:before="0" w:after="0"/>
        <w:ind w:left="0" w:right="0" w:hanging="0"/>
        <w:rPr/>
      </w:pPr>
      <w:r>
        <w:rPr/>
        <w:t> </w:t>
      </w:r>
    </w:p>
    <w:p>
      <w:pPr>
        <w:pStyle w:val="TextBody"/>
        <w:rPr/>
      </w:pPr>
      <w:r>
        <w:rPr/>
        <w:t> </w:t>
      </w:r>
    </w:p>
    <w:tbl>
      <w:tblPr>
        <w:tblW w:w="8364" w:type="dxa"/>
        <w:jc w:val="left"/>
        <w:tblInd w:w="0" w:type="dxa"/>
        <w:tblCellMar>
          <w:top w:w="0" w:type="dxa"/>
          <w:left w:w="0" w:type="dxa"/>
          <w:bottom w:w="0" w:type="dxa"/>
          <w:right w:w="0" w:type="dxa"/>
        </w:tblCellMar>
      </w:tblPr>
      <w:tblGrid>
        <w:gridCol w:w="1355"/>
        <w:gridCol w:w="6734"/>
        <w:gridCol w:w="275"/>
      </w:tblGrid>
      <w:tr>
        <w:trPr/>
        <w:tc>
          <w:tcPr>
            <w:tcW w:w="1355" w:type="dxa"/>
            <w:tcBorders/>
            <w:shd w:fill="auto" w:val="clear"/>
            <w:vAlign w:val="center"/>
          </w:tcPr>
          <w:p>
            <w:pPr>
              <w:pStyle w:val="TableContents"/>
              <w:spacing w:before="0" w:after="283"/>
              <w:ind w:left="0" w:right="0" w:hanging="360"/>
              <w:jc w:val="left"/>
              <w:rPr/>
            </w:pPr>
            <w:r>
              <w:rPr/>
              <w:t>Section 10.</w:t>
            </w:r>
          </w:p>
        </w:tc>
        <w:tc>
          <w:tcPr>
            <w:tcW w:w="6734" w:type="dxa"/>
            <w:tcBorders/>
            <w:shd w:fill="auto" w:val="clear"/>
            <w:vAlign w:val="center"/>
          </w:tcPr>
          <w:p>
            <w:pPr>
              <w:pStyle w:val="TableContents"/>
              <w:spacing w:before="0" w:after="283"/>
              <w:jc w:val="left"/>
              <w:rPr/>
            </w:pPr>
            <w:r>
              <w:rPr/>
              <w:t>RESTRICTED STOCK UNITS</w:t>
            </w:r>
          </w:p>
        </w:tc>
        <w:tc>
          <w:tcPr>
            <w:tcW w:w="275" w:type="dxa"/>
            <w:tcBorders/>
            <w:shd w:fill="auto" w:val="clear"/>
            <w:vAlign w:val="center"/>
          </w:tcPr>
          <w:p>
            <w:pPr>
              <w:pStyle w:val="TableContents"/>
              <w:spacing w:before="0" w:after="283"/>
              <w:ind w:left="0" w:right="0" w:hanging="540"/>
              <w:jc w:val="right"/>
              <w:rPr/>
            </w:pPr>
            <w:r>
              <w:rPr/>
              <w:t>15</w:t>
            </w:r>
          </w:p>
        </w:tc>
      </w:tr>
      <w:tr>
        <w:trPr/>
        <w:tc>
          <w:tcPr>
            <w:tcW w:w="8089" w:type="dxa"/>
            <w:gridSpan w:val="2"/>
            <w:tcBorders/>
            <w:shd w:fill="auto" w:val="clear"/>
            <w:vAlign w:val="center"/>
          </w:tcPr>
          <w:p>
            <w:pPr>
              <w:pStyle w:val="TableContents"/>
              <w:spacing w:before="0" w:after="283"/>
              <w:jc w:val="left"/>
              <w:rPr/>
            </w:pPr>
            <w:r>
              <w:rPr/>
              <w:t>(a)   Restricted Stock Unit Award Agreement</w:t>
            </w:r>
          </w:p>
        </w:tc>
        <w:tc>
          <w:tcPr>
            <w:tcW w:w="275" w:type="dxa"/>
            <w:tcBorders/>
            <w:shd w:fill="auto" w:val="clear"/>
            <w:vAlign w:val="center"/>
          </w:tcPr>
          <w:p>
            <w:pPr>
              <w:pStyle w:val="TableContents"/>
              <w:spacing w:before="0" w:after="283"/>
              <w:ind w:left="0" w:right="0" w:hanging="540"/>
              <w:jc w:val="right"/>
              <w:rPr/>
            </w:pPr>
            <w:r>
              <w:rPr/>
              <w:t>15</w:t>
            </w:r>
          </w:p>
        </w:tc>
      </w:tr>
      <w:tr>
        <w:trPr/>
        <w:tc>
          <w:tcPr>
            <w:tcW w:w="8089" w:type="dxa"/>
            <w:gridSpan w:val="2"/>
            <w:tcBorders/>
            <w:shd w:fill="auto" w:val="clear"/>
            <w:vAlign w:val="center"/>
          </w:tcPr>
          <w:p>
            <w:pPr>
              <w:pStyle w:val="TableContents"/>
              <w:spacing w:before="0" w:after="283"/>
              <w:jc w:val="left"/>
              <w:rPr/>
            </w:pPr>
            <w:r>
              <w:rPr/>
              <w:t>(b)   Payment for Awards</w:t>
            </w:r>
          </w:p>
        </w:tc>
        <w:tc>
          <w:tcPr>
            <w:tcW w:w="275" w:type="dxa"/>
            <w:tcBorders/>
            <w:shd w:fill="auto" w:val="clear"/>
            <w:vAlign w:val="center"/>
          </w:tcPr>
          <w:p>
            <w:pPr>
              <w:pStyle w:val="TableContents"/>
              <w:spacing w:before="0" w:after="283"/>
              <w:ind w:left="0" w:right="0" w:hanging="540"/>
              <w:jc w:val="right"/>
              <w:rPr/>
            </w:pPr>
            <w:r>
              <w:rPr/>
              <w:t>15</w:t>
            </w:r>
          </w:p>
        </w:tc>
      </w:tr>
      <w:tr>
        <w:trPr/>
        <w:tc>
          <w:tcPr>
            <w:tcW w:w="8089" w:type="dxa"/>
            <w:gridSpan w:val="2"/>
            <w:tcBorders/>
            <w:shd w:fill="auto" w:val="clear"/>
            <w:vAlign w:val="center"/>
          </w:tcPr>
          <w:p>
            <w:pPr>
              <w:pStyle w:val="TableContents"/>
              <w:spacing w:before="0" w:after="283"/>
              <w:jc w:val="left"/>
              <w:rPr/>
            </w:pPr>
            <w:r>
              <w:rPr/>
              <w:t>(c)   Vesting Conditions</w:t>
            </w:r>
          </w:p>
        </w:tc>
        <w:tc>
          <w:tcPr>
            <w:tcW w:w="275" w:type="dxa"/>
            <w:tcBorders/>
            <w:shd w:fill="auto" w:val="clear"/>
            <w:vAlign w:val="center"/>
          </w:tcPr>
          <w:p>
            <w:pPr>
              <w:pStyle w:val="TableContents"/>
              <w:spacing w:before="0" w:after="283"/>
              <w:ind w:left="0" w:right="0" w:hanging="540"/>
              <w:jc w:val="right"/>
              <w:rPr/>
            </w:pPr>
            <w:r>
              <w:rPr/>
              <w:t>16</w:t>
            </w:r>
          </w:p>
        </w:tc>
      </w:tr>
      <w:tr>
        <w:trPr/>
        <w:tc>
          <w:tcPr>
            <w:tcW w:w="8089" w:type="dxa"/>
            <w:gridSpan w:val="2"/>
            <w:tcBorders/>
            <w:shd w:fill="auto" w:val="clear"/>
            <w:vAlign w:val="center"/>
          </w:tcPr>
          <w:p>
            <w:pPr>
              <w:pStyle w:val="TableContents"/>
              <w:spacing w:before="0" w:after="283"/>
              <w:jc w:val="left"/>
              <w:rPr/>
            </w:pPr>
            <w:r>
              <w:rPr/>
              <w:t>(d)   Voting and Dividend Rights</w:t>
            </w:r>
          </w:p>
        </w:tc>
        <w:tc>
          <w:tcPr>
            <w:tcW w:w="275" w:type="dxa"/>
            <w:tcBorders/>
            <w:shd w:fill="auto" w:val="clear"/>
            <w:vAlign w:val="center"/>
          </w:tcPr>
          <w:p>
            <w:pPr>
              <w:pStyle w:val="TableContents"/>
              <w:spacing w:before="0" w:after="283"/>
              <w:ind w:left="0" w:right="0" w:hanging="540"/>
              <w:jc w:val="right"/>
              <w:rPr/>
            </w:pPr>
            <w:r>
              <w:rPr/>
              <w:t>16</w:t>
            </w:r>
          </w:p>
        </w:tc>
      </w:tr>
      <w:tr>
        <w:trPr/>
        <w:tc>
          <w:tcPr>
            <w:tcW w:w="8089" w:type="dxa"/>
            <w:gridSpan w:val="2"/>
            <w:tcBorders/>
            <w:shd w:fill="auto" w:val="clear"/>
            <w:vAlign w:val="center"/>
          </w:tcPr>
          <w:p>
            <w:pPr>
              <w:pStyle w:val="TableContents"/>
              <w:spacing w:before="0" w:after="283"/>
              <w:jc w:val="left"/>
              <w:rPr/>
            </w:pPr>
            <w:r>
              <w:rPr/>
              <w:t>(e)   Form and Time of Settlement of Restricted Stock Units</w:t>
            </w:r>
          </w:p>
        </w:tc>
        <w:tc>
          <w:tcPr>
            <w:tcW w:w="275" w:type="dxa"/>
            <w:tcBorders/>
            <w:shd w:fill="auto" w:val="clear"/>
            <w:vAlign w:val="center"/>
          </w:tcPr>
          <w:p>
            <w:pPr>
              <w:pStyle w:val="TableContents"/>
              <w:spacing w:before="0" w:after="283"/>
              <w:ind w:left="0" w:right="0" w:hanging="540"/>
              <w:jc w:val="right"/>
              <w:rPr/>
            </w:pPr>
            <w:r>
              <w:rPr/>
              <w:t>16</w:t>
            </w:r>
          </w:p>
        </w:tc>
      </w:tr>
      <w:tr>
        <w:trPr/>
        <w:tc>
          <w:tcPr>
            <w:tcW w:w="8089" w:type="dxa"/>
            <w:gridSpan w:val="2"/>
            <w:tcBorders/>
            <w:shd w:fill="auto" w:val="clear"/>
            <w:vAlign w:val="center"/>
          </w:tcPr>
          <w:p>
            <w:pPr>
              <w:pStyle w:val="TableContents"/>
              <w:spacing w:before="0" w:after="283"/>
              <w:jc w:val="left"/>
              <w:rPr/>
            </w:pPr>
            <w:r>
              <w:rPr/>
              <w:t>(f)    Death of Participant</w:t>
            </w:r>
          </w:p>
        </w:tc>
        <w:tc>
          <w:tcPr>
            <w:tcW w:w="275" w:type="dxa"/>
            <w:tcBorders/>
            <w:shd w:fill="auto" w:val="clear"/>
            <w:vAlign w:val="center"/>
          </w:tcPr>
          <w:p>
            <w:pPr>
              <w:pStyle w:val="TableContents"/>
              <w:spacing w:before="0" w:after="283"/>
              <w:ind w:left="0" w:right="0" w:hanging="540"/>
              <w:jc w:val="right"/>
              <w:rPr/>
            </w:pPr>
            <w:r>
              <w:rPr/>
              <w:t>16</w:t>
            </w:r>
          </w:p>
        </w:tc>
      </w:tr>
      <w:tr>
        <w:trPr/>
        <w:tc>
          <w:tcPr>
            <w:tcW w:w="8089" w:type="dxa"/>
            <w:gridSpan w:val="2"/>
            <w:tcBorders/>
            <w:shd w:fill="auto" w:val="clear"/>
            <w:vAlign w:val="center"/>
          </w:tcPr>
          <w:p>
            <w:pPr>
              <w:pStyle w:val="TableContents"/>
              <w:spacing w:before="0" w:after="283"/>
              <w:jc w:val="left"/>
              <w:rPr/>
            </w:pPr>
            <w:r>
              <w:rPr/>
              <w:t>(g)   Creditors’ Rights</w:t>
            </w:r>
          </w:p>
        </w:tc>
        <w:tc>
          <w:tcPr>
            <w:tcW w:w="275" w:type="dxa"/>
            <w:tcBorders/>
            <w:shd w:fill="auto" w:val="clear"/>
            <w:vAlign w:val="center"/>
          </w:tcPr>
          <w:p>
            <w:pPr>
              <w:pStyle w:val="TableContents"/>
              <w:spacing w:before="0" w:after="283"/>
              <w:ind w:left="0" w:right="0" w:hanging="360"/>
              <w:jc w:val="right"/>
              <w:rPr/>
            </w:pPr>
            <w:r>
              <w:rPr/>
              <w:t>16</w:t>
            </w:r>
          </w:p>
        </w:tc>
      </w:tr>
      <w:tr>
        <w:trPr/>
        <w:tc>
          <w:tcPr>
            <w:tcW w:w="1355" w:type="dxa"/>
            <w:tcBorders/>
            <w:shd w:fill="auto" w:val="clear"/>
            <w:vAlign w:val="center"/>
          </w:tcPr>
          <w:p>
            <w:pPr>
              <w:pStyle w:val="TableContents"/>
              <w:spacing w:before="0" w:after="283"/>
              <w:ind w:left="0" w:right="0" w:hanging="360"/>
              <w:jc w:val="left"/>
              <w:rPr/>
            </w:pPr>
            <w:r>
              <w:rPr/>
              <w:t>Section 11.</w:t>
            </w:r>
          </w:p>
        </w:tc>
        <w:tc>
          <w:tcPr>
            <w:tcW w:w="6734" w:type="dxa"/>
            <w:tcBorders/>
            <w:shd w:fill="auto" w:val="clear"/>
            <w:vAlign w:val="center"/>
          </w:tcPr>
          <w:p>
            <w:pPr>
              <w:pStyle w:val="TableContents"/>
              <w:spacing w:before="0" w:after="283"/>
              <w:jc w:val="left"/>
              <w:rPr/>
            </w:pPr>
            <w:r>
              <w:rPr/>
              <w:t>CASH-BASED AWARDS</w:t>
            </w:r>
          </w:p>
        </w:tc>
        <w:tc>
          <w:tcPr>
            <w:tcW w:w="275" w:type="dxa"/>
            <w:tcBorders/>
            <w:shd w:fill="auto" w:val="clear"/>
            <w:vAlign w:val="center"/>
          </w:tcPr>
          <w:p>
            <w:pPr>
              <w:pStyle w:val="TableContents"/>
              <w:spacing w:before="0" w:after="283"/>
              <w:ind w:left="0" w:right="0" w:hanging="360"/>
              <w:jc w:val="right"/>
              <w:rPr/>
            </w:pPr>
            <w:r>
              <w:rPr/>
              <w:t>17</w:t>
            </w:r>
          </w:p>
        </w:tc>
      </w:tr>
      <w:tr>
        <w:trPr/>
        <w:tc>
          <w:tcPr>
            <w:tcW w:w="1355" w:type="dxa"/>
            <w:tcBorders/>
            <w:shd w:fill="auto" w:val="clear"/>
            <w:vAlign w:val="center"/>
          </w:tcPr>
          <w:p>
            <w:pPr>
              <w:pStyle w:val="TableContents"/>
              <w:spacing w:before="0" w:after="283"/>
              <w:ind w:left="0" w:right="0" w:hanging="360"/>
              <w:jc w:val="left"/>
              <w:rPr/>
            </w:pPr>
            <w:r>
              <w:rPr/>
              <w:t>Section 12.</w:t>
            </w:r>
          </w:p>
        </w:tc>
        <w:tc>
          <w:tcPr>
            <w:tcW w:w="6734" w:type="dxa"/>
            <w:tcBorders/>
            <w:shd w:fill="auto" w:val="clear"/>
            <w:vAlign w:val="center"/>
          </w:tcPr>
          <w:p>
            <w:pPr>
              <w:pStyle w:val="TableContents"/>
              <w:spacing w:before="0" w:after="283"/>
              <w:jc w:val="left"/>
              <w:rPr/>
            </w:pPr>
            <w:r>
              <w:rPr/>
              <w:t>STOCK PURCHASE RIGHTS</w:t>
            </w:r>
          </w:p>
        </w:tc>
        <w:tc>
          <w:tcPr>
            <w:tcW w:w="275" w:type="dxa"/>
            <w:tcBorders/>
            <w:shd w:fill="auto" w:val="clear"/>
            <w:vAlign w:val="center"/>
          </w:tcPr>
          <w:p>
            <w:pPr>
              <w:pStyle w:val="TableContents"/>
              <w:spacing w:before="0" w:after="283"/>
              <w:ind w:left="0" w:right="0" w:hanging="360"/>
              <w:jc w:val="right"/>
              <w:rPr/>
            </w:pPr>
            <w:r>
              <w:rPr/>
              <w:t>17</w:t>
            </w:r>
          </w:p>
        </w:tc>
      </w:tr>
      <w:tr>
        <w:trPr/>
        <w:tc>
          <w:tcPr>
            <w:tcW w:w="1355" w:type="dxa"/>
            <w:tcBorders/>
            <w:shd w:fill="auto" w:val="clear"/>
            <w:vAlign w:val="center"/>
          </w:tcPr>
          <w:p>
            <w:pPr>
              <w:pStyle w:val="TableContents"/>
              <w:spacing w:before="0" w:after="283"/>
              <w:ind w:left="0" w:right="0" w:hanging="360"/>
              <w:jc w:val="left"/>
              <w:rPr/>
            </w:pPr>
            <w:r>
              <w:rPr/>
              <w:t>Section 13.</w:t>
            </w:r>
          </w:p>
        </w:tc>
        <w:tc>
          <w:tcPr>
            <w:tcW w:w="6734" w:type="dxa"/>
            <w:tcBorders/>
            <w:shd w:fill="auto" w:val="clear"/>
            <w:vAlign w:val="center"/>
          </w:tcPr>
          <w:p>
            <w:pPr>
              <w:pStyle w:val="TableContents"/>
              <w:spacing w:before="0" w:after="283"/>
              <w:jc w:val="left"/>
              <w:rPr/>
            </w:pPr>
            <w:r>
              <w:rPr/>
              <w:t>ADJUSTMENT OF SHARES</w:t>
            </w:r>
          </w:p>
        </w:tc>
        <w:tc>
          <w:tcPr>
            <w:tcW w:w="275" w:type="dxa"/>
            <w:tcBorders/>
            <w:shd w:fill="auto" w:val="clear"/>
            <w:vAlign w:val="center"/>
          </w:tcPr>
          <w:p>
            <w:pPr>
              <w:pStyle w:val="TableContents"/>
              <w:spacing w:before="0" w:after="283"/>
              <w:ind w:left="0" w:right="0" w:hanging="540"/>
              <w:jc w:val="right"/>
              <w:rPr/>
            </w:pPr>
            <w:r>
              <w:rPr/>
              <w:t>17</w:t>
            </w:r>
          </w:p>
        </w:tc>
      </w:tr>
      <w:tr>
        <w:trPr/>
        <w:tc>
          <w:tcPr>
            <w:tcW w:w="8089" w:type="dxa"/>
            <w:gridSpan w:val="2"/>
            <w:tcBorders/>
            <w:shd w:fill="auto" w:val="clear"/>
            <w:vAlign w:val="center"/>
          </w:tcPr>
          <w:p>
            <w:pPr>
              <w:pStyle w:val="TableContents"/>
              <w:spacing w:before="0" w:after="283"/>
              <w:jc w:val="left"/>
              <w:rPr/>
            </w:pPr>
            <w:r>
              <w:rPr/>
              <w:t>(a)   Adjustments</w:t>
            </w:r>
          </w:p>
        </w:tc>
        <w:tc>
          <w:tcPr>
            <w:tcW w:w="275" w:type="dxa"/>
            <w:tcBorders/>
            <w:shd w:fill="auto" w:val="clear"/>
            <w:vAlign w:val="center"/>
          </w:tcPr>
          <w:p>
            <w:pPr>
              <w:pStyle w:val="TableContents"/>
              <w:spacing w:before="0" w:after="283"/>
              <w:ind w:left="0" w:right="0" w:hanging="540"/>
              <w:jc w:val="right"/>
              <w:rPr/>
            </w:pPr>
            <w:r>
              <w:rPr/>
              <w:t>17</w:t>
            </w:r>
          </w:p>
        </w:tc>
      </w:tr>
      <w:tr>
        <w:trPr/>
        <w:tc>
          <w:tcPr>
            <w:tcW w:w="8089" w:type="dxa"/>
            <w:gridSpan w:val="2"/>
            <w:tcBorders/>
            <w:shd w:fill="auto" w:val="clear"/>
            <w:vAlign w:val="center"/>
          </w:tcPr>
          <w:p>
            <w:pPr>
              <w:pStyle w:val="TableContents"/>
              <w:spacing w:before="0" w:after="283"/>
              <w:jc w:val="left"/>
              <w:rPr/>
            </w:pPr>
            <w:r>
              <w:rPr/>
              <w:t>(b)   Dissolution or Liquidation</w:t>
            </w:r>
          </w:p>
        </w:tc>
        <w:tc>
          <w:tcPr>
            <w:tcW w:w="275" w:type="dxa"/>
            <w:tcBorders/>
            <w:shd w:fill="auto" w:val="clear"/>
            <w:vAlign w:val="center"/>
          </w:tcPr>
          <w:p>
            <w:pPr>
              <w:pStyle w:val="TableContents"/>
              <w:spacing w:before="0" w:after="283"/>
              <w:ind w:left="0" w:right="0" w:hanging="540"/>
              <w:jc w:val="right"/>
              <w:rPr/>
            </w:pPr>
            <w:r>
              <w:rPr/>
              <w:t>18</w:t>
            </w:r>
          </w:p>
        </w:tc>
      </w:tr>
      <w:tr>
        <w:trPr/>
        <w:tc>
          <w:tcPr>
            <w:tcW w:w="8089" w:type="dxa"/>
            <w:gridSpan w:val="2"/>
            <w:tcBorders/>
            <w:shd w:fill="auto" w:val="clear"/>
            <w:vAlign w:val="center"/>
          </w:tcPr>
          <w:p>
            <w:pPr>
              <w:pStyle w:val="TableContents"/>
              <w:spacing w:before="0" w:after="283"/>
              <w:jc w:val="left"/>
              <w:rPr/>
            </w:pPr>
            <w:r>
              <w:rPr/>
              <w:t>(c)   Merger or Reorganization</w:t>
            </w:r>
          </w:p>
        </w:tc>
        <w:tc>
          <w:tcPr>
            <w:tcW w:w="275" w:type="dxa"/>
            <w:tcBorders/>
            <w:shd w:fill="auto" w:val="clear"/>
            <w:vAlign w:val="center"/>
          </w:tcPr>
          <w:p>
            <w:pPr>
              <w:pStyle w:val="TableContents"/>
              <w:spacing w:before="0" w:after="283"/>
              <w:ind w:left="0" w:right="0" w:hanging="540"/>
              <w:jc w:val="right"/>
              <w:rPr/>
            </w:pPr>
            <w:r>
              <w:rPr/>
              <w:t>18</w:t>
            </w:r>
          </w:p>
        </w:tc>
      </w:tr>
      <w:tr>
        <w:trPr/>
        <w:tc>
          <w:tcPr>
            <w:tcW w:w="8089" w:type="dxa"/>
            <w:gridSpan w:val="2"/>
            <w:tcBorders/>
            <w:shd w:fill="auto" w:val="clear"/>
            <w:vAlign w:val="center"/>
          </w:tcPr>
          <w:p>
            <w:pPr>
              <w:pStyle w:val="TableContents"/>
              <w:spacing w:before="0" w:after="283"/>
              <w:jc w:val="left"/>
              <w:rPr/>
            </w:pPr>
            <w:r>
              <w:rPr/>
              <w:t>(d)   Change in Control</w:t>
            </w:r>
          </w:p>
        </w:tc>
        <w:tc>
          <w:tcPr>
            <w:tcW w:w="275" w:type="dxa"/>
            <w:tcBorders/>
            <w:shd w:fill="auto" w:val="clear"/>
            <w:vAlign w:val="center"/>
          </w:tcPr>
          <w:p>
            <w:pPr>
              <w:pStyle w:val="TableContents"/>
              <w:spacing w:before="0" w:after="283"/>
              <w:ind w:left="0" w:right="0" w:hanging="540"/>
              <w:jc w:val="right"/>
              <w:rPr/>
            </w:pPr>
            <w:r>
              <w:rPr/>
              <w:t>19</w:t>
            </w:r>
          </w:p>
        </w:tc>
      </w:tr>
      <w:tr>
        <w:trPr/>
        <w:tc>
          <w:tcPr>
            <w:tcW w:w="8089" w:type="dxa"/>
            <w:gridSpan w:val="2"/>
            <w:tcBorders/>
            <w:shd w:fill="auto" w:val="clear"/>
            <w:vAlign w:val="center"/>
          </w:tcPr>
          <w:p>
            <w:pPr>
              <w:pStyle w:val="TableContents"/>
              <w:spacing w:before="0" w:after="283"/>
              <w:jc w:val="left"/>
              <w:rPr/>
            </w:pPr>
            <w:r>
              <w:rPr/>
              <w:t>(e)   Reservation of Rights</w:t>
            </w:r>
          </w:p>
        </w:tc>
        <w:tc>
          <w:tcPr>
            <w:tcW w:w="275" w:type="dxa"/>
            <w:tcBorders/>
            <w:shd w:fill="auto" w:val="clear"/>
            <w:vAlign w:val="center"/>
          </w:tcPr>
          <w:p>
            <w:pPr>
              <w:pStyle w:val="TableContents"/>
              <w:spacing w:before="0" w:after="283"/>
              <w:ind w:left="0" w:right="0" w:hanging="360"/>
              <w:jc w:val="right"/>
              <w:rPr/>
            </w:pPr>
            <w:r>
              <w:rPr/>
              <w:t>19</w:t>
            </w:r>
          </w:p>
        </w:tc>
      </w:tr>
      <w:tr>
        <w:trPr/>
        <w:tc>
          <w:tcPr>
            <w:tcW w:w="1355" w:type="dxa"/>
            <w:tcBorders/>
            <w:shd w:fill="auto" w:val="clear"/>
            <w:vAlign w:val="center"/>
          </w:tcPr>
          <w:p>
            <w:pPr>
              <w:pStyle w:val="TableContents"/>
              <w:spacing w:before="0" w:after="283"/>
              <w:ind w:left="0" w:right="0" w:hanging="360"/>
              <w:jc w:val="left"/>
              <w:rPr/>
            </w:pPr>
            <w:r>
              <w:rPr/>
              <w:t>Section 14.</w:t>
            </w:r>
          </w:p>
        </w:tc>
        <w:tc>
          <w:tcPr>
            <w:tcW w:w="6734" w:type="dxa"/>
            <w:tcBorders/>
            <w:shd w:fill="auto" w:val="clear"/>
            <w:vAlign w:val="center"/>
          </w:tcPr>
          <w:p>
            <w:pPr>
              <w:pStyle w:val="TableContents"/>
              <w:spacing w:before="0" w:after="283"/>
              <w:jc w:val="left"/>
              <w:rPr/>
            </w:pPr>
            <w:r>
              <w:rPr/>
              <w:t>DEFERRAL OF AWARDS</w:t>
            </w:r>
          </w:p>
        </w:tc>
        <w:tc>
          <w:tcPr>
            <w:tcW w:w="275" w:type="dxa"/>
            <w:tcBorders/>
            <w:shd w:fill="auto" w:val="clear"/>
            <w:vAlign w:val="center"/>
          </w:tcPr>
          <w:p>
            <w:pPr>
              <w:pStyle w:val="TableContents"/>
              <w:spacing w:before="0" w:after="283"/>
              <w:ind w:left="0" w:right="0" w:hanging="540"/>
              <w:jc w:val="right"/>
              <w:rPr/>
            </w:pPr>
            <w:r>
              <w:rPr/>
              <w:t>20</w:t>
            </w:r>
          </w:p>
        </w:tc>
      </w:tr>
      <w:tr>
        <w:trPr/>
        <w:tc>
          <w:tcPr>
            <w:tcW w:w="8089" w:type="dxa"/>
            <w:gridSpan w:val="2"/>
            <w:tcBorders/>
            <w:shd w:fill="auto" w:val="clear"/>
            <w:vAlign w:val="center"/>
          </w:tcPr>
          <w:p>
            <w:pPr>
              <w:pStyle w:val="TableContents"/>
              <w:spacing w:before="0" w:after="283"/>
              <w:jc w:val="left"/>
              <w:rPr/>
            </w:pPr>
            <w:r>
              <w:rPr/>
              <w:t>(a)   Committee Powers</w:t>
            </w:r>
          </w:p>
        </w:tc>
        <w:tc>
          <w:tcPr>
            <w:tcW w:w="275" w:type="dxa"/>
            <w:tcBorders/>
            <w:shd w:fill="auto" w:val="clear"/>
            <w:vAlign w:val="center"/>
          </w:tcPr>
          <w:p>
            <w:pPr>
              <w:pStyle w:val="TableContents"/>
              <w:spacing w:before="0" w:after="283"/>
              <w:ind w:left="0" w:right="0" w:hanging="540"/>
              <w:jc w:val="right"/>
              <w:rPr/>
            </w:pPr>
            <w:r>
              <w:rPr/>
              <w:t>20</w:t>
            </w:r>
          </w:p>
        </w:tc>
      </w:tr>
      <w:tr>
        <w:trPr/>
        <w:tc>
          <w:tcPr>
            <w:tcW w:w="8089" w:type="dxa"/>
            <w:gridSpan w:val="2"/>
            <w:tcBorders/>
            <w:shd w:fill="auto" w:val="clear"/>
            <w:vAlign w:val="center"/>
          </w:tcPr>
          <w:p>
            <w:pPr>
              <w:pStyle w:val="TableContents"/>
              <w:spacing w:before="0" w:after="283"/>
              <w:jc w:val="left"/>
              <w:rPr/>
            </w:pPr>
            <w:r>
              <w:rPr/>
              <w:t>(b)   General Rules</w:t>
            </w:r>
          </w:p>
        </w:tc>
        <w:tc>
          <w:tcPr>
            <w:tcW w:w="275" w:type="dxa"/>
            <w:tcBorders/>
            <w:shd w:fill="auto" w:val="clear"/>
            <w:vAlign w:val="center"/>
          </w:tcPr>
          <w:p>
            <w:pPr>
              <w:pStyle w:val="TableContents"/>
              <w:spacing w:before="0" w:after="283"/>
              <w:ind w:left="0" w:right="0" w:hanging="360"/>
              <w:jc w:val="right"/>
              <w:rPr/>
            </w:pPr>
            <w:r>
              <w:rPr/>
              <w:t>20</w:t>
            </w:r>
          </w:p>
        </w:tc>
      </w:tr>
      <w:tr>
        <w:trPr/>
        <w:tc>
          <w:tcPr>
            <w:tcW w:w="1355" w:type="dxa"/>
            <w:tcBorders/>
            <w:shd w:fill="auto" w:val="clear"/>
            <w:vAlign w:val="center"/>
          </w:tcPr>
          <w:p>
            <w:pPr>
              <w:pStyle w:val="TableContents"/>
              <w:spacing w:before="0" w:after="283"/>
              <w:ind w:left="0" w:right="0" w:hanging="360"/>
              <w:jc w:val="left"/>
              <w:rPr/>
            </w:pPr>
            <w:r>
              <w:rPr/>
              <w:t>Section 15.</w:t>
            </w:r>
          </w:p>
        </w:tc>
        <w:tc>
          <w:tcPr>
            <w:tcW w:w="6734" w:type="dxa"/>
            <w:tcBorders/>
            <w:shd w:fill="auto" w:val="clear"/>
            <w:vAlign w:val="center"/>
          </w:tcPr>
          <w:p>
            <w:pPr>
              <w:pStyle w:val="TableContents"/>
              <w:spacing w:before="0" w:after="283"/>
              <w:jc w:val="left"/>
              <w:rPr/>
            </w:pPr>
            <w:r>
              <w:rPr/>
              <w:t>AWARDS UNDER OTHER PLANS</w:t>
            </w:r>
          </w:p>
        </w:tc>
        <w:tc>
          <w:tcPr>
            <w:tcW w:w="275" w:type="dxa"/>
            <w:tcBorders/>
            <w:shd w:fill="auto" w:val="clear"/>
            <w:vAlign w:val="center"/>
          </w:tcPr>
          <w:p>
            <w:pPr>
              <w:pStyle w:val="TableContents"/>
              <w:spacing w:before="0" w:after="283"/>
              <w:ind w:left="0" w:right="0" w:hanging="360"/>
              <w:jc w:val="right"/>
              <w:rPr/>
            </w:pPr>
            <w:r>
              <w:rPr/>
              <w:t>20</w:t>
            </w:r>
          </w:p>
        </w:tc>
      </w:tr>
      <w:tr>
        <w:trPr/>
        <w:tc>
          <w:tcPr>
            <w:tcW w:w="1355" w:type="dxa"/>
            <w:tcBorders/>
            <w:shd w:fill="auto" w:val="clear"/>
            <w:vAlign w:val="center"/>
          </w:tcPr>
          <w:p>
            <w:pPr>
              <w:pStyle w:val="TableContents"/>
              <w:spacing w:before="0" w:after="283"/>
              <w:ind w:left="0" w:right="0" w:hanging="360"/>
              <w:jc w:val="left"/>
              <w:rPr/>
            </w:pPr>
            <w:r>
              <w:rPr/>
              <w:t>Section 16.</w:t>
            </w:r>
          </w:p>
        </w:tc>
        <w:tc>
          <w:tcPr>
            <w:tcW w:w="6734" w:type="dxa"/>
            <w:tcBorders/>
            <w:shd w:fill="auto" w:val="clear"/>
            <w:vAlign w:val="center"/>
          </w:tcPr>
          <w:p>
            <w:pPr>
              <w:pStyle w:val="TableContents"/>
              <w:spacing w:before="0" w:after="283"/>
              <w:jc w:val="left"/>
              <w:rPr/>
            </w:pPr>
            <w:r>
              <w:rPr/>
              <w:t>PAYMENT OF DIRECTOR’S FEES IN SECURITIES</w:t>
            </w:r>
          </w:p>
        </w:tc>
        <w:tc>
          <w:tcPr>
            <w:tcW w:w="275" w:type="dxa"/>
            <w:tcBorders/>
            <w:shd w:fill="auto" w:val="clear"/>
            <w:vAlign w:val="center"/>
          </w:tcPr>
          <w:p>
            <w:pPr>
              <w:pStyle w:val="TableContents"/>
              <w:spacing w:before="0" w:after="283"/>
              <w:ind w:left="0" w:right="0" w:hanging="540"/>
              <w:jc w:val="right"/>
              <w:rPr/>
            </w:pPr>
            <w:r>
              <w:rPr/>
              <w:t>21</w:t>
            </w:r>
          </w:p>
        </w:tc>
      </w:tr>
      <w:tr>
        <w:trPr/>
        <w:tc>
          <w:tcPr>
            <w:tcW w:w="8089" w:type="dxa"/>
            <w:gridSpan w:val="2"/>
            <w:tcBorders/>
            <w:shd w:fill="auto" w:val="clear"/>
            <w:vAlign w:val="center"/>
          </w:tcPr>
          <w:p>
            <w:pPr>
              <w:pStyle w:val="TableContents"/>
              <w:spacing w:before="0" w:after="283"/>
              <w:jc w:val="left"/>
              <w:rPr/>
            </w:pPr>
            <w:r>
              <w:rPr/>
              <w:t>(a)   Effective Date</w:t>
            </w:r>
          </w:p>
        </w:tc>
        <w:tc>
          <w:tcPr>
            <w:tcW w:w="275" w:type="dxa"/>
            <w:tcBorders/>
            <w:shd w:fill="auto" w:val="clear"/>
            <w:vAlign w:val="center"/>
          </w:tcPr>
          <w:p>
            <w:pPr>
              <w:pStyle w:val="TableContents"/>
              <w:spacing w:before="0" w:after="283"/>
              <w:ind w:left="0" w:right="0" w:hanging="540"/>
              <w:jc w:val="right"/>
              <w:rPr/>
            </w:pPr>
            <w:r>
              <w:rPr/>
              <w:t>21</w:t>
            </w:r>
          </w:p>
        </w:tc>
      </w:tr>
      <w:tr>
        <w:trPr/>
        <w:tc>
          <w:tcPr>
            <w:tcW w:w="8089" w:type="dxa"/>
            <w:gridSpan w:val="2"/>
            <w:tcBorders/>
            <w:shd w:fill="auto" w:val="clear"/>
            <w:vAlign w:val="center"/>
          </w:tcPr>
          <w:p>
            <w:pPr>
              <w:pStyle w:val="TableContents"/>
              <w:spacing w:before="0" w:after="283"/>
              <w:jc w:val="left"/>
              <w:rPr/>
            </w:pPr>
            <w:r>
              <w:rPr/>
              <w:t>(b)   Elections to Receive NSOs, SARs, Restricted Shares, or Restricted Stock Units</w:t>
            </w:r>
          </w:p>
        </w:tc>
        <w:tc>
          <w:tcPr>
            <w:tcW w:w="275" w:type="dxa"/>
            <w:tcBorders/>
            <w:shd w:fill="auto" w:val="clear"/>
            <w:vAlign w:val="center"/>
          </w:tcPr>
          <w:p>
            <w:pPr>
              <w:pStyle w:val="TableContents"/>
              <w:spacing w:before="0" w:after="283"/>
              <w:ind w:left="0" w:right="0" w:hanging="540"/>
              <w:jc w:val="right"/>
              <w:rPr/>
            </w:pPr>
            <w:r>
              <w:rPr/>
              <w:t>21</w:t>
            </w:r>
          </w:p>
        </w:tc>
      </w:tr>
      <w:tr>
        <w:trPr/>
        <w:tc>
          <w:tcPr>
            <w:tcW w:w="8089" w:type="dxa"/>
            <w:gridSpan w:val="2"/>
            <w:tcBorders/>
            <w:shd w:fill="auto" w:val="clear"/>
            <w:vAlign w:val="center"/>
          </w:tcPr>
          <w:p>
            <w:pPr>
              <w:pStyle w:val="TableContents"/>
              <w:spacing w:before="0" w:after="283"/>
              <w:jc w:val="left"/>
              <w:rPr/>
            </w:pPr>
            <w:r>
              <w:rPr/>
              <w:t>(c)   Number and Terms of NSOs, SARs, Restricted Shares or Restricted Stock Units</w:t>
            </w:r>
          </w:p>
        </w:tc>
        <w:tc>
          <w:tcPr>
            <w:tcW w:w="275" w:type="dxa"/>
            <w:tcBorders/>
            <w:shd w:fill="auto" w:val="clear"/>
            <w:vAlign w:val="center"/>
          </w:tcPr>
          <w:p>
            <w:pPr>
              <w:pStyle w:val="TableContents"/>
              <w:spacing w:before="0" w:after="283"/>
              <w:ind w:left="0" w:right="0" w:hanging="360"/>
              <w:jc w:val="right"/>
              <w:rPr/>
            </w:pPr>
            <w:r>
              <w:rPr/>
              <w:t>21</w:t>
            </w:r>
          </w:p>
        </w:tc>
      </w:tr>
      <w:tr>
        <w:trPr/>
        <w:tc>
          <w:tcPr>
            <w:tcW w:w="1355" w:type="dxa"/>
            <w:tcBorders/>
            <w:shd w:fill="auto" w:val="clear"/>
            <w:vAlign w:val="center"/>
          </w:tcPr>
          <w:p>
            <w:pPr>
              <w:pStyle w:val="TableContents"/>
              <w:spacing w:before="0" w:after="283"/>
              <w:ind w:left="0" w:right="0" w:hanging="360"/>
              <w:jc w:val="left"/>
              <w:rPr/>
            </w:pPr>
            <w:r>
              <w:rPr/>
              <w:t>Section 17.</w:t>
            </w:r>
          </w:p>
        </w:tc>
        <w:tc>
          <w:tcPr>
            <w:tcW w:w="6734" w:type="dxa"/>
            <w:tcBorders/>
            <w:shd w:fill="auto" w:val="clear"/>
            <w:vAlign w:val="center"/>
          </w:tcPr>
          <w:p>
            <w:pPr>
              <w:pStyle w:val="TableContents"/>
              <w:spacing w:before="0" w:after="283"/>
              <w:jc w:val="left"/>
              <w:rPr/>
            </w:pPr>
            <w:r>
              <w:rPr/>
              <w:t>LEGAL AND REGULATORY REQUIREMENTS</w:t>
            </w:r>
          </w:p>
        </w:tc>
        <w:tc>
          <w:tcPr>
            <w:tcW w:w="275" w:type="dxa"/>
            <w:tcBorders/>
            <w:shd w:fill="auto" w:val="clear"/>
            <w:vAlign w:val="center"/>
          </w:tcPr>
          <w:p>
            <w:pPr>
              <w:pStyle w:val="TableContents"/>
              <w:spacing w:before="0" w:after="283"/>
              <w:ind w:left="0" w:right="0" w:hanging="360"/>
              <w:jc w:val="right"/>
              <w:rPr/>
            </w:pPr>
            <w:r>
              <w:rPr/>
              <w:t>21</w:t>
            </w:r>
          </w:p>
        </w:tc>
      </w:tr>
      <w:tr>
        <w:trPr/>
        <w:tc>
          <w:tcPr>
            <w:tcW w:w="1355" w:type="dxa"/>
            <w:tcBorders/>
            <w:shd w:fill="auto" w:val="clear"/>
            <w:vAlign w:val="center"/>
          </w:tcPr>
          <w:p>
            <w:pPr>
              <w:pStyle w:val="TableContents"/>
              <w:spacing w:before="0" w:after="283"/>
              <w:ind w:left="0" w:right="0" w:hanging="360"/>
              <w:jc w:val="left"/>
              <w:rPr/>
            </w:pPr>
            <w:r>
              <w:rPr/>
              <w:t>Section 18.</w:t>
            </w:r>
          </w:p>
        </w:tc>
        <w:tc>
          <w:tcPr>
            <w:tcW w:w="6734" w:type="dxa"/>
            <w:tcBorders/>
            <w:shd w:fill="auto" w:val="clear"/>
            <w:vAlign w:val="center"/>
          </w:tcPr>
          <w:p>
            <w:pPr>
              <w:pStyle w:val="TableContents"/>
              <w:spacing w:before="0" w:after="283"/>
              <w:jc w:val="left"/>
              <w:rPr/>
            </w:pPr>
            <w:r>
              <w:rPr/>
              <w:t>TAXES</w:t>
            </w:r>
          </w:p>
        </w:tc>
        <w:tc>
          <w:tcPr>
            <w:tcW w:w="275" w:type="dxa"/>
            <w:tcBorders/>
            <w:shd w:fill="auto" w:val="clear"/>
            <w:vAlign w:val="center"/>
          </w:tcPr>
          <w:p>
            <w:pPr>
              <w:pStyle w:val="TableContents"/>
              <w:spacing w:before="0" w:after="283"/>
              <w:ind w:left="0" w:right="0" w:hanging="540"/>
              <w:jc w:val="right"/>
              <w:rPr/>
            </w:pPr>
            <w:r>
              <w:rPr/>
              <w:t>21</w:t>
            </w:r>
          </w:p>
        </w:tc>
      </w:tr>
      <w:tr>
        <w:trPr/>
        <w:tc>
          <w:tcPr>
            <w:tcW w:w="8089" w:type="dxa"/>
            <w:gridSpan w:val="2"/>
            <w:tcBorders/>
            <w:shd w:fill="auto" w:val="clear"/>
            <w:vAlign w:val="center"/>
          </w:tcPr>
          <w:p>
            <w:pPr>
              <w:pStyle w:val="TableContents"/>
              <w:spacing w:before="0" w:after="283"/>
              <w:jc w:val="left"/>
              <w:rPr/>
            </w:pPr>
            <w:r>
              <w:rPr/>
              <w:t>(a)   Withholding Taxes</w:t>
            </w:r>
          </w:p>
        </w:tc>
        <w:tc>
          <w:tcPr>
            <w:tcW w:w="275" w:type="dxa"/>
            <w:tcBorders/>
            <w:shd w:fill="auto" w:val="clear"/>
            <w:vAlign w:val="center"/>
          </w:tcPr>
          <w:p>
            <w:pPr>
              <w:pStyle w:val="TableContents"/>
              <w:spacing w:before="0" w:after="283"/>
              <w:ind w:left="0" w:right="0" w:hanging="540"/>
              <w:jc w:val="right"/>
              <w:rPr/>
            </w:pPr>
            <w:r>
              <w:rPr/>
              <w:t>21</w:t>
            </w:r>
          </w:p>
        </w:tc>
      </w:tr>
      <w:tr>
        <w:trPr/>
        <w:tc>
          <w:tcPr>
            <w:tcW w:w="8089" w:type="dxa"/>
            <w:gridSpan w:val="2"/>
            <w:tcBorders/>
            <w:shd w:fill="auto" w:val="clear"/>
            <w:vAlign w:val="center"/>
          </w:tcPr>
          <w:p>
            <w:pPr>
              <w:pStyle w:val="TableContents"/>
              <w:spacing w:before="0" w:after="283"/>
              <w:jc w:val="left"/>
              <w:rPr/>
            </w:pPr>
            <w:r>
              <w:rPr/>
              <w:t>(b)   Share Withholding</w:t>
            </w:r>
          </w:p>
        </w:tc>
        <w:tc>
          <w:tcPr>
            <w:tcW w:w="275" w:type="dxa"/>
            <w:tcBorders/>
            <w:shd w:fill="auto" w:val="clear"/>
            <w:vAlign w:val="center"/>
          </w:tcPr>
          <w:p>
            <w:pPr>
              <w:pStyle w:val="TableContents"/>
              <w:spacing w:before="0" w:after="283"/>
              <w:ind w:left="0" w:right="0" w:hanging="540"/>
              <w:jc w:val="right"/>
              <w:rPr/>
            </w:pPr>
            <w:r>
              <w:rPr/>
              <w:t>21</w:t>
            </w:r>
          </w:p>
        </w:tc>
      </w:tr>
      <w:tr>
        <w:trPr/>
        <w:tc>
          <w:tcPr>
            <w:tcW w:w="8089" w:type="dxa"/>
            <w:gridSpan w:val="2"/>
            <w:tcBorders/>
            <w:shd w:fill="auto" w:val="clear"/>
            <w:vAlign w:val="center"/>
          </w:tcPr>
          <w:p>
            <w:pPr>
              <w:pStyle w:val="TableContents"/>
              <w:spacing w:before="0" w:after="283"/>
              <w:jc w:val="left"/>
              <w:rPr/>
            </w:pPr>
            <w:r>
              <w:rPr/>
              <w:t>(c)   Section 409A</w:t>
            </w:r>
          </w:p>
        </w:tc>
        <w:tc>
          <w:tcPr>
            <w:tcW w:w="275" w:type="dxa"/>
            <w:tcBorders/>
            <w:shd w:fill="auto" w:val="clear"/>
            <w:vAlign w:val="center"/>
          </w:tcPr>
          <w:p>
            <w:pPr>
              <w:pStyle w:val="TableContents"/>
              <w:spacing w:before="0" w:after="283"/>
              <w:ind w:left="0" w:right="0" w:hanging="360"/>
              <w:jc w:val="right"/>
              <w:rPr/>
            </w:pPr>
            <w:r>
              <w:rPr/>
              <w:t>22</w:t>
            </w:r>
          </w:p>
        </w:tc>
      </w:tr>
      <w:tr>
        <w:trPr/>
        <w:tc>
          <w:tcPr>
            <w:tcW w:w="1355" w:type="dxa"/>
            <w:tcBorders/>
            <w:shd w:fill="auto" w:val="clear"/>
            <w:vAlign w:val="center"/>
          </w:tcPr>
          <w:p>
            <w:pPr>
              <w:pStyle w:val="TableContents"/>
              <w:spacing w:before="0" w:after="283"/>
              <w:ind w:left="0" w:right="0" w:hanging="360"/>
              <w:jc w:val="left"/>
              <w:rPr/>
            </w:pPr>
            <w:r>
              <w:rPr/>
              <w:t>Section 19.</w:t>
            </w:r>
          </w:p>
        </w:tc>
        <w:tc>
          <w:tcPr>
            <w:tcW w:w="6734" w:type="dxa"/>
            <w:tcBorders/>
            <w:shd w:fill="auto" w:val="clear"/>
            <w:vAlign w:val="center"/>
          </w:tcPr>
          <w:p>
            <w:pPr>
              <w:pStyle w:val="TableContents"/>
              <w:spacing w:before="0" w:after="283"/>
              <w:jc w:val="left"/>
              <w:rPr/>
            </w:pPr>
            <w:r>
              <w:rPr/>
              <w:t>TRANSFERABILITY</w:t>
            </w:r>
          </w:p>
        </w:tc>
        <w:tc>
          <w:tcPr>
            <w:tcW w:w="275" w:type="dxa"/>
            <w:tcBorders/>
            <w:shd w:fill="auto" w:val="clear"/>
            <w:vAlign w:val="center"/>
          </w:tcPr>
          <w:p>
            <w:pPr>
              <w:pStyle w:val="TableContents"/>
              <w:spacing w:before="0" w:after="283"/>
              <w:jc w:val="right"/>
              <w:rPr/>
            </w:pPr>
            <w:r>
              <w:rPr/>
              <w:t>22</w:t>
            </w:r>
          </w:p>
        </w:tc>
      </w:tr>
    </w:tbl>
    <w:p>
      <w:pPr>
        <w:pStyle w:val="TextBody"/>
        <w:rPr/>
      </w:pPr>
      <w:r>
        <w:rPr/>
        <w:t> </w:t>
      </w:r>
    </w:p>
    <w:p>
      <w:pPr>
        <w:pStyle w:val="TextBody"/>
        <w:jc w:val="center"/>
        <w:rPr/>
      </w:pPr>
      <w:r>
        <w:rPr/>
        <w:t>LUCID GROUP, INC.</w:t>
      </w:r>
    </w:p>
    <w:p>
      <w:pPr>
        <w:pStyle w:val="TextBody"/>
        <w:jc w:val="center"/>
        <w:rPr/>
      </w:pPr>
      <w:r>
        <w:rPr/>
        <w:t xml:space="preserve">SECOND AMENDED AND RESTATED 2021 STOCK INCENTIVE PLAN </w:t>
      </w:r>
    </w:p>
    <w:p>
      <w:pPr>
        <w:pStyle w:val="TextBody"/>
        <w:spacing w:before="0" w:after="0"/>
        <w:jc w:val="center"/>
        <w:rPr>
          <w:bdr w:val="single" w:sz="8" w:space="1" w:color="000000"/>
        </w:rPr>
      </w:pPr>
      <w:r>
        <w:rPr>
          <w:bdr w:val="single" w:sz="8" w:space="1" w:color="000000"/>
        </w:rPr>
        <w:t>iv </w:t>
      </w:r>
    </w:p>
    <w:p>
      <w:pPr>
        <w:pStyle w:val="TextBody"/>
        <w:spacing w:before="0" w:after="0"/>
        <w:ind w:left="0" w:right="0" w:hanging="0"/>
        <w:rPr/>
      </w:pPr>
      <w:r>
        <w:rPr/>
        <w:t> </w:t>
      </w:r>
    </w:p>
    <w:p>
      <w:pPr>
        <w:pStyle w:val="TextBody"/>
        <w:rPr/>
      </w:pPr>
      <w:r>
        <w:rPr/>
        <w:t> </w:t>
      </w:r>
    </w:p>
    <w:tbl>
      <w:tblPr>
        <w:tblW w:w="8475" w:type="dxa"/>
        <w:jc w:val="left"/>
        <w:tblInd w:w="0" w:type="dxa"/>
        <w:tblCellMar>
          <w:top w:w="0" w:type="dxa"/>
          <w:left w:w="0" w:type="dxa"/>
          <w:bottom w:w="0" w:type="dxa"/>
          <w:right w:w="0" w:type="dxa"/>
        </w:tblCellMar>
      </w:tblPr>
      <w:tblGrid>
        <w:gridCol w:w="1100"/>
        <w:gridCol w:w="7100"/>
        <w:gridCol w:w="275"/>
      </w:tblGrid>
      <w:tr>
        <w:trPr/>
        <w:tc>
          <w:tcPr>
            <w:tcW w:w="1100" w:type="dxa"/>
            <w:tcBorders/>
            <w:shd w:fill="auto" w:val="clear"/>
            <w:vAlign w:val="center"/>
          </w:tcPr>
          <w:p>
            <w:pPr>
              <w:pStyle w:val="TableContents"/>
              <w:spacing w:before="0" w:after="283"/>
              <w:ind w:left="0" w:right="0" w:hanging="360"/>
              <w:jc w:val="left"/>
              <w:rPr/>
            </w:pPr>
            <w:r>
              <w:rPr/>
              <w:t>Section 20.</w:t>
            </w:r>
          </w:p>
        </w:tc>
        <w:tc>
          <w:tcPr>
            <w:tcW w:w="7100" w:type="dxa"/>
            <w:tcBorders/>
            <w:shd w:fill="auto" w:val="clear"/>
            <w:vAlign w:val="center"/>
          </w:tcPr>
          <w:p>
            <w:pPr>
              <w:pStyle w:val="TableContents"/>
              <w:spacing w:before="0" w:after="283"/>
              <w:jc w:val="left"/>
              <w:rPr/>
            </w:pPr>
            <w:r>
              <w:rPr/>
              <w:t>PERFORMANCE BASED AWARDS</w:t>
            </w:r>
          </w:p>
        </w:tc>
        <w:tc>
          <w:tcPr>
            <w:tcW w:w="275" w:type="dxa"/>
            <w:tcBorders/>
            <w:shd w:fill="auto" w:val="clear"/>
            <w:vAlign w:val="center"/>
          </w:tcPr>
          <w:p>
            <w:pPr>
              <w:pStyle w:val="TableContents"/>
              <w:spacing w:before="0" w:after="283"/>
              <w:ind w:left="0" w:right="0" w:hanging="360"/>
              <w:jc w:val="right"/>
              <w:rPr/>
            </w:pPr>
            <w:r>
              <w:rPr/>
              <w:t>22</w:t>
            </w:r>
          </w:p>
        </w:tc>
      </w:tr>
      <w:tr>
        <w:trPr/>
        <w:tc>
          <w:tcPr>
            <w:tcW w:w="1100" w:type="dxa"/>
            <w:tcBorders/>
            <w:shd w:fill="auto" w:val="clear"/>
            <w:vAlign w:val="center"/>
          </w:tcPr>
          <w:p>
            <w:pPr>
              <w:pStyle w:val="TableContents"/>
              <w:spacing w:before="0" w:after="283"/>
              <w:ind w:left="0" w:right="0" w:hanging="360"/>
              <w:jc w:val="left"/>
              <w:rPr/>
            </w:pPr>
            <w:r>
              <w:rPr/>
              <w:t>Section 21.</w:t>
            </w:r>
          </w:p>
        </w:tc>
        <w:tc>
          <w:tcPr>
            <w:tcW w:w="7100" w:type="dxa"/>
            <w:tcBorders/>
            <w:shd w:fill="auto" w:val="clear"/>
            <w:vAlign w:val="center"/>
          </w:tcPr>
          <w:p>
            <w:pPr>
              <w:pStyle w:val="TableContents"/>
              <w:spacing w:before="0" w:after="283"/>
              <w:jc w:val="left"/>
              <w:rPr/>
            </w:pPr>
            <w:r>
              <w:rPr/>
              <w:t>FoRFEITURE, CANCELLATION OR RECOUPMENT OF AWARDS</w:t>
            </w:r>
          </w:p>
        </w:tc>
        <w:tc>
          <w:tcPr>
            <w:tcW w:w="275" w:type="dxa"/>
            <w:tcBorders/>
            <w:shd w:fill="auto" w:val="clear"/>
            <w:vAlign w:val="center"/>
          </w:tcPr>
          <w:p>
            <w:pPr>
              <w:pStyle w:val="TableContents"/>
              <w:spacing w:before="0" w:after="283"/>
              <w:ind w:left="0" w:right="0" w:hanging="360"/>
              <w:jc w:val="right"/>
              <w:rPr/>
            </w:pPr>
            <w:r>
              <w:rPr/>
              <w:t>22</w:t>
            </w:r>
          </w:p>
        </w:tc>
      </w:tr>
      <w:tr>
        <w:trPr/>
        <w:tc>
          <w:tcPr>
            <w:tcW w:w="1100" w:type="dxa"/>
            <w:tcBorders/>
            <w:shd w:fill="auto" w:val="clear"/>
            <w:vAlign w:val="center"/>
          </w:tcPr>
          <w:p>
            <w:pPr>
              <w:pStyle w:val="TableContents"/>
              <w:spacing w:before="0" w:after="283"/>
              <w:ind w:left="0" w:right="0" w:hanging="360"/>
              <w:jc w:val="left"/>
              <w:rPr/>
            </w:pPr>
            <w:r>
              <w:rPr/>
              <w:t>Section 22.</w:t>
            </w:r>
          </w:p>
        </w:tc>
        <w:tc>
          <w:tcPr>
            <w:tcW w:w="7100" w:type="dxa"/>
            <w:tcBorders/>
            <w:shd w:fill="auto" w:val="clear"/>
            <w:vAlign w:val="center"/>
          </w:tcPr>
          <w:p>
            <w:pPr>
              <w:pStyle w:val="TableContents"/>
              <w:spacing w:before="0" w:after="283"/>
              <w:jc w:val="left"/>
              <w:rPr/>
            </w:pPr>
            <w:r>
              <w:rPr/>
              <w:t>NO EMPLOYMENT RIGHTS</w:t>
            </w:r>
          </w:p>
        </w:tc>
        <w:tc>
          <w:tcPr>
            <w:tcW w:w="275" w:type="dxa"/>
            <w:tcBorders/>
            <w:shd w:fill="auto" w:val="clear"/>
            <w:vAlign w:val="center"/>
          </w:tcPr>
          <w:p>
            <w:pPr>
              <w:pStyle w:val="TableContents"/>
              <w:spacing w:before="0" w:after="283"/>
              <w:ind w:left="0" w:right="0" w:hanging="360"/>
              <w:jc w:val="right"/>
              <w:rPr/>
            </w:pPr>
            <w:r>
              <w:rPr/>
              <w:t>23</w:t>
            </w:r>
          </w:p>
        </w:tc>
      </w:tr>
      <w:tr>
        <w:trPr/>
        <w:tc>
          <w:tcPr>
            <w:tcW w:w="1100" w:type="dxa"/>
            <w:tcBorders/>
            <w:shd w:fill="auto" w:val="clear"/>
            <w:vAlign w:val="center"/>
          </w:tcPr>
          <w:p>
            <w:pPr>
              <w:pStyle w:val="TableContents"/>
              <w:spacing w:before="0" w:after="283"/>
              <w:ind w:left="0" w:right="0" w:hanging="360"/>
              <w:jc w:val="left"/>
              <w:rPr/>
            </w:pPr>
            <w:r>
              <w:rPr/>
              <w:t>Section 23.</w:t>
            </w:r>
          </w:p>
        </w:tc>
        <w:tc>
          <w:tcPr>
            <w:tcW w:w="7100" w:type="dxa"/>
            <w:tcBorders/>
            <w:shd w:fill="auto" w:val="clear"/>
            <w:vAlign w:val="center"/>
          </w:tcPr>
          <w:p>
            <w:pPr>
              <w:pStyle w:val="TableContents"/>
              <w:spacing w:before="0" w:after="283"/>
              <w:jc w:val="left"/>
              <w:rPr/>
            </w:pPr>
            <w:r>
              <w:rPr/>
              <w:t>DURATION AND AMENDMENTS</w:t>
            </w:r>
          </w:p>
        </w:tc>
        <w:tc>
          <w:tcPr>
            <w:tcW w:w="275" w:type="dxa"/>
            <w:tcBorders/>
            <w:shd w:fill="auto" w:val="clear"/>
            <w:vAlign w:val="center"/>
          </w:tcPr>
          <w:p>
            <w:pPr>
              <w:pStyle w:val="TableContents"/>
              <w:spacing w:before="0" w:after="283"/>
              <w:ind w:left="0" w:right="0" w:hanging="540"/>
              <w:jc w:val="right"/>
              <w:rPr/>
            </w:pPr>
            <w:r>
              <w:rPr/>
              <w:t>23</w:t>
            </w:r>
          </w:p>
        </w:tc>
      </w:tr>
      <w:tr>
        <w:trPr/>
        <w:tc>
          <w:tcPr>
            <w:tcW w:w="8200" w:type="dxa"/>
            <w:gridSpan w:val="2"/>
            <w:tcBorders/>
            <w:shd w:fill="auto" w:val="clear"/>
            <w:vAlign w:val="center"/>
          </w:tcPr>
          <w:p>
            <w:pPr>
              <w:pStyle w:val="TableContents"/>
              <w:spacing w:before="0" w:after="283"/>
              <w:jc w:val="left"/>
              <w:rPr/>
            </w:pPr>
            <w:r>
              <w:rPr/>
              <w:t>(a)   Term of the Plan</w:t>
            </w:r>
          </w:p>
        </w:tc>
        <w:tc>
          <w:tcPr>
            <w:tcW w:w="275" w:type="dxa"/>
            <w:tcBorders/>
            <w:shd w:fill="auto" w:val="clear"/>
            <w:vAlign w:val="center"/>
          </w:tcPr>
          <w:p>
            <w:pPr>
              <w:pStyle w:val="TableContents"/>
              <w:spacing w:before="0" w:after="283"/>
              <w:ind w:left="0" w:right="0" w:hanging="540"/>
              <w:jc w:val="right"/>
              <w:rPr/>
            </w:pPr>
            <w:r>
              <w:rPr/>
              <w:t>23</w:t>
            </w:r>
          </w:p>
        </w:tc>
      </w:tr>
      <w:tr>
        <w:trPr/>
        <w:tc>
          <w:tcPr>
            <w:tcW w:w="8200" w:type="dxa"/>
            <w:gridSpan w:val="2"/>
            <w:tcBorders/>
            <w:shd w:fill="auto" w:val="clear"/>
            <w:vAlign w:val="center"/>
          </w:tcPr>
          <w:p>
            <w:pPr>
              <w:pStyle w:val="TableContents"/>
              <w:spacing w:before="0" w:after="283"/>
              <w:jc w:val="left"/>
              <w:rPr/>
            </w:pPr>
            <w:r>
              <w:rPr/>
              <w:t>(b)   Right to Amend the Plan</w:t>
            </w:r>
          </w:p>
        </w:tc>
        <w:tc>
          <w:tcPr>
            <w:tcW w:w="275" w:type="dxa"/>
            <w:tcBorders/>
            <w:shd w:fill="auto" w:val="clear"/>
            <w:vAlign w:val="center"/>
          </w:tcPr>
          <w:p>
            <w:pPr>
              <w:pStyle w:val="TableContents"/>
              <w:spacing w:before="0" w:after="283"/>
              <w:ind w:left="0" w:right="0" w:hanging="540"/>
              <w:jc w:val="right"/>
              <w:rPr/>
            </w:pPr>
            <w:r>
              <w:rPr/>
              <w:t>23</w:t>
            </w:r>
          </w:p>
        </w:tc>
      </w:tr>
      <w:tr>
        <w:trPr/>
        <w:tc>
          <w:tcPr>
            <w:tcW w:w="8200" w:type="dxa"/>
            <w:gridSpan w:val="2"/>
            <w:tcBorders/>
            <w:shd w:fill="auto" w:val="clear"/>
            <w:vAlign w:val="center"/>
          </w:tcPr>
          <w:p>
            <w:pPr>
              <w:pStyle w:val="TableContents"/>
              <w:spacing w:before="0" w:after="283"/>
              <w:jc w:val="left"/>
              <w:rPr/>
            </w:pPr>
            <w:r>
              <w:rPr/>
              <w:t>(c)   Effect of Termination</w:t>
            </w:r>
          </w:p>
        </w:tc>
        <w:tc>
          <w:tcPr>
            <w:tcW w:w="275" w:type="dxa"/>
            <w:tcBorders/>
            <w:shd w:fill="auto" w:val="clear"/>
            <w:vAlign w:val="center"/>
          </w:tcPr>
          <w:p>
            <w:pPr>
              <w:pStyle w:val="TableContents"/>
              <w:spacing w:before="0" w:after="283"/>
              <w:ind w:left="0" w:right="0" w:hanging="360"/>
              <w:jc w:val="right"/>
              <w:rPr/>
            </w:pPr>
            <w:r>
              <w:rPr/>
              <w:t>23</w:t>
            </w:r>
          </w:p>
        </w:tc>
      </w:tr>
      <w:tr>
        <w:trPr/>
        <w:tc>
          <w:tcPr>
            <w:tcW w:w="1100" w:type="dxa"/>
            <w:tcBorders/>
            <w:shd w:fill="auto" w:val="clear"/>
            <w:vAlign w:val="center"/>
          </w:tcPr>
          <w:p>
            <w:pPr>
              <w:pStyle w:val="TableContents"/>
              <w:spacing w:before="0" w:after="283"/>
              <w:ind w:left="0" w:right="0" w:hanging="360"/>
              <w:jc w:val="left"/>
              <w:rPr/>
            </w:pPr>
            <w:r>
              <w:rPr/>
              <w:t>Section 24.</w:t>
            </w:r>
          </w:p>
        </w:tc>
        <w:tc>
          <w:tcPr>
            <w:tcW w:w="7100" w:type="dxa"/>
            <w:tcBorders/>
            <w:shd w:fill="auto" w:val="clear"/>
            <w:vAlign w:val="center"/>
          </w:tcPr>
          <w:p>
            <w:pPr>
              <w:pStyle w:val="TableContents"/>
              <w:spacing w:before="0" w:after="283"/>
              <w:jc w:val="left"/>
              <w:rPr/>
            </w:pPr>
            <w:r>
              <w:rPr/>
              <w:t>AWARDS TO NON-U.S. PARTICIPANTS</w:t>
            </w:r>
          </w:p>
        </w:tc>
        <w:tc>
          <w:tcPr>
            <w:tcW w:w="275" w:type="dxa"/>
            <w:tcBorders/>
            <w:shd w:fill="auto" w:val="clear"/>
            <w:vAlign w:val="center"/>
          </w:tcPr>
          <w:p>
            <w:pPr>
              <w:pStyle w:val="TableContents"/>
              <w:spacing w:before="0" w:after="283"/>
              <w:ind w:left="0" w:right="0" w:hanging="360"/>
              <w:jc w:val="right"/>
              <w:rPr/>
            </w:pPr>
            <w:r>
              <w:rPr/>
              <w:t>24</w:t>
            </w:r>
          </w:p>
        </w:tc>
      </w:tr>
      <w:tr>
        <w:trPr/>
        <w:tc>
          <w:tcPr>
            <w:tcW w:w="1100" w:type="dxa"/>
            <w:tcBorders/>
            <w:shd w:fill="auto" w:val="clear"/>
            <w:vAlign w:val="center"/>
          </w:tcPr>
          <w:p>
            <w:pPr>
              <w:pStyle w:val="TableContents"/>
              <w:spacing w:before="0" w:after="283"/>
              <w:ind w:left="0" w:right="0" w:hanging="360"/>
              <w:jc w:val="left"/>
              <w:rPr/>
            </w:pPr>
            <w:r>
              <w:rPr/>
              <w:t>Section 25.</w:t>
            </w:r>
          </w:p>
        </w:tc>
        <w:tc>
          <w:tcPr>
            <w:tcW w:w="7100" w:type="dxa"/>
            <w:tcBorders/>
            <w:shd w:fill="auto" w:val="clear"/>
            <w:vAlign w:val="center"/>
          </w:tcPr>
          <w:p>
            <w:pPr>
              <w:pStyle w:val="TableContents"/>
              <w:spacing w:before="0" w:after="283"/>
              <w:jc w:val="left"/>
              <w:rPr/>
            </w:pPr>
            <w:r>
              <w:rPr/>
              <w:t>GOVERNING LAW</w:t>
            </w:r>
          </w:p>
        </w:tc>
        <w:tc>
          <w:tcPr>
            <w:tcW w:w="275" w:type="dxa"/>
            <w:tcBorders/>
            <w:shd w:fill="auto" w:val="clear"/>
            <w:vAlign w:val="center"/>
          </w:tcPr>
          <w:p>
            <w:pPr>
              <w:pStyle w:val="TableContents"/>
              <w:spacing w:before="0" w:after="283"/>
              <w:ind w:left="0" w:right="0" w:hanging="360"/>
              <w:jc w:val="right"/>
              <w:rPr/>
            </w:pPr>
            <w:r>
              <w:rPr/>
              <w:t>24</w:t>
            </w:r>
          </w:p>
        </w:tc>
      </w:tr>
      <w:tr>
        <w:trPr/>
        <w:tc>
          <w:tcPr>
            <w:tcW w:w="1100" w:type="dxa"/>
            <w:tcBorders/>
            <w:shd w:fill="auto" w:val="clear"/>
            <w:vAlign w:val="center"/>
          </w:tcPr>
          <w:p>
            <w:pPr>
              <w:pStyle w:val="TableContents"/>
              <w:spacing w:before="0" w:after="283"/>
              <w:ind w:left="0" w:right="0" w:hanging="360"/>
              <w:jc w:val="left"/>
              <w:rPr/>
            </w:pPr>
            <w:r>
              <w:rPr/>
              <w:t>Section 26.</w:t>
            </w:r>
          </w:p>
        </w:tc>
        <w:tc>
          <w:tcPr>
            <w:tcW w:w="7100" w:type="dxa"/>
            <w:tcBorders/>
            <w:shd w:fill="auto" w:val="clear"/>
            <w:vAlign w:val="center"/>
          </w:tcPr>
          <w:p>
            <w:pPr>
              <w:pStyle w:val="TableContents"/>
              <w:spacing w:before="0" w:after="283"/>
              <w:jc w:val="left"/>
              <w:rPr/>
            </w:pPr>
            <w:r>
              <w:rPr/>
              <w:t>SUCCESSORS AND ASSIGNS</w:t>
            </w:r>
          </w:p>
        </w:tc>
        <w:tc>
          <w:tcPr>
            <w:tcW w:w="275" w:type="dxa"/>
            <w:tcBorders/>
            <w:shd w:fill="auto" w:val="clear"/>
            <w:vAlign w:val="center"/>
          </w:tcPr>
          <w:p>
            <w:pPr>
              <w:pStyle w:val="TableContents"/>
              <w:spacing w:before="0" w:after="283"/>
              <w:ind w:left="0" w:right="0" w:hanging="360"/>
              <w:jc w:val="right"/>
              <w:rPr/>
            </w:pPr>
            <w:r>
              <w:rPr/>
              <w:t>24</w:t>
            </w:r>
          </w:p>
        </w:tc>
      </w:tr>
      <w:tr>
        <w:trPr/>
        <w:tc>
          <w:tcPr>
            <w:tcW w:w="1100" w:type="dxa"/>
            <w:tcBorders/>
            <w:shd w:fill="auto" w:val="clear"/>
            <w:vAlign w:val="center"/>
          </w:tcPr>
          <w:p>
            <w:pPr>
              <w:pStyle w:val="TableContents"/>
              <w:spacing w:before="0" w:after="283"/>
              <w:ind w:left="0" w:right="0" w:hanging="360"/>
              <w:jc w:val="left"/>
              <w:rPr/>
            </w:pPr>
            <w:r>
              <w:rPr/>
              <w:t>Section 27.</w:t>
            </w:r>
          </w:p>
        </w:tc>
        <w:tc>
          <w:tcPr>
            <w:tcW w:w="7100" w:type="dxa"/>
            <w:tcBorders/>
            <w:shd w:fill="auto" w:val="clear"/>
            <w:vAlign w:val="center"/>
          </w:tcPr>
          <w:p>
            <w:pPr>
              <w:pStyle w:val="TableContents"/>
              <w:spacing w:before="0" w:after="283"/>
              <w:jc w:val="left"/>
              <w:rPr/>
            </w:pPr>
            <w:r>
              <w:rPr/>
              <w:t>EXECUTION</w:t>
            </w:r>
          </w:p>
        </w:tc>
        <w:tc>
          <w:tcPr>
            <w:tcW w:w="275" w:type="dxa"/>
            <w:tcBorders/>
            <w:shd w:fill="auto" w:val="clear"/>
            <w:vAlign w:val="center"/>
          </w:tcPr>
          <w:p>
            <w:pPr>
              <w:pStyle w:val="TableContents"/>
              <w:spacing w:before="0" w:after="283"/>
              <w:jc w:val="right"/>
              <w:rPr/>
            </w:pPr>
            <w:r>
              <w:rPr/>
              <w:t>24</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w:t>
        <w:br/>
        <w:t xml:space="preserve">SECOND AMENDED AND RESTATED 2021 STOCK INCENTIVE PLAN </w:t>
      </w:r>
    </w:p>
    <w:p>
      <w:pPr>
        <w:pStyle w:val="TextBody"/>
        <w:spacing w:before="0" w:after="0"/>
        <w:ind w:left="0" w:right="0" w:hanging="0"/>
        <w:jc w:val="center"/>
        <w:rPr>
          <w:bdr w:val="single" w:sz="8" w:space="1" w:color="000000"/>
        </w:rPr>
      </w:pPr>
      <w:r>
        <w:rPr>
          <w:bdr w:val="single" w:sz="8" w:space="1" w:color="000000"/>
        </w:rPr>
        <w:t>v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w:t>
      </w:r>
    </w:p>
    <w:p>
      <w:pPr>
        <w:pStyle w:val="TextBody"/>
        <w:spacing w:before="0" w:after="0"/>
        <w:ind w:left="72" w:right="0" w:hanging="0"/>
        <w:jc w:val="center"/>
        <w:rPr>
          <w:caps w:val="false"/>
          <w:smallCaps w:val="false"/>
        </w:rPr>
      </w:pPr>
      <w:r>
        <w:rPr>
          <w:caps w:val="false"/>
          <w:smallCaps w:val="false"/>
        </w:rPr>
        <w:t> </w:t>
      </w:r>
    </w:p>
    <w:p>
      <w:pPr>
        <w:pStyle w:val="TextBody"/>
        <w:spacing w:before="0" w:after="0"/>
        <w:ind w:left="7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2021 STOCK INCENTIVE PLAN</w:t>
      </w:r>
    </w:p>
    <w:p>
      <w:pPr>
        <w:pStyle w:val="TextBody"/>
        <w:spacing w:before="0" w:after="0"/>
        <w:ind w:left="72"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sz w:val="20"/>
        </w:rPr>
      </w:pPr>
      <w:r>
        <w:rPr>
          <w:rFonts w:ascii="Times New Roman;Times;Serif" w:hAnsi="Times New Roman;Times;Serif"/>
          <w:b/>
          <w:i w:val="false"/>
          <w:caps/>
          <w:color w:val="010000"/>
          <w:sz w:val="20"/>
        </w:rPr>
        <w:t xml:space="preserve">Section 1.    </w:t>
      </w:r>
      <w:r>
        <w:rPr>
          <w:rFonts w:ascii="Times New Roman;Times;Serif" w:hAnsi="Times New Roman;Times;Serif"/>
          <w:b/>
          <w:i w:val="false"/>
          <w:caps/>
          <w:sz w:val="20"/>
        </w:rPr>
        <w:t>ESTABLISHMENT AND PURPOSE.</w:t>
      </w:r>
    </w:p>
    <w:p>
      <w:pPr>
        <w:pStyle w:val="TextBody"/>
        <w:spacing w:before="0" w:after="0"/>
        <w:ind w:left="0" w:right="0" w:hanging="0"/>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was initially adopted by the Board on February 22, 2021. The Plan was amended on June 21, 2021, amended and restated on April 27, 2022, and amended and restated on March 2, 2023. Unless otherwise specifically provided in the Plan, the Plan shall be effective as of the Effective Date. The Plan’s purpose is to enhance the Company’s ability to attract, retain, incent, reward, and motivate persons who make (or are expected to make) important contributions to the Company and its Subsidiaries and Affiliates by providing these individuals with equity ownership and other incentive opportunities.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is intended as the successor to and continuation of the 2021 Plan. Following the Effective Date, no additional stock awards may be granted under the 2021 Plan, 2014 Plan or 2009 Plan. From and after the Effective Date, all outstanding stock awards granted under the 2021 Plan, 2014 Plan and 2009 Plan will remain subject to the terms of the 2021 Plan, 2014 Plan or 2009 Plan, as applicable;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Shares subject to stock awards granted under the 2021 Plan, 2014 Plan or 2009 Plan outstanding as of the Effective Date that (i) expire or terminate for any reason prior to exercise or settlement; (ii) are forfeited, cancelled or otherwise returned to the Company because of the failure to meet a contingency or condition required to vest such shares; or (iii) are reacquired or withheld (or not issued) to satisfy a tax withholding obligation in connection with an award or to satisfy the purchase price or exercise price of a stock award (the “</w:t>
      </w:r>
      <w:r>
        <w:rPr>
          <w:rFonts w:ascii="Times New Roman;Times;Serif" w:hAnsi="Times New Roman;Times;Serif"/>
          <w:b/>
          <w:i w:val="false"/>
          <w:caps w:val="false"/>
          <w:smallCaps w:val="false"/>
          <w:sz w:val="20"/>
        </w:rPr>
        <w:t>Returning Shares</w:t>
      </w:r>
      <w:r>
        <w:rPr>
          <w:rFonts w:ascii="Times New Roman;Times;Serif" w:hAnsi="Times New Roman;Times;Serif"/>
          <w:b w:val="false"/>
          <w:i w:val="false"/>
          <w:caps w:val="false"/>
          <w:smallCaps w:val="false"/>
          <w:sz w:val="20"/>
        </w:rPr>
        <w:t>”) will immediately be added to the Shares available for issuance under this Plan (as further described in Section 5(a) below) as and when such shares become Returning Shares, and become available for issuance pursuant to Awards granted hereunder. All Awards granted on or after the Effective Date will be subject to the terms of this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 xml:space="preserve">Section 2.    </w:t>
      </w:r>
      <w:r>
        <w:rPr>
          <w:rFonts w:ascii="Times New Roman;Times;Serif" w:hAnsi="Times New Roman;Times;Serif"/>
          <w:b/>
          <w:i w:val="false"/>
          <w:caps/>
          <w:sz w:val="20"/>
        </w:rPr>
        <w:t>DEFINITIONS.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“2009 Plan” means the 2009 Share Plan of Atieva, Inc., as amended.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“2014 Plan” means the 2014 Share Plan of Atieva, Inc., as amended.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“2021 Plan” means the Atieva, Inc. 2021 Stock Incentive Plan, as amended.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“Affiliate” means any entity other than a Subsidiary, if the Company and/or one or more Subsidiaries own not less than 50% of such entity.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“Award” means any award of an Option, a SAR, a Restricted Share, a Restricted Stock Unit, a Cash-Based Award or a Stock Purchase Right under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“Award Agreement” means the agreement between the Company and the recipient of an Award which contains the terms, conditions and restrictions pertaining to such Award.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“Board of Directors” or “Board” means the Board of Directors of the Company, as constituted from time to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“Cash-Based Award” means an Award that entitles the Participant to receive a cash-denominated payment.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“Cause” means, unless such term or an equivalent term is otherwise defined by the applicable Award Agreement or other written agreement between a Participant and the Company applicable to an Award, any of the following: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 (iii) Participant’s conviction of a felony, any crime involving moral turpitude or a misdemeanor where imprisonment is imposed, (iv) Participant’s gross incompetence in performing his or her duties to the Company or any of its Subsidiaries or Affiliates, (v) Participant’s material failure to comply with applicable laws or governmental regulations related to or in the course of Participant’s employment with or providing services to the Company or any of its Subsidiaries or Affiliates, (vi) unauthorized use or disclosure by Participant of any proprietary information or trade secrets of the Company or any other party to whom the Participant owes an obligation of nondisclosure as a result of his or her relationship with the Company; or (vii) 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“Change in Control” means the occurrence of any of the following events:</w:t>
      </w:r>
    </w:p>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8"/>
        <w:gridCol w:w="9960"/>
      </w:tblGrid>
      <w:tr>
        <w:trPr/>
        <w:tc>
          <w:tcPr>
            <w:tcW w:w="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color w:val="010000"/>
              </w:rPr>
            </w:pPr>
            <w:r>
              <w:rPr>
                <w:color w:val="010000"/>
              </w:rPr>
              <w:t>(i)</w:t>
            </w:r>
          </w:p>
        </w:tc>
        <w:tc>
          <w:tcPr>
            <w:tcW w:w="9960" w:type="dxa"/>
            <w:tcBorders/>
            <w:shd w:fill="auto" w:val="clear"/>
            <w:vAlign w:val="center"/>
          </w:tcPr>
          <w:p>
            <w:pPr>
              <w:pStyle w:val="TableContents"/>
              <w:spacing w:before="0" w:after="283"/>
              <w:jc w:val="both"/>
              <w:rPr/>
            </w:pPr>
            <w:r>
              <w:rPr/>
              <w:t>A change in the composition of the Board occurs, as a result of which fewer than one-half of the incumbent directors are directors who either: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46"/>
        <w:gridCol w:w="9822"/>
      </w:tblGrid>
      <w:tr>
        <w:trPr/>
        <w:tc>
          <w:tcPr>
            <w:tcW w:w="3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color w:val="010000"/>
              </w:rPr>
            </w:pPr>
            <w:r>
              <w:rPr>
                <w:color w:val="010000"/>
              </w:rPr>
              <w:t>(A)</w:t>
            </w:r>
          </w:p>
        </w:tc>
        <w:tc>
          <w:tcPr>
            <w:tcW w:w="9822" w:type="dxa"/>
            <w:tcBorders/>
            <w:shd w:fill="auto" w:val="clear"/>
            <w:vAlign w:val="center"/>
          </w:tcPr>
          <w:p>
            <w:pPr>
              <w:pStyle w:val="TableContents"/>
              <w:spacing w:before="0" w:after="283"/>
              <w:jc w:val="both"/>
              <w:rPr/>
            </w:pPr>
            <w:r>
              <w:rPr/>
              <w:t>Had been directors of the Company on the “look-back date” (as defined below) (the “original directors”);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3"/>
        <w:gridCol w:w="9885"/>
      </w:tblGrid>
      <w:tr>
        <w:trPr/>
        <w:tc>
          <w:tcPr>
            <w:tcW w:w="3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color w:val="010000"/>
              </w:rPr>
            </w:pPr>
            <w:r>
              <w:rPr>
                <w:color w:val="010000"/>
              </w:rPr>
              <w:t>(B)</w:t>
            </w:r>
          </w:p>
        </w:tc>
        <w:tc>
          <w:tcPr>
            <w:tcW w:w="9885" w:type="dxa"/>
            <w:tcBorders/>
            <w:shd w:fill="auto" w:val="clear"/>
            <w:vAlign w:val="center"/>
          </w:tcPr>
          <w:p>
            <w:pPr>
              <w:pStyle w:val="TableContents"/>
              <w:spacing w:before="0" w:after="283"/>
              <w:jc w:val="both"/>
              <w:rPr/>
            </w:pPr>
            <w:r>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“continuing directors”);</w:t>
            </w:r>
          </w:p>
        </w:tc>
      </w:tr>
    </w:tbl>
    <w:p>
      <w:pPr>
        <w:pStyle w:val="TextBody"/>
        <w:spacing w:before="0" w:after="0"/>
        <w:rPr>
          <w:caps w:val="false"/>
          <w:smallCaps w:val="false"/>
        </w:rPr>
      </w:pPr>
      <w:r>
        <w:rPr>
          <w:caps w:val="false"/>
          <w:smallCaps w:val="false"/>
        </w:rPr>
        <w:t> </w:t>
      </w:r>
    </w:p>
    <w:p>
      <w:pPr>
        <w:pStyle w:val="TextBody"/>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pStyle w:val="TextBody"/>
        <w:spacing w:before="0" w:after="0"/>
        <w:ind w:left="2160" w:right="0" w:hanging="0"/>
        <w:jc w:val="both"/>
        <w:rPr>
          <w:caps w:val="false"/>
          <w:smallCaps w:val="false"/>
        </w:rPr>
      </w:pPr>
      <w:r>
        <w:rPr>
          <w:caps w:val="false"/>
          <w:smallCaps w:val="false"/>
        </w:rPr>
        <w:t> </w:t>
      </w:r>
    </w:p>
    <w:p>
      <w:pPr>
        <w:pStyle w:val="TextBody"/>
        <w:spacing w:before="0" w:after="0"/>
        <w:ind w:left="216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pPr>
      <w:r>
        <w:rPr/>
        <w:t> </w:t>
      </w:r>
    </w:p>
    <w:p>
      <w:pPr>
        <w:pStyle w:val="TextBody"/>
        <w:spacing w:before="0" w:after="0"/>
        <w:ind w:left="216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2"/>
        <w:gridCol w:w="9946"/>
      </w:tblGrid>
      <w:tr>
        <w:trPr/>
        <w:tc>
          <w:tcPr>
            <w:tcW w:w="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color w:val="010000"/>
              </w:rPr>
            </w:pPr>
            <w:r>
              <w:rPr>
                <w:color w:val="010000"/>
              </w:rPr>
              <w:t>(ii)</w:t>
            </w:r>
          </w:p>
        </w:tc>
        <w:tc>
          <w:tcPr>
            <w:tcW w:w="9946" w:type="dxa"/>
            <w:tcBorders/>
            <w:shd w:fill="auto" w:val="clear"/>
            <w:vAlign w:val="center"/>
          </w:tcPr>
          <w:p>
            <w:pPr>
              <w:pStyle w:val="TableContents"/>
              <w:spacing w:before="0" w:after="283"/>
              <w:jc w:val="both"/>
              <w:rPr/>
            </w:pPr>
            <w:r>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7"/>
        <w:gridCol w:w="9881"/>
      </w:tblGrid>
      <w:tr>
        <w:trPr/>
        <w:tc>
          <w:tcPr>
            <w:tcW w:w="3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color w:val="010000"/>
              </w:rPr>
            </w:pPr>
            <w:r>
              <w:rPr>
                <w:color w:val="010000"/>
              </w:rPr>
              <w:t>(iii)</w:t>
            </w:r>
          </w:p>
        </w:tc>
        <w:tc>
          <w:tcPr>
            <w:tcW w:w="9881" w:type="dxa"/>
            <w:tcBorders/>
            <w:shd w:fill="auto" w:val="clear"/>
            <w:vAlign w:val="center"/>
          </w:tcPr>
          <w:p>
            <w:pPr>
              <w:pStyle w:val="TableContents"/>
              <w:spacing w:before="0" w:after="283"/>
              <w:jc w:val="both"/>
              <w:rPr/>
            </w:pPr>
            <w:r>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4"/>
        <w:gridCol w:w="410"/>
        <w:gridCol w:w="9751"/>
      </w:tblGrid>
      <w:tr>
        <w:trPr/>
        <w:tc>
          <w:tcPr>
            <w:tcW w:w="44"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color w:val="010000"/>
              </w:rPr>
            </w:pPr>
            <w:r>
              <w:rPr>
                <w:color w:val="010000"/>
              </w:rPr>
              <w:t>(iv)</w:t>
            </w:r>
          </w:p>
        </w:tc>
        <w:tc>
          <w:tcPr>
            <w:tcW w:w="9751" w:type="dxa"/>
            <w:tcBorders/>
            <w:shd w:fill="auto" w:val="clear"/>
            <w:vAlign w:val="center"/>
          </w:tcPr>
          <w:p>
            <w:pPr>
              <w:pStyle w:val="TableContents"/>
              <w:spacing w:before="0" w:after="283"/>
              <w:jc w:val="both"/>
              <w:rPr/>
            </w:pPr>
            <w:r>
              <w:rPr/>
              <w:t>The sale, transfer, or other disposition of all or substantially all of the Company’s assets.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subsection (j)(i) above, the term “look-back” date means the later of (1) the Effective Date and (2) the date that is 24 months prior to the date of the event that may constitute a Change in Control.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subsection (j)(ii)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provision of this Section 2(j)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“Code” means the United States Internal Revenue Code of 1986, as amended, and the rules and regulations promulgated thereunder.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“Committee” means the Compensation Committee as designated by the Board, which is authorized to administer the Plan, as described in Section 3 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rPr>
        <w:t>“Company” means Lucid Group, Inc., a Delaware corporation, or any successor thereto.</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“Consultant” means an individual who is a consultant or advisor and who provides bona fide services to the Company, a Parent, a Subsidiary, or an Affiliate as an independent contractor (not including service as a member of the Board) or a member of the Board of a Parent or a Subsidiary, in each case who is not an Employee.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color w:val="010000"/>
          <w:sz w:val="20"/>
        </w:rPr>
      </w:pPr>
      <w:r>
        <w:rPr>
          <w:rFonts w:ascii="Times New Roman;Times;Serif" w:hAnsi="Times New Roman;Times;Serif"/>
          <w:b w:val="false"/>
          <w:i w:val="false"/>
          <w:caps w:val="false"/>
          <w:smallCaps w:val="false"/>
          <w:color w:val="010000"/>
          <w:sz w:val="20"/>
        </w:rPr>
        <w:t>(o)             “Disability” means any permanent and total disability as defined by Section 22(e)(3) of the Code.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rPr>
        <w:t>“Effective Date” means the original effective date of this Plan, which was July 23, 2021, the date of the closing of the transactions contemplated by the Agreement and Plan of Merger by and among Churchill Capital Corp IV, a Delaware corporation (the “SPAC”), a new wholly-owned subsidiary of the SPAC and the Company, dated as of February 22, 2021 (the “Merger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rPr>
        <w:t>“Employee” means any individual who is a common-law employee of the Company, a Parent, a Subsidiary, or an Affiliate.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rPr>
        <w:t xml:space="preserve">“ESPP Addendum” means the Lucid Group, Inc. 2021 Employee Stock Purchase Plan attached to this Plan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val="false"/>
          <w:caps w:val="false"/>
          <w:smallCaps w:val="false"/>
          <w:sz w:val="20"/>
        </w:rPr>
        <w:t>“Exchange Act” means the United States Securities Exchange Act of 1934, as amended, and the rules and regulations promulgated thereunder.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val="false"/>
          <w:caps w:val="false"/>
          <w:smallCaps w:val="false"/>
          <w:sz w:val="20"/>
        </w:rPr>
        <w:t>“Exercise Price”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val="false"/>
          <w:caps w:val="false"/>
          <w:smallCaps w:val="false"/>
          <w:sz w:val="20"/>
        </w:rPr>
        <w:t>“Fair Market Value” with respect to a Share, means the market price of one Share, determined by the Committee as follows:</w:t>
      </w:r>
    </w:p>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color w:val="010000"/>
              </w:rPr>
            </w:pPr>
            <w:r>
              <w:rPr>
                <w:color w:val="010000"/>
              </w:rPr>
              <w:t> </w:t>
            </w:r>
            <w:r>
              <w:rPr>
                <w:color w:val="010000"/>
              </w:rPr>
              <w:t>(i)</w:t>
            </w:r>
          </w:p>
        </w:tc>
        <w:tc>
          <w:tcPr>
            <w:tcW w:w="9939" w:type="dxa"/>
            <w:tcBorders/>
            <w:shd w:fill="auto" w:val="clear"/>
            <w:vAlign w:val="center"/>
          </w:tcPr>
          <w:p>
            <w:pPr>
              <w:pStyle w:val="TableContents"/>
              <w:spacing w:before="0" w:after="283"/>
              <w:jc w:val="both"/>
              <w:rPr/>
            </w:pPr>
            <w:r>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6"/>
        <w:gridCol w:w="9932"/>
      </w:tblGrid>
      <w:tr>
        <w:trPr/>
        <w:tc>
          <w:tcPr>
            <w:tcW w:w="3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color w:val="010000"/>
              </w:rPr>
            </w:pPr>
            <w:r>
              <w:rPr>
                <w:color w:val="010000"/>
              </w:rPr>
              <w:t>(ii)</w:t>
            </w:r>
          </w:p>
        </w:tc>
        <w:tc>
          <w:tcPr>
            <w:tcW w:w="9932" w:type="dxa"/>
            <w:tcBorders/>
            <w:shd w:fill="auto" w:val="clear"/>
            <w:vAlign w:val="center"/>
          </w:tcPr>
          <w:p>
            <w:pPr>
              <w:pStyle w:val="TableContents"/>
              <w:spacing w:before="0" w:after="283"/>
              <w:jc w:val="both"/>
              <w:rPr/>
            </w:pPr>
            <w:r>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19"/>
        <w:gridCol w:w="9849"/>
      </w:tblGrid>
      <w:tr>
        <w:trPr/>
        <w:tc>
          <w:tcPr>
            <w:tcW w:w="3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color w:val="010000"/>
              </w:rPr>
            </w:pPr>
            <w:r>
              <w:rPr>
                <w:color w:val="010000"/>
              </w:rPr>
              <w:t>(iii)</w:t>
            </w:r>
          </w:p>
        </w:tc>
        <w:tc>
          <w:tcPr>
            <w:tcW w:w="9849" w:type="dxa"/>
            <w:tcBorders/>
            <w:shd w:fill="auto" w:val="clear"/>
            <w:vAlign w:val="center"/>
          </w:tcPr>
          <w:p>
            <w:pPr>
              <w:pStyle w:val="TableContents"/>
              <w:spacing w:before="0" w:after="283"/>
              <w:jc w:val="both"/>
              <w:rPr/>
            </w:pPr>
            <w:r>
              <w:rPr/>
              <w:t>If none of the foregoing provisions is applicable, then the Fair Market Value shall be determined by the Committee in good faith on such basis as it deems appropriate.</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cases, the determination of Fair Market Value by the Committee shall be conclusive and binding on all persons.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“ISO” means an employee incentive stock option described in Section 422 of the Code.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(w)            </w:t>
      </w:r>
      <w:r>
        <w:rPr>
          <w:rFonts w:ascii="Times New Roman;Times;Serif" w:hAnsi="Times New Roman;Times;Serif"/>
          <w:b w:val="false"/>
          <w:i w:val="false"/>
          <w:caps w:val="false"/>
          <w:smallCaps w:val="false"/>
          <w:sz w:val="20"/>
        </w:rPr>
        <w:t>“Nonstatutory Option” or “NSO” means an employee stock option that is not an ISO or a Stock Purchase Right.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              </w:t>
      </w:r>
      <w:r>
        <w:rPr>
          <w:rFonts w:ascii="Times New Roman;Times;Serif" w:hAnsi="Times New Roman;Times;Serif"/>
          <w:b w:val="false"/>
          <w:i w:val="false"/>
          <w:caps w:val="false"/>
          <w:smallCaps w:val="false"/>
          <w:sz w:val="20"/>
        </w:rPr>
        <w:t>“Option” means an ISO or NSO granted under the Plan and entitling the holder to purchase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(y)             </w:t>
      </w:r>
      <w:r>
        <w:rPr>
          <w:rFonts w:ascii="Times New Roman;Times;Serif" w:hAnsi="Times New Roman;Times;Serif"/>
          <w:b w:val="false"/>
          <w:i w:val="false"/>
          <w:caps w:val="false"/>
          <w:smallCaps w:val="false"/>
          <w:sz w:val="20"/>
        </w:rPr>
        <w:t>“Outside Director” means a member of the Board who is not a common-law employee of, or paid consultant to, the Company, a Parent or a Subsidiary.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(z)             </w:t>
      </w:r>
      <w:r>
        <w:rPr>
          <w:rFonts w:ascii="Times New Roman;Times;Serif" w:hAnsi="Times New Roman;Times;Serif"/>
          <w:b w:val="false"/>
          <w:i w:val="false"/>
          <w:caps w:val="false"/>
          <w:smallCaps w:val="false"/>
          <w:sz w:val="20"/>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(aa)           </w:t>
      </w:r>
      <w:r>
        <w:rPr>
          <w:rFonts w:ascii="Times New Roman;Times;Serif" w:hAnsi="Times New Roman;Times;Serif"/>
          <w:b w:val="false"/>
          <w:i w:val="false"/>
          <w:caps w:val="false"/>
          <w:smallCaps w:val="false"/>
          <w:sz w:val="20"/>
        </w:rPr>
        <w:t>“Participant” means a person who holds an Award.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(bb)           </w:t>
      </w:r>
      <w:r>
        <w:rPr>
          <w:rFonts w:ascii="Times New Roman;Times;Serif" w:hAnsi="Times New Roman;Times;Serif"/>
          <w:b w:val="false"/>
          <w:i w:val="false"/>
          <w:caps w:val="false"/>
          <w:smallCaps w:val="false"/>
          <w:sz w:val="20"/>
        </w:rPr>
        <w:t>“Plan” means this Second Amended and Restated 2021 Stock Incentive Plan of Lucid Group, Inc., as amended from time to time.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(cc)           </w:t>
      </w:r>
      <w:r>
        <w:rPr>
          <w:rFonts w:ascii="Times New Roman;Times;Serif" w:hAnsi="Times New Roman;Times;Serif"/>
          <w:b w:val="false"/>
          <w:i w:val="false"/>
          <w:caps w:val="false"/>
          <w:smallCaps w:val="false"/>
          <w:sz w:val="20"/>
        </w:rPr>
        <w:t>“Purchase Price” means the consideration for which one Share may be acquired under the Plan (other than upon (i) exercise of an Option or (ii) exercise of any Stock Purchase Right under the ESPP Addendum), as specified by the Committee.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(dd)           </w:t>
      </w:r>
      <w:r>
        <w:rPr>
          <w:rFonts w:ascii="Times New Roman;Times;Serif" w:hAnsi="Times New Roman;Times;Serif"/>
          <w:b w:val="false"/>
          <w:i w:val="false"/>
          <w:caps w:val="false"/>
          <w:smallCaps w:val="false"/>
          <w:sz w:val="20"/>
        </w:rPr>
        <w:t xml:space="preserve">“Restatement Date” </w:t>
      </w:r>
      <w:r>
        <w:rPr>
          <w:rFonts w:ascii="Times New Roman;Times;Serif" w:hAnsi="Times New Roman;Times;Serif"/>
          <w:b w:val="false"/>
          <w:i w:val="false"/>
          <w:caps w:val="false"/>
          <w:smallCaps w:val="false"/>
          <w:color w:val="000000"/>
          <w:sz w:val="20"/>
        </w:rPr>
        <w:t>means the date of the Company’s 2022 Annual Meeting of Stockholders</w:t>
      </w:r>
      <w:r>
        <w:rPr>
          <w:rFonts w:ascii="Times New Roman;Times;Serif" w:hAnsi="Times New Roman;Times;Serif"/>
          <w:b w:val="false"/>
          <w:i w:val="false"/>
          <w:caps w:val="false"/>
          <w:smallCaps w:val="false"/>
          <w:sz w:val="20"/>
        </w:rPr>
        <w:t>, and “Second Restatement Date” means the date of the Company’s 2023 Annual Meeting of Stockholders.”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(ee)           </w:t>
      </w:r>
      <w:r>
        <w:rPr>
          <w:rFonts w:ascii="Times New Roman;Times;Serif" w:hAnsi="Times New Roman;Times;Serif"/>
          <w:b w:val="false"/>
          <w:i w:val="false"/>
          <w:caps w:val="false"/>
          <w:smallCaps w:val="false"/>
          <w:sz w:val="20"/>
        </w:rPr>
        <w:t>“Restricted Share” means a Share awarded under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(ff)            </w:t>
      </w:r>
      <w:r>
        <w:rPr>
          <w:rFonts w:ascii="Times New Roman;Times;Serif" w:hAnsi="Times New Roman;Times;Serif"/>
          <w:b w:val="false"/>
          <w:i w:val="false"/>
          <w:caps w:val="false"/>
          <w:smallCaps w:val="false"/>
          <w:sz w:val="20"/>
        </w:rPr>
        <w:t>“Restricted Stock Unit” means a bookkeeping entry representing the Company’s obligation to deliver one Share (or distribute cash) on a future date in accordance with the provisions of a Restricted Stock Unit Award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(gg)           </w:t>
      </w:r>
      <w:r>
        <w:rPr>
          <w:rFonts w:ascii="Times New Roman;Times;Serif" w:hAnsi="Times New Roman;Times;Serif"/>
          <w:b w:val="false"/>
          <w:i w:val="false"/>
          <w:caps w:val="false"/>
          <w:smallCaps w:val="false"/>
          <w:sz w:val="20"/>
        </w:rPr>
        <w:t>“SAR” means a stock appreciation right granted under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(hh)          </w:t>
      </w:r>
      <w:r>
        <w:rPr>
          <w:rFonts w:ascii="Times New Roman;Times;Serif" w:hAnsi="Times New Roman;Times;Serif"/>
          <w:b w:val="false"/>
          <w:i w:val="false"/>
          <w:caps w:val="false"/>
          <w:smallCaps w:val="false"/>
          <w:sz w:val="20"/>
        </w:rPr>
        <w:t>“Section 409A” means Section 409A of the Code.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“Securities Act” means the United States Securities Act of 1933, as amended, the rules and regulations promulgated thereunder.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(jj)             </w:t>
      </w:r>
      <w:r>
        <w:rPr>
          <w:rFonts w:ascii="Times New Roman;Times;Serif" w:hAnsi="Times New Roman;Times;Serif"/>
          <w:b w:val="false"/>
          <w:i w:val="false"/>
          <w:caps w:val="false"/>
          <w:smallCaps w:val="false"/>
          <w:sz w:val="20"/>
        </w:rPr>
        <w:t>“Service”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(kk)           </w:t>
      </w:r>
      <w:r>
        <w:rPr>
          <w:rFonts w:ascii="Times New Roman;Times;Serif" w:hAnsi="Times New Roman;Times;Serif"/>
          <w:b w:val="false"/>
          <w:i w:val="false"/>
          <w:caps w:val="false"/>
          <w:smallCaps w:val="false"/>
          <w:sz w:val="20"/>
        </w:rPr>
        <w:t>“Share” means one Share of Stock, as adjusted in accordance with Section 13 (if applicable).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(ll)             </w:t>
      </w:r>
      <w:r>
        <w:rPr>
          <w:rFonts w:ascii="Times New Roman;Times;Serif" w:hAnsi="Times New Roman;Times;Serif"/>
          <w:b w:val="false"/>
          <w:i w:val="false"/>
          <w:caps w:val="false"/>
          <w:smallCaps w:val="false"/>
          <w:sz w:val="20"/>
        </w:rPr>
        <w:t>“Stock” means the Common Stock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(mm)         </w:t>
      </w:r>
      <w:r>
        <w:rPr>
          <w:rFonts w:ascii="Times New Roman;Times;Serif" w:hAnsi="Times New Roman;Times;Serif"/>
          <w:b w:val="false"/>
          <w:i w:val="false"/>
          <w:caps w:val="false"/>
          <w:smallCaps w:val="false"/>
          <w:sz w:val="20"/>
        </w:rPr>
        <w:t>“Stock Purchase Right” means an option to purchase Shares granted pursuant to the ESPP Addendum.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(nn)          </w:t>
      </w:r>
      <w:r>
        <w:rPr>
          <w:rFonts w:ascii="Times New Roman;Times;Serif" w:hAnsi="Times New Roman;Times;Serif"/>
          <w:b w:val="false"/>
          <w:i w:val="false"/>
          <w:caps w:val="false"/>
          <w:smallCaps w:val="false"/>
          <w:sz w:val="20"/>
        </w:rPr>
        <w:t>“Subsidiary” means any corporation, if the Company owns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 xml:space="preserve">Section 3.    </w:t>
      </w:r>
      <w:r>
        <w:rPr>
          <w:rFonts w:ascii="Times New Roman;Times;Serif" w:hAnsi="Times New Roman;Times;Serif"/>
          <w:b/>
          <w:i w:val="false"/>
          <w:caps/>
          <w:sz w:val="20"/>
        </w:rPr>
        <w:t>ADMINISTRATION.</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color w:val="010000"/>
          <w:sz w:val="20"/>
        </w:rPr>
        <w:t>(a)            </w:t>
      </w:r>
      <w:r>
        <w:rPr>
          <w:rFonts w:ascii="Times New Roman;Times;Serif" w:hAnsi="Times New Roman;Times;Serif"/>
          <w:b w:val="false"/>
          <w:i/>
          <w:caps w:val="false"/>
          <w:smallCaps w:val="false"/>
          <w:sz w:val="20"/>
        </w:rPr>
        <w:t>Committee Composition</w:t>
      </w:r>
      <w:r>
        <w:rPr>
          <w:rFonts w:ascii="Times New Roman;Times;Serif" w:hAnsi="Times New Roman;Times;Serif"/>
          <w:b w:val="false"/>
          <w:i w:val="false"/>
          <w:caps w:val="false"/>
          <w:smallCaps w:val="false"/>
          <w:sz w:val="20"/>
        </w:rPr>
        <w:t xml:space="preserve">. The Plan shall be administered by a Committee appointed by the Board, or by the Board acting as the Committee. The Committee shall consist of two or more directors of the Company. In addition, to the extent required by the Board, the composition of the Committee shall satisfy such requirements of </w:t>
      </w:r>
      <w:r>
        <w:rPr>
          <w:rFonts w:ascii="Times New Roman;Times;Serif" w:hAnsi="Times New Roman;Times;Serif"/>
          <w:b w:val="false"/>
          <w:i w:val="false"/>
          <w:caps w:val="false"/>
          <w:smallCaps w:val="false"/>
          <w:sz w:val="20"/>
          <w:highlight w:val="white"/>
        </w:rPr>
        <w:t>the New York Stock Exchange (“</w:t>
      </w:r>
      <w:r>
        <w:rPr>
          <w:rFonts w:ascii="Times New Roman;Times;Serif" w:hAnsi="Times New Roman;Times;Serif"/>
          <w:b/>
          <w:i w:val="false"/>
          <w:caps w:val="false"/>
          <w:smallCaps w:val="false"/>
          <w:sz w:val="20"/>
          <w:highlight w:val="white"/>
        </w:rPr>
        <w:t>NYSE</w:t>
      </w:r>
      <w:r>
        <w:rPr>
          <w:rFonts w:ascii="Times New Roman;Times;Serif" w:hAnsi="Times New Roman;Times;Serif"/>
          <w:b w:val="false"/>
          <w:i w:val="false"/>
          <w:caps w:val="false"/>
          <w:smallCaps w:val="false"/>
          <w:sz w:val="20"/>
          <w:highlight w:val="white"/>
        </w:rPr>
        <w:t xml:space="preserve">”) or </w:t>
      </w:r>
      <w:r>
        <w:rPr>
          <w:rFonts w:ascii="Times New Roman;Times;Serif" w:hAnsi="Times New Roman;Times;Serif"/>
          <w:b w:val="false"/>
          <w:i w:val="false"/>
          <w:caps w:val="false"/>
          <w:smallCaps w:val="false"/>
          <w:sz w:val="20"/>
        </w:rPr>
        <w:t>the Nasdaq Stock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as applicable, and as the Securities and Exchange Commission may establish for administrators acting under plans intended to qualify for exemption under Rule 16b-3 (or its successor) under the Exchange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Committee Appointment</w:t>
      </w:r>
      <w:r>
        <w:rPr>
          <w:rFonts w:ascii="Times New Roman;Times;Serif" w:hAnsi="Times New Roman;Times;Serif"/>
          <w:b w:val="false"/>
          <w:i w:val="false"/>
          <w:caps w:val="false"/>
          <w:smallCaps w:val="false"/>
          <w:sz w:val="20"/>
        </w:rPr>
        <w:t>. The Board may also appoint one or more separate committees of the Board, each composed of one or more 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Committee may also authorize one or more officers of the Company to designate Employees, other than officers under Section 16 of the Exchange Act, to receive Awards and/or to determine the number of such Awards to be received by such persons; provided, however, that the Board or Committee shall specify the total number of Awards that such officers may so award.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Committee Responsibilities</w:t>
      </w:r>
      <w:r>
        <w:rPr>
          <w:rFonts w:ascii="Times New Roman;Times;Serif" w:hAnsi="Times New Roman;Times;Serif"/>
          <w:b w:val="false"/>
          <w:i w:val="false"/>
          <w:caps w:val="false"/>
          <w:smallCaps w:val="false"/>
          <w:sz w:val="20"/>
        </w:rPr>
        <w:t>. Subject to the provisions of the Plan, the Committee shall have full authority and discretion to take the following actions:</w:t>
      </w:r>
    </w:p>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0"/>
        <w:gridCol w:w="485"/>
        <w:gridCol w:w="9640"/>
      </w:tblGrid>
      <w:tr>
        <w:trPr/>
        <w:tc>
          <w:tcPr>
            <w:tcW w:w="8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color w:val="010000"/>
              </w:rPr>
            </w:pPr>
            <w:r>
              <w:rPr>
                <w:color w:val="010000"/>
              </w:rPr>
              <w:t>(i)</w:t>
            </w:r>
          </w:p>
        </w:tc>
        <w:tc>
          <w:tcPr>
            <w:tcW w:w="9640" w:type="dxa"/>
            <w:tcBorders/>
            <w:shd w:fill="auto" w:val="clear"/>
            <w:vAlign w:val="center"/>
          </w:tcPr>
          <w:p>
            <w:pPr>
              <w:pStyle w:val="TableContents"/>
              <w:spacing w:before="0" w:after="283"/>
              <w:jc w:val="both"/>
              <w:rPr/>
            </w:pPr>
            <w:r>
              <w:rPr/>
              <w:t>To interpret the Plan and to apply its provisions;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0"/>
        <w:gridCol w:w="388"/>
        <w:gridCol w:w="9767"/>
      </w:tblGrid>
      <w:tr>
        <w:trPr/>
        <w:tc>
          <w:tcPr>
            <w:tcW w:w="5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color w:val="010000"/>
              </w:rPr>
            </w:pPr>
            <w:r>
              <w:rPr>
                <w:color w:val="010000"/>
              </w:rPr>
              <w:t>(ii)</w:t>
            </w:r>
          </w:p>
        </w:tc>
        <w:tc>
          <w:tcPr>
            <w:tcW w:w="9767" w:type="dxa"/>
            <w:tcBorders/>
            <w:shd w:fill="auto" w:val="clear"/>
            <w:vAlign w:val="center"/>
          </w:tcPr>
          <w:p>
            <w:pPr>
              <w:pStyle w:val="TableContents"/>
              <w:spacing w:before="0" w:after="283"/>
              <w:jc w:val="both"/>
              <w:rPr/>
            </w:pPr>
            <w:r>
              <w:rPr/>
              <w:t>To adopt, amend, or rescind rules, procedures, and forms relating to the Plan;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07"/>
        <w:gridCol w:w="9861"/>
      </w:tblGrid>
      <w:tr>
        <w:trPr/>
        <w:tc>
          <w:tcPr>
            <w:tcW w:w="3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color w:val="010000"/>
              </w:rPr>
            </w:pPr>
            <w:r>
              <w:rPr>
                <w:color w:val="010000"/>
              </w:rPr>
              <w:t>(iii)</w:t>
            </w:r>
          </w:p>
        </w:tc>
        <w:tc>
          <w:tcPr>
            <w:tcW w:w="9861" w:type="dxa"/>
            <w:tcBorders/>
            <w:shd w:fill="auto" w:val="clear"/>
            <w:vAlign w:val="center"/>
          </w:tcPr>
          <w:p>
            <w:pPr>
              <w:pStyle w:val="TableContents"/>
              <w:spacing w:before="0" w:after="283"/>
              <w:jc w:val="both"/>
              <w:rPr/>
            </w:pPr>
            <w:r>
              <w:rPr/>
              <w:t>To adopt, amend, or terminate (A) the ESPP Addendum and (B) any sub-plans established for the purpose of satisfying applicable foreign laws including qualifying for preferred tax treatment under applicable foreign tax laws;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36"/>
        <w:gridCol w:w="9832"/>
      </w:tblGrid>
      <w:tr>
        <w:trPr/>
        <w:tc>
          <w:tcPr>
            <w:tcW w:w="37"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color w:val="010000"/>
              </w:rPr>
            </w:pPr>
            <w:r>
              <w:rPr>
                <w:color w:val="010000"/>
              </w:rPr>
              <w:t>(iv)</w:t>
            </w:r>
          </w:p>
        </w:tc>
        <w:tc>
          <w:tcPr>
            <w:tcW w:w="9832" w:type="dxa"/>
            <w:tcBorders/>
            <w:shd w:fill="auto" w:val="clear"/>
            <w:vAlign w:val="center"/>
          </w:tcPr>
          <w:p>
            <w:pPr>
              <w:pStyle w:val="TableContents"/>
              <w:spacing w:before="0" w:after="283"/>
              <w:jc w:val="both"/>
              <w:rPr/>
            </w:pPr>
            <w:r>
              <w:rPr/>
              <w:t>To authorize any person to execute, on behalf of the Company, any instrument required to carry out the purposes of the Plan;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3"/>
        <w:gridCol w:w="482"/>
        <w:gridCol w:w="9660"/>
      </w:tblGrid>
      <w:tr>
        <w:trPr/>
        <w:tc>
          <w:tcPr>
            <w:tcW w:w="63"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color w:val="010000"/>
              </w:rPr>
            </w:pPr>
            <w:r>
              <w:rPr>
                <w:color w:val="010000"/>
              </w:rPr>
              <w:t>(v)</w:t>
            </w:r>
          </w:p>
        </w:tc>
        <w:tc>
          <w:tcPr>
            <w:tcW w:w="9660" w:type="dxa"/>
            <w:tcBorders/>
            <w:shd w:fill="auto" w:val="clear"/>
            <w:vAlign w:val="center"/>
          </w:tcPr>
          <w:p>
            <w:pPr>
              <w:pStyle w:val="TableContents"/>
              <w:spacing w:before="0" w:after="283"/>
              <w:jc w:val="both"/>
              <w:rPr/>
            </w:pPr>
            <w:r>
              <w:rPr/>
              <w:t>To determine when Awards are to be granted under the Plan;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2"/>
        <w:gridCol w:w="578"/>
        <w:gridCol w:w="9565"/>
      </w:tblGrid>
      <w:tr>
        <w:trPr/>
        <w:tc>
          <w:tcPr>
            <w:tcW w:w="62"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color w:val="010000"/>
              </w:rPr>
            </w:pPr>
            <w:r>
              <w:rPr>
                <w:color w:val="010000"/>
              </w:rPr>
              <w:t>(vi)</w:t>
            </w:r>
          </w:p>
        </w:tc>
        <w:tc>
          <w:tcPr>
            <w:tcW w:w="9565" w:type="dxa"/>
            <w:tcBorders/>
            <w:shd w:fill="auto" w:val="clear"/>
            <w:vAlign w:val="center"/>
          </w:tcPr>
          <w:p>
            <w:pPr>
              <w:pStyle w:val="TableContents"/>
              <w:spacing w:before="0" w:after="283"/>
              <w:jc w:val="both"/>
              <w:rPr/>
            </w:pPr>
            <w:r>
              <w:rPr/>
              <w:t>To select the Participants to whom Awards are to be granted;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05"/>
        <w:gridCol w:w="9763"/>
      </w:tblGrid>
      <w:tr>
        <w:trPr/>
        <w:tc>
          <w:tcPr>
            <w:tcW w:w="37"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color w:val="010000"/>
              </w:rPr>
            </w:pPr>
            <w:r>
              <w:rPr>
                <w:color w:val="010000"/>
              </w:rPr>
              <w:t>(vii)</w:t>
            </w:r>
          </w:p>
        </w:tc>
        <w:tc>
          <w:tcPr>
            <w:tcW w:w="9763" w:type="dxa"/>
            <w:tcBorders/>
            <w:shd w:fill="auto" w:val="clear"/>
            <w:vAlign w:val="center"/>
          </w:tcPr>
          <w:p>
            <w:pPr>
              <w:pStyle w:val="TableContents"/>
              <w:spacing w:before="0" w:after="283"/>
              <w:jc w:val="both"/>
              <w:rPr/>
            </w:pPr>
            <w:r>
              <w:rPr/>
              <w:t>To determine the type of Award and number of Shares or amount of cash to be made subject to each Award;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07"/>
        <w:gridCol w:w="9761"/>
      </w:tblGrid>
      <w:tr>
        <w:trPr/>
        <w:tc>
          <w:tcPr>
            <w:tcW w:w="3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color w:val="010000"/>
              </w:rPr>
            </w:pPr>
            <w:r>
              <w:rPr>
                <w:color w:val="010000"/>
              </w:rPr>
              <w:t>(viii)</w:t>
            </w:r>
          </w:p>
        </w:tc>
        <w:tc>
          <w:tcPr>
            <w:tcW w:w="9761" w:type="dxa"/>
            <w:tcBorders/>
            <w:shd w:fill="auto" w:val="clear"/>
            <w:vAlign w:val="center"/>
          </w:tcPr>
          <w:p>
            <w:pPr>
              <w:pStyle w:val="TableContents"/>
              <w:spacing w:before="0" w:after="283"/>
              <w:jc w:val="both"/>
              <w:rPr/>
            </w:pPr>
            <w:r>
              <w:rPr/>
              <w:t>To prescribe the terms and conditions of each Award, including (without limitation) the Exercise Price and Purchase Price of any Award, and the vesting or duration of the Award (including accelerating the vesting of Awards, either at the time of the Award or thereafter, without the consent of the Participant), to determine whether an Option is to be classified as an ISO or as an NSO, to specify the provisions of the agreement relating to such Award and to determine and establish the terms and conditions of any Stock Purchase Right granted pursuant to the ESPP Addendum;</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13"/>
        <w:gridCol w:w="9855"/>
      </w:tblGrid>
      <w:tr>
        <w:trPr/>
        <w:tc>
          <w:tcPr>
            <w:tcW w:w="3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color w:val="010000"/>
              </w:rPr>
            </w:pPr>
            <w:r>
              <w:rPr>
                <w:color w:val="010000"/>
              </w:rPr>
              <w:t>(ix)</w:t>
            </w:r>
          </w:p>
        </w:tc>
        <w:tc>
          <w:tcPr>
            <w:tcW w:w="9855" w:type="dxa"/>
            <w:tcBorders/>
            <w:shd w:fill="auto" w:val="clear"/>
            <w:vAlign w:val="center"/>
          </w:tcPr>
          <w:p>
            <w:pPr>
              <w:pStyle w:val="TableContents"/>
              <w:spacing w:before="0" w:after="283"/>
              <w:jc w:val="both"/>
              <w:rPr/>
            </w:pPr>
            <w:r>
              <w:rPr/>
              <w:t>To amend any outstanding Award Agreement, subject to applicable legal restrictions and to the consent of the Participant if the Participant’s rights or obligations would be materially impaired;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7"/>
        <w:gridCol w:w="9901"/>
      </w:tblGrid>
      <w:tr>
        <w:trPr/>
        <w:tc>
          <w:tcPr>
            <w:tcW w:w="3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color w:val="010000"/>
              </w:rPr>
            </w:pPr>
            <w:r>
              <w:rPr>
                <w:color w:val="010000"/>
              </w:rPr>
              <w:t>(x)</w:t>
            </w:r>
          </w:p>
        </w:tc>
        <w:tc>
          <w:tcPr>
            <w:tcW w:w="9901" w:type="dxa"/>
            <w:tcBorders/>
            <w:shd w:fill="auto" w:val="clear"/>
            <w:vAlign w:val="center"/>
          </w:tcPr>
          <w:p>
            <w:pPr>
              <w:pStyle w:val="TableContents"/>
              <w:spacing w:before="0" w:after="283"/>
              <w:jc w:val="both"/>
              <w:rPr/>
            </w:pPr>
            <w:r>
              <w:rPr/>
              <w:t>To prescribe the consideration for the grant of each Award or other right under the Plan and to determine the sufficiency of such consideration;</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9"/>
        <w:gridCol w:w="9839"/>
      </w:tblGrid>
      <w:tr>
        <w:trPr/>
        <w:tc>
          <w:tcPr>
            <w:tcW w:w="37"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color w:val="010000"/>
              </w:rPr>
            </w:pPr>
            <w:r>
              <w:rPr>
                <w:color w:val="010000"/>
              </w:rPr>
              <w:t>(xi)</w:t>
            </w:r>
          </w:p>
        </w:tc>
        <w:tc>
          <w:tcPr>
            <w:tcW w:w="9839" w:type="dxa"/>
            <w:tcBorders/>
            <w:shd w:fill="auto" w:val="clear"/>
            <w:vAlign w:val="center"/>
          </w:tcPr>
          <w:p>
            <w:pPr>
              <w:pStyle w:val="TableContents"/>
              <w:spacing w:before="0" w:after="283"/>
              <w:jc w:val="both"/>
              <w:rPr/>
            </w:pPr>
            <w:r>
              <w:rPr/>
              <w:t>To determine the disposition of each Award or other right under the Plan in the event of a Participant’s divorce or dissolution of marriage;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79"/>
        <w:gridCol w:w="9789"/>
      </w:tblGrid>
      <w:tr>
        <w:trPr/>
        <w:tc>
          <w:tcPr>
            <w:tcW w:w="3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color w:val="010000"/>
              </w:rPr>
            </w:pPr>
            <w:r>
              <w:rPr>
                <w:color w:val="010000"/>
              </w:rPr>
              <w:t>(xii)</w:t>
            </w:r>
          </w:p>
        </w:tc>
        <w:tc>
          <w:tcPr>
            <w:tcW w:w="9789" w:type="dxa"/>
            <w:tcBorders/>
            <w:shd w:fill="auto" w:val="clear"/>
            <w:vAlign w:val="center"/>
          </w:tcPr>
          <w:p>
            <w:pPr>
              <w:pStyle w:val="TableContents"/>
              <w:spacing w:before="0" w:after="283"/>
              <w:jc w:val="both"/>
              <w:rPr/>
            </w:pPr>
            <w:r>
              <w:rPr/>
              <w:t>To determine whether Awards under the Plan will be granted in replacement of other grants under an incentive or other compensation plan of an acquired business;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62"/>
        <w:gridCol w:w="9706"/>
      </w:tblGrid>
      <w:tr>
        <w:trPr/>
        <w:tc>
          <w:tcPr>
            <w:tcW w:w="3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color w:val="010000"/>
              </w:rPr>
            </w:pPr>
            <w:r>
              <w:rPr>
                <w:color w:val="010000"/>
              </w:rPr>
              <w:t>(xiii)</w:t>
            </w:r>
          </w:p>
        </w:tc>
        <w:tc>
          <w:tcPr>
            <w:tcW w:w="9706" w:type="dxa"/>
            <w:tcBorders/>
            <w:shd w:fill="auto" w:val="clear"/>
            <w:vAlign w:val="center"/>
          </w:tcPr>
          <w:p>
            <w:pPr>
              <w:pStyle w:val="TableContents"/>
              <w:spacing w:before="0" w:after="283"/>
              <w:jc w:val="both"/>
              <w:rPr/>
            </w:pPr>
            <w:r>
              <w:rPr/>
              <w:t>To correct any defect, supply any omission, or reconcile any inconsistency in the Plan or any Award Agreement;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34"/>
        <w:gridCol w:w="9734"/>
      </w:tblGrid>
      <w:tr>
        <w:trPr/>
        <w:tc>
          <w:tcPr>
            <w:tcW w:w="3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color w:val="010000"/>
              </w:rPr>
            </w:pPr>
            <w:r>
              <w:rPr>
                <w:color w:val="010000"/>
              </w:rPr>
              <w:t>(xiv)</w:t>
            </w:r>
          </w:p>
        </w:tc>
        <w:tc>
          <w:tcPr>
            <w:tcW w:w="9734" w:type="dxa"/>
            <w:tcBorders/>
            <w:shd w:fill="auto" w:val="clear"/>
            <w:vAlign w:val="center"/>
          </w:tcPr>
          <w:p>
            <w:pPr>
              <w:pStyle w:val="TableContents"/>
              <w:spacing w:before="0" w:after="283"/>
              <w:jc w:val="both"/>
              <w:rPr/>
            </w:pPr>
            <w:r>
              <w:rPr/>
              <w:t>To establish or verify the extent of satisfaction of any performance goals or other conditions applicable to the grant, issuance, exercisability, vesting, and/or ability to retain any Award;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95"/>
        <w:gridCol w:w="9773"/>
      </w:tblGrid>
      <w:tr>
        <w:trPr/>
        <w:tc>
          <w:tcPr>
            <w:tcW w:w="37"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color w:val="010000"/>
              </w:rPr>
            </w:pPr>
            <w:r>
              <w:rPr>
                <w:color w:val="010000"/>
              </w:rPr>
              <w:t>(xv)</w:t>
            </w:r>
          </w:p>
        </w:tc>
        <w:tc>
          <w:tcPr>
            <w:tcW w:w="9773" w:type="dxa"/>
            <w:tcBorders/>
            <w:shd w:fill="auto" w:val="clear"/>
            <w:vAlign w:val="center"/>
          </w:tcPr>
          <w:p>
            <w:pPr>
              <w:pStyle w:val="TableContents"/>
              <w:spacing w:before="0" w:after="283"/>
              <w:jc w:val="both"/>
              <w:rPr/>
            </w:pPr>
            <w:r>
              <w:rPr/>
              <w:t>to administer the ESPP Addendum and exercise such authority and take such actions as set forth in the ESPP Addendum;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2"/>
        <w:gridCol w:w="527"/>
        <w:gridCol w:w="9636"/>
      </w:tblGrid>
      <w:tr>
        <w:trPr/>
        <w:tc>
          <w:tcPr>
            <w:tcW w:w="42"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color w:val="010000"/>
              </w:rPr>
            </w:pPr>
            <w:r>
              <w:rPr>
                <w:color w:val="010000"/>
              </w:rPr>
              <w:t>(xvi)</w:t>
            </w:r>
          </w:p>
        </w:tc>
        <w:tc>
          <w:tcPr>
            <w:tcW w:w="9636" w:type="dxa"/>
            <w:tcBorders/>
            <w:shd w:fill="auto" w:val="clear"/>
            <w:vAlign w:val="center"/>
          </w:tcPr>
          <w:p>
            <w:pPr>
              <w:pStyle w:val="TableContents"/>
              <w:spacing w:before="0" w:after="283"/>
              <w:jc w:val="both"/>
              <w:rPr/>
            </w:pPr>
            <w:r>
              <w:rPr/>
              <w:t>To take any other actions deemed necessary or advisable for the administration of the Plan.</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 xml:space="preserve">Section 4.    </w:t>
      </w:r>
      <w:r>
        <w:rPr>
          <w:rFonts w:ascii="Times New Roman;Times;Serif" w:hAnsi="Times New Roman;Times;Serif"/>
          <w:b/>
          <w:i w:val="false"/>
          <w:caps/>
          <w:sz w:val="20"/>
        </w:rPr>
        <w:t>ELIGIBILITY.</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General Rule</w:t>
      </w:r>
      <w:r>
        <w:rPr>
          <w:rFonts w:ascii="Times New Roman;Times;Serif" w:hAnsi="Times New Roman;Times;Serif"/>
          <w:b w:val="false"/>
          <w:i w:val="false"/>
          <w:caps w:val="false"/>
          <w:smallCaps w:val="false"/>
          <w:sz w:val="20"/>
        </w:rPr>
        <w:t>. Only Employees, Consultants and Outside Directors shall be eligible for the grant of Awards. Only common-law employees of the Company, a Parent, or a Subsidiary shall be eligible for the grant of ISOs and Stock Purchase Rights.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Ten-Percent Stockholders</w:t>
      </w:r>
      <w:r>
        <w:rPr>
          <w:rFonts w:ascii="Times New Roman;Times;Serif" w:hAnsi="Times New Roman;Times;Serif"/>
          <w:b w:val="false"/>
          <w:i w:val="false"/>
          <w:caps w:val="false"/>
          <w:smallCaps w:val="false"/>
          <w:sz w:val="20"/>
        </w:rPr>
        <w:t>. An Employee who owns more than 10% of the total combined voting power of all classes of outstanding stock of the Company, a Parent or Subsidiary shall not be eligible for the grant of an ISO unless such grant satisfies the requirements of Section 422(c)(5) of the Code.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Attribution Rules</w:t>
      </w:r>
      <w:r>
        <w:rPr>
          <w:rFonts w:ascii="Times New Roman;Times;Serif" w:hAnsi="Times New Roman;Times;Serif"/>
          <w:b w:val="false"/>
          <w:i w:val="false"/>
          <w:caps w:val="false"/>
          <w:smallCaps w:val="false"/>
          <w:sz w:val="20"/>
        </w:rPr>
        <w:t>. For purposes of Section 4(b) above,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Outstanding Stock</w:t>
      </w:r>
      <w:r>
        <w:rPr>
          <w:rFonts w:ascii="Times New Roman;Times;Serif" w:hAnsi="Times New Roman;Times;Serif"/>
          <w:b w:val="false"/>
          <w:i w:val="false"/>
          <w:caps w:val="false"/>
          <w:smallCaps w:val="false"/>
          <w:sz w:val="20"/>
        </w:rPr>
        <w:t>. For purposes of Section 4(b) above, “outstanding stock” shall include all stock actually issued and outstanding immediately after the grant. “Outstanding stock” shall not include Shares authorized for issuance under outstanding options held by the Employee or by any other person.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 xml:space="preserve">Section 5.    </w:t>
      </w:r>
      <w:r>
        <w:rPr>
          <w:rFonts w:ascii="Times New Roman;Times;Serif" w:hAnsi="Times New Roman;Times;Serif"/>
          <w:b/>
          <w:i w:val="false"/>
          <w:caps/>
          <w:sz w:val="20"/>
        </w:rPr>
        <w:t>STOCK SUBJECT TO PLAN; DIRECTOR COMPENSATION LIMIT.</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Basic Limitation</w:t>
      </w:r>
      <w:r>
        <w:rPr>
          <w:rFonts w:ascii="Times New Roman;Times;Serif" w:hAnsi="Times New Roman;Times;Serif"/>
          <w:b w:val="false"/>
          <w:i w:val="false"/>
          <w:caps w:val="false"/>
          <w:smallCaps w:val="false"/>
          <w:sz w:val="20"/>
        </w:rPr>
        <w:t>. Shares offered under the Plan shall be authorized but unissued Shares or treasury Shares. As of the Second Restatement Date, the maximum aggregate number of Shares authorized for issuance as Awards under the Plan on or after the Effective Date shall not exceed the sum of (x) 75,669,244 Shares (consisting of (i) 39,166,575 Shares approved by the Board on March 2, 2023, (ii) 15,000,000 Shares approved by the Board on April 27, 2022, (iii) 12,500,000 Shares initially authorized for issuance under the Plan as of the Effective Date and (iv) an additional 9,002,669 Shares initially authorized under the Plan as of the Effective Date which represents the number of Shares equal to the number of unallocated shares of stock of Atieva, Inc. remaining available for issuance under the 2021 Plan, 2014 Plan and 2009 Plan as of the Effective Date (as adjusted by the conversion ratio pursuant to the terms of the Merger Agreement in connection with the consummation of the transactions contemplated by the Merger Agreement)), plus (y) the Returning Shares, if any, which become available for grant under this Plan from time to time on or after the Effective Date. Notwithstanding the foregoing, the number of Shares that may be delivered in the aggregate pursuant to the exercise of ISOs granted under the Plan on or after the Effective Date shall not exceed 75,669,244 Shares plus, to the extent allowable under Section 422 of the Code, any Shares that become available for issuance under the Plan pursuant to Section 5(c). In addition, notwithstanding the foregoing, the number of Shares that may be delivered in the aggregate pursuant to the exercise of Stock Purchase Rights granted under the Plan and the ESPP Addendum on or after the Effective Date shall not exceed 75,669,244 Shares. The limitations of this Section 5(a) shall be subject to adjustment pursuant to Section 13.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Additional Shares</w:t>
      </w:r>
      <w:r>
        <w:rPr>
          <w:rFonts w:ascii="Times New Roman;Times;Serif" w:hAnsi="Times New Roman;Times;Serif"/>
          <w:b w:val="false"/>
          <w:i w:val="false"/>
          <w:caps w:val="false"/>
          <w:smallCaps w:val="false"/>
          <w:sz w:val="20"/>
        </w:rPr>
        <w:t>. If Restricted Shares or Shares issued upon the exercise of options are forfeited, then such Shares shall again become available for Awards under the Plan. If Restricted Stock Units, Options, SARs or Stock Purchase Rights are forfeited or terminate for any reason before being exercised or settled, or an Award is settled in cash without the delivery of Shares to the holder, then the corresponding Shares shall again become available for Awards under the Plan. If Restricted Stock Units or SARs are settled, then only the number of Shares (if any) actually issued in settlement of such Restricted Stock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Substitution and Assumption of Awards</w:t>
      </w:r>
      <w:r>
        <w:rPr>
          <w:rFonts w:ascii="Times New Roman;Times;Serif" w:hAnsi="Times New Roman;Times;Serif"/>
          <w:b w:val="false"/>
          <w:i w:val="false"/>
          <w:caps w:val="false"/>
          <w:smallCaps w:val="false"/>
          <w:sz w:val="20"/>
        </w:rPr>
        <w:t>. The Committee may make Awards under the Plan by assumption, substitution, or replacement of stock options, stock appreciation rights, restricted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Outside Director Compensation Limit</w:t>
      </w:r>
      <w:r>
        <w:rPr>
          <w:rFonts w:ascii="Times New Roman;Times;Serif" w:hAnsi="Times New Roman;Times;Serif"/>
          <w:b w:val="false"/>
          <w:i w:val="false"/>
          <w:caps w:val="false"/>
          <w:smallCaps w:val="false"/>
          <w:sz w:val="20"/>
        </w:rPr>
        <w:t>. The maximum number of Shares subject to Awards granted under the Plan or otherwise during any one calendar year to any Outside Director, taken together with any cash fees paid by the Company to such Outside Director during such calendar year for service on the Board (excluding any arrangements entered into prior to the Effective Date), will not exceed seven-hundred and fifty thousand dollars ($750,000) in total value (calculating the value of any such Awards based on the grant date fair value of such Awards for financial reporting purposes, or, with respect to the calendar year in which an Outside Director is first appointed or elected to the Board, one-million dollars ($1,000,000)).</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caps w:val="false"/>
          <w:smallCaps w:val="false"/>
          <w:color w:val="010000"/>
          <w:sz w:val="20"/>
        </w:rPr>
        <w:t>            </w:t>
      </w:r>
      <w:r>
        <w:rPr>
          <w:rFonts w:ascii="Times New Roman;Times;Serif" w:hAnsi="Times New Roman;Times;Serif"/>
          <w:b w:val="false"/>
          <w:i/>
          <w:caps w:val="false"/>
          <w:smallCaps w:val="false"/>
          <w:sz w:val="20"/>
        </w:rPr>
        <w:t>No Repricing</w:t>
      </w:r>
      <w:r>
        <w:rPr>
          <w:rFonts w:ascii="Times New Roman;Times;Serif" w:hAnsi="Times New Roman;Times;Serif"/>
          <w:b w:val="false"/>
          <w:i w:val="false"/>
          <w:caps w:val="false"/>
          <w:smallCaps w:val="false"/>
          <w:sz w:val="20"/>
        </w:rPr>
        <w:t xml:space="preserve">. Notwithstanding any other provision of the Plan to the contrary, except in connection with a corporate transaction involving the Company (including, without limitation, a Change in Control and any transaction or event described in Section 13), the Committee may not, without stockholder approval, (X) effect any repricing or buyout of any “underwater” Option or SAR, including by: (i) amending or modifying the terms of the Option or SAR to lower the exercise price; (ii) cancelling the underwater Option or SAR and granting in exchange therefor either (A) replacement Options or SARs having a lower exercise price or (B)  Restricted Shares or Restricted Stock Units; or (iii) cancelling or repurchasing the underwater Options or SARs for cash or other securities or (Y) take any other action with respect to an Option or SAR that would be treated as a repricing under the rules and regulations of the principal securities market on which Stock is traded. Any amendment or repeal of this Section 5(e) shall require the approval of the stockholders of the Company.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caps w:val="false"/>
          <w:smallCaps w:val="false"/>
          <w:sz w:val="20"/>
        </w:rPr>
        <w:t xml:space="preserve">Prohibition on Dividends on Unvested Awards. </w:t>
      </w:r>
      <w:r>
        <w:rPr>
          <w:rFonts w:ascii="Times New Roman;Times;Serif" w:hAnsi="Times New Roman;Times;Serif"/>
          <w:b w:val="false"/>
          <w:i w:val="false"/>
          <w:caps w:val="false"/>
          <w:smallCaps w:val="false"/>
          <w:sz w:val="20"/>
        </w:rPr>
        <w:t xml:space="preserve">Dividends or dividend equivalents may be credited on behalf of a Participant with respect to the unvested portion of an Award, in accordance with the other terms of the Plan (and applicable Award Agreement). However, for the avoidance of doubt, in no event shall any dividends or dividend equivalents credited with respect to the unvested portion of an Award be distributed to the Participant unless or until such unvested portion of the Award has been earned (if applicable) and has vested.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 xml:space="preserve">Section 6.    </w:t>
      </w:r>
      <w:r>
        <w:rPr>
          <w:rFonts w:ascii="Times New Roman;Times;Serif" w:hAnsi="Times New Roman;Times;Serif"/>
          <w:b/>
          <w:i w:val="false"/>
          <w:caps/>
          <w:sz w:val="20"/>
        </w:rPr>
        <w:t>RESTRICTED SHARES.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Restricted Share Award Agreement</w:t>
      </w:r>
      <w:r>
        <w:rPr>
          <w:rFonts w:ascii="Times New Roman;Times;Serif" w:hAnsi="Times New Roman;Times;Serif"/>
          <w:b w:val="false"/>
          <w:i w:val="false"/>
          <w:caps w:val="false"/>
          <w:smallCaps w:val="false"/>
          <w:sz w:val="20"/>
        </w:rPr>
        <w:t>.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Payment for Awards</w:t>
      </w:r>
      <w:r>
        <w:rPr>
          <w:rFonts w:ascii="Times New Roman;Times;Serif" w:hAnsi="Times New Roman;Times;Serif"/>
          <w:b w:val="false"/>
          <w:i w:val="false"/>
          <w:caps w:val="false"/>
          <w:smallCaps w:val="false"/>
          <w:sz w:val="20"/>
        </w:rPr>
        <w:t>. Restricted Shares may be sold or awarded under the Plan for such consideration as the Committee may determine, including (without limitation) cash, cash equivalents, full-recourse promissory notes, past services, and future services.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Vesting</w:t>
      </w:r>
      <w:r>
        <w:rPr>
          <w:rFonts w:ascii="Times New Roman;Times;Serif" w:hAnsi="Times New Roman;Times;Serif"/>
          <w:b w:val="false"/>
          <w:i w:val="false"/>
          <w:caps w:val="false"/>
          <w:smallCaps w:val="false"/>
          <w:sz w:val="20"/>
        </w:rPr>
        <w:t>.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Voting and Dividend Rights</w:t>
      </w:r>
      <w:r>
        <w:rPr>
          <w:rFonts w:ascii="Times New Roman;Times;Serif" w:hAnsi="Times New Roman;Times;Serif"/>
          <w:b w:val="false"/>
          <w:i w:val="false"/>
          <w:caps w:val="false"/>
          <w:smallCaps w:val="false"/>
          <w:sz w:val="20"/>
        </w:rPr>
        <w:t>. A holder of Restricted Shares awarded under the Plan shall have the same voting, dividend, and other rights as the Company’s other stockholders, except that in the case of any unvested Restricted Shares, the holder shall not be entitled to any dividends or other distributions paid or distributed by the Company in respect of outstanding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which the dividend was paid. For the avoidance of doubt, other than with respect to the right to receive dividends and other distributions, the holders of unvested Restricted Shares shall have the same voting rights and other rights as the Company’s other stockholders in respect of such unvested Restricted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caps w:val="false"/>
          <w:smallCaps w:val="false"/>
          <w:sz w:val="20"/>
        </w:rPr>
        <w:t>Restrictions on Transfer of Shares</w:t>
      </w:r>
      <w:r>
        <w:rPr>
          <w:rFonts w:ascii="Times New Roman;Times;Serif" w:hAnsi="Times New Roman;Times;Serif"/>
          <w:b w:val="false"/>
          <w:i w:val="false"/>
          <w:caps w:val="false"/>
          <w:smallCaps w:val="false"/>
          <w:sz w:val="20"/>
        </w:rPr>
        <w:t>. Restricted Shares shall be subject to such rights of repurchase, rights of first refusal, or other restrictions as the Committee may determine. Such restrictions shall be set forth in the applicable Restricted Share Award Agreement and shall apply in addition to any general restrictions that may apply to all holders of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 xml:space="preserve">Section 7.    </w:t>
      </w:r>
      <w:r>
        <w:rPr>
          <w:rFonts w:ascii="Times New Roman;Times;Serif" w:hAnsi="Times New Roman;Times;Serif"/>
          <w:b/>
          <w:i w:val="false"/>
          <w:caps/>
          <w:sz w:val="20"/>
        </w:rPr>
        <w:t>TERMS AND CONDITIONS OF OPTIONS.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Option Award Agreement</w:t>
      </w:r>
      <w:r>
        <w:rPr>
          <w:rFonts w:ascii="Times New Roman;Times;Serif" w:hAnsi="Times New Roman;Times;Serif"/>
          <w:b w:val="false"/>
          <w:i w:val="false"/>
          <w:caps w:val="false"/>
          <w:smallCaps w:val="false"/>
          <w:sz w:val="20"/>
        </w:rPr>
        <w:t>. Each grant of an Option under the Plan shall be evidenced by an Option Award Agreement between the 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Number of Shares</w:t>
      </w:r>
      <w:r>
        <w:rPr>
          <w:rFonts w:ascii="Times New Roman;Times;Serif" w:hAnsi="Times New Roman;Times;Serif"/>
          <w:b w:val="false"/>
          <w:i w:val="false"/>
          <w:caps w:val="false"/>
          <w:smallCaps w:val="false"/>
          <w:sz w:val="20"/>
        </w:rPr>
        <w:t>. Each Option Award Agreement shall specify the number of Shares that are subject to the Option and shall provide for the adjustment of such number in accordance with Section 13.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Each Option Award Agreement shall specify the Exercise Price. The Exercise Price of an ISO shall not be less than 100% of the Fair Market Value of a Share on the date of grant,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Withholding Taxes</w:t>
      </w:r>
      <w:r>
        <w:rPr>
          <w:rFonts w:ascii="Times New Roman;Times;Serif" w:hAnsi="Times New Roman;Times;Serif"/>
          <w:b w:val="false"/>
          <w:i w:val="false"/>
          <w:caps w:val="false"/>
          <w:smallCaps w:val="false"/>
          <w:sz w:val="20"/>
        </w:rPr>
        <w:t>. As a condition to the exercise of an Option, the Participant shall make such arrangements as the 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caps w:val="false"/>
          <w:smallCaps w:val="false"/>
          <w:sz w:val="20"/>
        </w:rPr>
        <w:t>Exercisability and Term</w:t>
      </w:r>
      <w:r>
        <w:rPr>
          <w:rFonts w:ascii="Times New Roman;Times;Serif" w:hAnsi="Times New Roman;Times;Serif"/>
          <w:b w:val="false"/>
          <w:i w:val="false"/>
          <w:caps w:val="false"/>
          <w:smallCaps w:val="false"/>
          <w:sz w:val="20"/>
        </w:rPr>
        <w:t>. Each Option Award Agreement shall specify the date when all or any installment of the Option is to become exercisable. The Option Award Agreement shall also specify the term of the Option; provided that the term of an ISO shall in no event exceed 10 years from the date of grant (five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caps w:val="false"/>
          <w:smallCaps w:val="false"/>
          <w:sz w:val="20"/>
        </w:rPr>
        <w:t>Exercise of Options</w:t>
      </w:r>
      <w:r>
        <w:rPr>
          <w:rFonts w:ascii="Times New Roman;Times;Serif" w:hAnsi="Times New Roman;Times;Serif"/>
          <w:b w:val="false"/>
          <w:i w:val="false"/>
          <w:caps w:val="false"/>
          <w:smallCaps w:val="false"/>
          <w:sz w:val="20"/>
        </w:rPr>
        <w:t>. Each Option Award Agreement shall set forth the extent to which the 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caps w:val="false"/>
          <w:smallCaps w:val="false"/>
          <w:sz w:val="20"/>
        </w:rPr>
        <w:t>No Rights as a Stockholder</w:t>
      </w:r>
      <w:r>
        <w:rPr>
          <w:rFonts w:ascii="Times New Roman;Times;Serif" w:hAnsi="Times New Roman;Times;Serif"/>
          <w:b w:val="false"/>
          <w:i w:val="false"/>
          <w:caps w:val="false"/>
          <w:smallCaps w:val="false"/>
          <w:sz w:val="20"/>
        </w:rPr>
        <w:t>. A Participant shall have no rights as a stockholder with respect to any Shares covered by his Option until the date of the issuance of a share certificate for such Shares. No adjustments shall be made, except as provided in Section 13.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caps w:val="false"/>
          <w:smallCaps w:val="false"/>
          <w:sz w:val="20"/>
        </w:rPr>
        <w:t>Modification, Extension and Renewal of Options</w:t>
      </w:r>
      <w:r>
        <w:rPr>
          <w:rFonts w:ascii="Times New Roman;Times;Serif" w:hAnsi="Times New Roman;Times;Serif"/>
          <w:b w:val="false"/>
          <w:i w:val="false"/>
          <w:caps w:val="false"/>
          <w:smallCaps w:val="false"/>
          <w:sz w:val="20"/>
        </w:rPr>
        <w:t>. Subject to Section 5(e),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his or her rights or obligations under such Option; provided, however, that an amendment or modification that may cause an ISO to become a NSO, and any amendment or modification that is required to comply with the rules applicable to ISOs, shall not be treated as materially impairing the rights or obligations of the Participant.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Restrictions on Transfer of Shares</w:t>
      </w:r>
      <w:r>
        <w:rPr>
          <w:rFonts w:ascii="Times New Roman;Times;Serif" w:hAnsi="Times New Roman;Times;Serif"/>
          <w:b w:val="false"/>
          <w:i w:val="false"/>
          <w:caps w:val="false"/>
          <w:smallCaps w:val="false"/>
          <w:sz w:val="20"/>
        </w:rPr>
        <w:t>. Any Shares issued upon exercise of an Option shall be subject to such special forfeiture conditions, 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caps w:val="false"/>
          <w:smallCaps w:val="false"/>
          <w:sz w:val="20"/>
        </w:rPr>
        <w:t>Buyout Provisions</w:t>
      </w:r>
      <w:r>
        <w:rPr>
          <w:rFonts w:ascii="Times New Roman;Times;Serif" w:hAnsi="Times New Roman;Times;Serif"/>
          <w:b w:val="false"/>
          <w:i w:val="false"/>
          <w:caps w:val="false"/>
          <w:smallCaps w:val="false"/>
          <w:sz w:val="20"/>
        </w:rPr>
        <w:t>. Subject to Section 5(e), the Committee may at any time (i) offer to buy out for a payment in cash or cash equivalents an Option previously granted or (ii) authorize a Participant to elect to cash out an Option previously granted, in either case at such time and based upon such terms and conditions as the Committee shall establish.</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caps w:val="false"/>
          <w:smallCaps w:val="false"/>
          <w:sz w:val="20"/>
        </w:rPr>
        <w:t xml:space="preserve">No Dividend Equivalents on Options. </w:t>
      </w:r>
      <w:r>
        <w:rPr>
          <w:rFonts w:ascii="Times New Roman;Times;Serif" w:hAnsi="Times New Roman;Times;Serif"/>
          <w:b w:val="false"/>
          <w:i w:val="false"/>
          <w:caps w:val="false"/>
          <w:smallCaps w:val="false"/>
          <w:sz w:val="20"/>
        </w:rPr>
        <w:t>No grant of Options may be accompanied by a tandem award of dividend equivalents or provide for dividends, dividend equivalents or other distributions to be paid on such Options (except pursuant to an adjustment or other action contemplated by Section 13).</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 xml:space="preserve">Section 8.    </w:t>
      </w:r>
      <w:r>
        <w:rPr>
          <w:rFonts w:ascii="Times New Roman;Times;Serif" w:hAnsi="Times New Roman;Times;Serif"/>
          <w:b/>
          <w:i w:val="false"/>
          <w:caps/>
          <w:sz w:val="20"/>
        </w:rPr>
        <w:t>PAYMENT FOR SHARES.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General Rule</w:t>
      </w:r>
      <w:r>
        <w:rPr>
          <w:rFonts w:ascii="Times New Roman;Times;Serif" w:hAnsi="Times New Roman;Times;Serif"/>
          <w:b w:val="false"/>
          <w:i w:val="false"/>
          <w:caps w:val="false"/>
          <w:smallCaps w:val="false"/>
          <w:sz w:val="20"/>
        </w:rPr>
        <w:t>. The entire Exercise Price or Purchase Price of Shares issued under the Plan (other than Shares issued under the ESPP Addendum which shall be governed by the terms of the ESPP Addendum) shall be payable in lawful money of the United States of America at the time when such Shares are purchased, except as provided in Section 8(b) through Section 8(h) below. The payment for Shares issuable pursuant to the ESPP Addendum shall be subject to the terms and conditions as set forth in the ESPP Addendum.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Surrender of Stock</w:t>
      </w:r>
      <w:r>
        <w:rPr>
          <w:rFonts w:ascii="Times New Roman;Times;Serif" w:hAnsi="Times New Roman;Times;Serif"/>
          <w:b w:val="false"/>
          <w:i w:val="false"/>
          <w:caps w:val="false"/>
          <w:smallCaps w:val="false"/>
          <w:sz w:val="20"/>
        </w:rPr>
        <w:t>. To the extent that an Option Award Agreement so provides, payment may be made all or in part by surrendering, or 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of an Option if such action would cause the Company to recognize compensation expense (or additional compensation expense) with respect to the Option for financial reporting purposes.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Services Rendered</w:t>
      </w:r>
      <w:r>
        <w:rPr>
          <w:rFonts w:ascii="Times New Roman;Times;Serif" w:hAnsi="Times New Roman;Times;Serif"/>
          <w:b w:val="false"/>
          <w:i w:val="false"/>
          <w:caps w:val="false"/>
          <w:smallCaps w:val="false"/>
          <w:sz w:val="20"/>
        </w:rPr>
        <w:t>. At the discretion of the Committee, Shares may be awarded under the Plan in consideration of services 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Cashless Exercise</w:t>
      </w:r>
      <w:r>
        <w:rPr>
          <w:rFonts w:ascii="Times New Roman;Times;Serif" w:hAnsi="Times New Roman;Times;Serif"/>
          <w:b w:val="false"/>
          <w:i w:val="false"/>
          <w:caps w:val="false"/>
          <w:smallCaps w:val="false"/>
          <w:sz w:val="20"/>
        </w:rPr>
        <w:t>. To the extent that an Option Award Agreement so provides, if the Stock is traded on an established securities market, payment may be made all or in part by delivery (on a form prescribed by the Committee) of an irrevocable direction to a securities broker to sell Shares and to deliver all or part of the sale proceeds to the Company in payment of the aggregate Exercise Price.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caps w:val="false"/>
          <w:smallCaps w:val="false"/>
          <w:sz w:val="20"/>
        </w:rPr>
        <w:t>Exercise/Pledge</w:t>
      </w:r>
      <w:r>
        <w:rPr>
          <w:rFonts w:ascii="Times New Roman;Times;Serif" w:hAnsi="Times New Roman;Times;Serif"/>
          <w:b w:val="false"/>
          <w:i w:val="false"/>
          <w:caps w:val="false"/>
          <w:smallCaps w:val="false"/>
          <w:sz w:val="20"/>
        </w:rPr>
        <w:t>. To the extent that an Option Award Agreement so provides, payment may be made all or in part by delivery (on a form prescribed by the Committee) of an irrevocable direction to a securities broker or lender to pledge Shares, as security for a loan, and to deliver all or part of the loan proceeds to the Company in payment of the aggregate Exercise Price.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caps w:val="false"/>
          <w:smallCaps w:val="false"/>
          <w:sz w:val="20"/>
        </w:rPr>
        <w:t>Net Exercise</w:t>
      </w:r>
      <w:r>
        <w:rPr>
          <w:rFonts w:ascii="Times New Roman;Times;Serif" w:hAnsi="Times New Roman;Times;Serif"/>
          <w:b w:val="false"/>
          <w:i w:val="false"/>
          <w:caps w:val="false"/>
          <w:smallCaps w:val="false"/>
          <w:sz w:val="20"/>
        </w:rPr>
        <w:t>. To the extent that an Option Award Agreement so provides,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caps w:val="false"/>
          <w:smallCaps w:val="false"/>
          <w:sz w:val="20"/>
        </w:rPr>
        <w:t>Promissory Note</w:t>
      </w:r>
      <w:r>
        <w:rPr>
          <w:rFonts w:ascii="Times New Roman;Times;Serif" w:hAnsi="Times New Roman;Times;Serif"/>
          <w:b w:val="false"/>
          <w:i w:val="false"/>
          <w:caps w:val="false"/>
          <w:smallCaps w:val="false"/>
          <w:sz w:val="20"/>
        </w:rPr>
        <w:t>. To the extent that an Option Award Agreement or Restricted Share Award Agreement so provides, payment may be made all or in part by delivering (on a form prescribed by the Company) a full-recourse promissory note.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caps w:val="false"/>
          <w:smallCaps w:val="false"/>
          <w:sz w:val="20"/>
        </w:rPr>
        <w:t>Other Forms of Payment</w:t>
      </w:r>
      <w:r>
        <w:rPr>
          <w:rFonts w:ascii="Times New Roman;Times;Serif" w:hAnsi="Times New Roman;Times;Serif"/>
          <w:b w:val="false"/>
          <w:i w:val="false"/>
          <w:caps w:val="false"/>
          <w:smallCaps w:val="false"/>
          <w:sz w:val="20"/>
        </w:rPr>
        <w:t>. To the extent that an Option Award Agreement or Restricted Share Award Agreement so provides, payment may be made in any other form that is consistent with applicable laws, regulations, and rules.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Limitations under Applicable Law</w:t>
      </w:r>
      <w:r>
        <w:rPr>
          <w:rFonts w:ascii="Times New Roman;Times;Serif" w:hAnsi="Times New Roman;Times;Serif"/>
          <w:b w:val="false"/>
          <w:i w:val="false"/>
          <w:caps w:val="false"/>
          <w:smallCaps w:val="false"/>
          <w:sz w:val="20"/>
        </w:rPr>
        <w:t>. Notwithstanding anything herein or in an Option Award Agreement or Restricted Share Award Agreement to the contrary, payment may not be made in any form that is unlawful, as determined by the Committee in its sole discretion.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 xml:space="preserve">Section 9.    </w:t>
      </w:r>
      <w:r>
        <w:rPr>
          <w:rFonts w:ascii="Times New Roman;Times;Serif" w:hAnsi="Times New Roman;Times;Serif"/>
          <w:b/>
          <w:i w:val="false"/>
          <w:caps/>
          <w:sz w:val="20"/>
        </w:rPr>
        <w:t>STOCK APPRECIATION RIGHTS.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SAR Award Agreement</w:t>
      </w:r>
      <w:r>
        <w:rPr>
          <w:rFonts w:ascii="Times New Roman;Times;Serif" w:hAnsi="Times New Roman;Times;Serif"/>
          <w:b w:val="false"/>
          <w:i w:val="false"/>
          <w:caps w:val="false"/>
          <w:smallCaps w:val="false"/>
          <w:sz w:val="20"/>
        </w:rPr>
        <w:t>.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Number of Shares</w:t>
      </w:r>
      <w:r>
        <w:rPr>
          <w:rFonts w:ascii="Times New Roman;Times;Serif" w:hAnsi="Times New Roman;Times;Serif"/>
          <w:b w:val="false"/>
          <w:i w:val="false"/>
          <w:caps w:val="false"/>
          <w:smallCaps w:val="false"/>
          <w:sz w:val="20"/>
        </w:rPr>
        <w:t>. Each SAR Award Agreement shall specify the number of Shares to which the SAR pertains and shall provide for the adjustment of such number in accordance with Section 13.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Each SAR Award Agreement shall specify the Exercise Price. The Exercise Price of a SAR shall not be less 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Exercisability and Term</w:t>
      </w:r>
      <w:r>
        <w:rPr>
          <w:rFonts w:ascii="Times New Roman;Times;Serif" w:hAnsi="Times New Roman;Times;Serif"/>
          <w:b w:val="false"/>
          <w:i w:val="false"/>
          <w:caps w:val="false"/>
          <w:smallCaps w:val="false"/>
          <w:sz w:val="20"/>
        </w:rPr>
        <w:t>. Each SAR Award Agreement shall specify the date when all or any installment of the SAR is to become exercisable. The SAR Award Agreement shall also specify the term of the SAR. A SAR Award Agreement may provide for accelerated exercisability in the event of the Participant’s death, Disability,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caps w:val="false"/>
          <w:smallCaps w:val="false"/>
          <w:sz w:val="20"/>
        </w:rPr>
        <w:t>Exercise of SARs</w:t>
      </w:r>
      <w:r>
        <w:rPr>
          <w:rFonts w:ascii="Times New Roman;Times;Serif" w:hAnsi="Times New Roman;Times;Serif"/>
          <w:b w:val="false"/>
          <w:i w:val="false"/>
          <w:caps w:val="false"/>
          <w:smallCaps w:val="false"/>
          <w:sz w:val="20"/>
        </w:rPr>
        <w:t>. Upon exercise of a SAR, the Participant (or any person having the right to exercise the SAR after his or her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caps w:val="false"/>
          <w:smallCaps w:val="false"/>
          <w:sz w:val="20"/>
        </w:rPr>
        <w:t>Modification, Extension or Assumption of SARs</w:t>
      </w:r>
      <w:r>
        <w:rPr>
          <w:rFonts w:ascii="Times New Roman;Times;Serif" w:hAnsi="Times New Roman;Times;Serif"/>
          <w:b w:val="false"/>
          <w:i w:val="false"/>
          <w:caps w:val="false"/>
          <w:smallCaps w:val="false"/>
          <w:sz w:val="20"/>
        </w:rPr>
        <w:t>. Subject to Section 5(e),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his or her rights or obligations under such SAR.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caps w:val="false"/>
          <w:smallCaps w:val="false"/>
          <w:sz w:val="20"/>
        </w:rPr>
        <w:t>Buyout Provisions</w:t>
      </w:r>
      <w:r>
        <w:rPr>
          <w:rFonts w:ascii="Times New Roman;Times;Serif" w:hAnsi="Times New Roman;Times;Serif"/>
          <w:b w:val="false"/>
          <w:i w:val="false"/>
          <w:caps w:val="false"/>
          <w:smallCaps w:val="false"/>
          <w:sz w:val="20"/>
        </w:rPr>
        <w:t>. Subject to Section 5(e), the Committee may at any time (i) offer to buy out for a payment in cash or cash equivalents a SAR previously granted, or (ii) authorize a Participant to elect to cash out a SAR previously granted, in either case at such time and based upon such terms and conditions as the Committee shall establish.</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caps w:val="false"/>
          <w:smallCaps w:val="false"/>
          <w:sz w:val="20"/>
        </w:rPr>
        <w:t xml:space="preserve">No Dividend Equivalents on SARs. </w:t>
      </w:r>
      <w:r>
        <w:rPr>
          <w:rFonts w:ascii="Times New Roman;Times;Serif" w:hAnsi="Times New Roman;Times;Serif"/>
          <w:b w:val="false"/>
          <w:i w:val="false"/>
          <w:caps w:val="false"/>
          <w:smallCaps w:val="false"/>
          <w:sz w:val="20"/>
        </w:rPr>
        <w:t>No grant of SARs may be accompanied by a tandem award of dividend equivalents or provide for dividends, dividend equivalents or other distributions to be paid on such SARs (except pursuant to an adjustment or other action contemplated by Section 13).</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10.  </w:t>
      </w:r>
      <w:r>
        <w:rPr>
          <w:rFonts w:ascii="Times New Roman;Times;Serif" w:hAnsi="Times New Roman;Times;Serif"/>
          <w:b/>
          <w:i w:val="false"/>
          <w:caps/>
          <w:sz w:val="20"/>
        </w:rPr>
        <w:t>RESTRICTED STOCK UNITS.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Restricted Stock Unit Award Agreement</w:t>
      </w:r>
      <w:r>
        <w:rPr>
          <w:rFonts w:ascii="Times New Roman;Times;Serif" w:hAnsi="Times New Roman;Times;Serif"/>
          <w:b w:val="false"/>
          <w:i w:val="false"/>
          <w:caps w:val="false"/>
          <w:smallCaps w:val="false"/>
          <w:sz w:val="20"/>
        </w:rPr>
        <w:t>. Each grant of Restricted Stock Units under the Plan shall be evidenced by a 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Payment for Awards</w:t>
      </w:r>
      <w:r>
        <w:rPr>
          <w:rFonts w:ascii="Times New Roman;Times;Serif" w:hAnsi="Times New Roman;Times;Serif"/>
          <w:b w:val="false"/>
          <w:i w:val="false"/>
          <w:caps w:val="false"/>
          <w:smallCaps w:val="false"/>
          <w:sz w:val="20"/>
        </w:rPr>
        <w:t>. To the extent that an Award is granted in the form of Restricted Stock Units, no cash consideration shall be required of the Award recipients.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Vesting Conditions</w:t>
      </w:r>
      <w:r>
        <w:rPr>
          <w:rFonts w:ascii="Times New Roman;Times;Serif" w:hAnsi="Times New Roman;Times;Serif"/>
          <w:b w:val="false"/>
          <w:i w:val="false"/>
          <w:caps w:val="false"/>
          <w:smallCaps w:val="false"/>
          <w:sz w:val="20"/>
        </w:rPr>
        <w:t>. Each Award of Restricted Stock Units may or may not be subject to vesting. Vesting shall occur, in full or in installments, upon satisfaction of the conditions specified in the Restricted Stock Unit Award Agreement. A Restricted Stock Unit Award Agreement may provide for accelerated vesting in the event of the Participant’s death, Disability, retirement, or other events.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Voting and Dividend Rights</w:t>
      </w:r>
      <w:r>
        <w:rPr>
          <w:rFonts w:ascii="Times New Roman;Times;Serif" w:hAnsi="Times New Roman;Times;Serif"/>
          <w:b w:val="false"/>
          <w:i w:val="false"/>
          <w:caps w:val="false"/>
          <w:smallCaps w:val="false"/>
          <w:sz w:val="20"/>
        </w:rPr>
        <w:t>. The holders of Restricted Stock Units shall have no voting rights. Prior to settlement or forfeiture, any Restricted Stock Unit awarded under the Plan may, at the Committee’s discretion, carry with it a right to dividend equivalents. Such right, if awarded, entitles the holder to be credited with an amount equal to all cash dividends paid on one Share while the Restricted Stock Unit is outstanding. Settlement of dividend equivalents may be made in the form of cash, in the form of Shares,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caps w:val="false"/>
          <w:smallCaps w:val="false"/>
          <w:sz w:val="20"/>
        </w:rPr>
        <w:t>Form and Time of Settlement of Restricted Stock Units</w:t>
      </w:r>
      <w:r>
        <w:rPr>
          <w:rFonts w:ascii="Times New Roman;Times;Serif" w:hAnsi="Times New Roman;Times;Serif"/>
          <w:b w:val="false"/>
          <w:i w:val="false"/>
          <w:caps w:val="false"/>
          <w:smallCaps w:val="false"/>
          <w:sz w:val="20"/>
        </w:rPr>
        <w:t>. Settlement of vested Restricted Stock Units may be made in the form of (i) cash, (ii) Shares or (iii) any combination of both, as determined by the Committee.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Fair Market Value of Shares over a series of trading days.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The amount of a deferred distribution may be increased by an interest factor or by dividend equivalents. Until an Award of Restricted Stock Units is settled, the number of such Restricted Stock Units shall be subject to adjustment pursuant to Section 13.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caps w:val="false"/>
          <w:smallCaps w:val="false"/>
          <w:sz w:val="20"/>
        </w:rPr>
        <w:t>Death of Participant</w:t>
      </w:r>
      <w:r>
        <w:rPr>
          <w:rFonts w:ascii="Times New Roman;Times;Serif" w:hAnsi="Times New Roman;Times;Serif"/>
          <w:b w:val="false"/>
          <w:i w:val="false"/>
          <w:caps w:val="false"/>
          <w:smallCaps w:val="false"/>
          <w:sz w:val="20"/>
        </w:rPr>
        <w:t>. Any Restricted Stock Unit Award that becomes payable after the Participant’s death shall be distributed to the Participant’s beneficiary or beneficiaries. Each recipient of a Restricted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Restricted Stock Units Award that becomes payable after the Participant’s death shall be distributed to the Participant’s estate.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caps w:val="false"/>
          <w:smallCaps w:val="false"/>
          <w:sz w:val="20"/>
        </w:rPr>
        <w:t>Creditors’ Rights</w:t>
      </w:r>
      <w:r>
        <w:rPr>
          <w:rFonts w:ascii="Times New Roman;Times;Serif" w:hAnsi="Times New Roman;Times;Serif"/>
          <w:b w:val="false"/>
          <w:i w:val="false"/>
          <w:caps w:val="false"/>
          <w:smallCaps w:val="false"/>
          <w:sz w:val="20"/>
        </w:rPr>
        <w:t>. A holder of Restricted Stock Units shall have no rights other than those of a general creditor of the Company. Restricted Stock Units represent an unfunded and unsecured obligation of the Company, subject to the terms and conditions of the applicable Restricted Stock Unit Award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11. </w:t>
      </w:r>
      <w:r>
        <w:rPr>
          <w:rFonts w:ascii="Times New Roman;Times;Serif" w:hAnsi="Times New Roman;Times;Serif"/>
          <w:b/>
          <w:i w:val="false"/>
          <w:caps/>
          <w:sz w:val="20"/>
        </w:rPr>
        <w:t>CASH-BASED AWARDS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12. </w:t>
      </w:r>
      <w:r>
        <w:rPr>
          <w:rFonts w:ascii="Times New Roman;Times;Serif" w:hAnsi="Times New Roman;Times;Serif"/>
          <w:b/>
          <w:i w:val="false"/>
          <w:caps/>
          <w:sz w:val="20"/>
        </w:rPr>
        <w:t>STOCK PURCHASE RIGHTS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may, in its sole discretion, grant Stock Purchase Rights under the Plan to any Participant that is an Employee in such number or amount and upon such terms, and subject to such conditions, as set forth in the ESPP Addendum. To the extent any term of the ESPP Addendum conflicts with this Plan, the terms of the ESPP Addendum shall control;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notwithstanding the foregoing, the issuance of Stock Purchase Rights pursuant to the ESPP Addendum and the purchase of Shares thereunder shall be subject to the terms, conditions and limitations set forth in Section 5 of the Plan, including but not limited to the maximum number of Shares that may be issued pursuant to the ESPP Addendum. The ESPP Addendum is intended to comply with the requirements of Section 423 of the Code to the maximum extent permitted by law as further set forth in the ESPP Addendum. The Committee may adopt such additional documents referenced in the ESPP Addendum, and may adopt such rules and conditions related to the ESPP Addendum, as the Committee deems necessary and advisable to administer the ESPP Addendum in accordance with its terms. The Committee may further take such actions and adopt such documents with respect to the ESPP Addendum as required for the ESPP Addendum to satisfy the requirements of Section 423 of the Code to the extent required by appliable law and as set forth in the ESPP Addendum. Payment with respect to a Stock Purchase Right shall be made in accordance with the terms of the ESPP Addendum and any other documents governing such Stock Purchase Rights adopted by the Committee. Shares issued under the ESPP Addendum shall reduce the number of Shares available under Section 5.</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13.  </w:t>
      </w:r>
      <w:r>
        <w:rPr>
          <w:rFonts w:ascii="Times New Roman;Times;Serif" w:hAnsi="Times New Roman;Times;Serif"/>
          <w:b/>
          <w:i w:val="false"/>
          <w:caps/>
          <w:sz w:val="20"/>
        </w:rPr>
        <w:t>ADJUSTMENT OF SHARES.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Adjustments</w:t>
      </w:r>
      <w:r>
        <w:rPr>
          <w:rFonts w:ascii="Times New Roman;Times;Serif" w:hAnsi="Times New Roman;Times;Serif"/>
          <w:b w:val="false"/>
          <w:i w:val="false"/>
          <w:caps w:val="false"/>
          <w:smallCaps w:val="false"/>
          <w:sz w:val="20"/>
        </w:rPr>
        <w:t>.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5"/>
        <w:gridCol w:w="9943"/>
      </w:tblGrid>
      <w:tr>
        <w:trPr/>
        <w:tc>
          <w:tcPr>
            <w:tcW w:w="3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color w:val="010000"/>
              </w:rPr>
            </w:pPr>
            <w:r>
              <w:rPr>
                <w:color w:val="010000"/>
              </w:rPr>
              <w:t>(i)</w:t>
            </w:r>
          </w:p>
        </w:tc>
        <w:tc>
          <w:tcPr>
            <w:tcW w:w="9943" w:type="dxa"/>
            <w:tcBorders/>
            <w:shd w:fill="auto" w:val="clear"/>
            <w:vAlign w:val="center"/>
          </w:tcPr>
          <w:p>
            <w:pPr>
              <w:pStyle w:val="TableContents"/>
              <w:spacing w:before="0" w:after="283"/>
              <w:jc w:val="both"/>
              <w:rPr/>
            </w:pPr>
            <w:r>
              <w:rPr/>
              <w:t>The class(es) and number of securities available for future Awards and the limitations set forth under Section 5;</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1"/>
        <w:gridCol w:w="394"/>
        <w:gridCol w:w="9760"/>
      </w:tblGrid>
      <w:tr>
        <w:trPr/>
        <w:tc>
          <w:tcPr>
            <w:tcW w:w="5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color w:val="010000"/>
              </w:rPr>
            </w:pPr>
            <w:r>
              <w:rPr>
                <w:color w:val="010000"/>
              </w:rPr>
              <w:t>(ii)</w:t>
            </w:r>
          </w:p>
        </w:tc>
        <w:tc>
          <w:tcPr>
            <w:tcW w:w="9760" w:type="dxa"/>
            <w:tcBorders/>
            <w:shd w:fill="auto" w:val="clear"/>
            <w:vAlign w:val="center"/>
          </w:tcPr>
          <w:p>
            <w:pPr>
              <w:pStyle w:val="TableContents"/>
              <w:spacing w:before="0" w:after="283"/>
              <w:jc w:val="both"/>
              <w:rPr/>
            </w:pPr>
            <w:r>
              <w:rPr/>
              <w:t>The class(es) and number of securities covered by each outstanding Award;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8"/>
        <w:gridCol w:w="542"/>
        <w:gridCol w:w="9605"/>
      </w:tblGrid>
      <w:tr>
        <w:trPr/>
        <w:tc>
          <w:tcPr>
            <w:tcW w:w="58"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color w:val="010000"/>
              </w:rPr>
            </w:pPr>
            <w:r>
              <w:rPr>
                <w:color w:val="010000"/>
              </w:rPr>
              <w:t>(iii)</w:t>
            </w:r>
          </w:p>
        </w:tc>
        <w:tc>
          <w:tcPr>
            <w:tcW w:w="9605" w:type="dxa"/>
            <w:tcBorders/>
            <w:shd w:fill="auto" w:val="clear"/>
            <w:vAlign w:val="center"/>
          </w:tcPr>
          <w:p>
            <w:pPr>
              <w:pStyle w:val="TableContents"/>
              <w:spacing w:before="0" w:after="283"/>
              <w:jc w:val="both"/>
              <w:rPr/>
            </w:pPr>
            <w:r>
              <w:rPr/>
              <w:t>The Exercise Price under each outstanding Option and SAR; and</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5"/>
        <w:gridCol w:w="512"/>
        <w:gridCol w:w="9638"/>
      </w:tblGrid>
      <w:tr>
        <w:trPr/>
        <w:tc>
          <w:tcPr>
            <w:tcW w:w="55"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color w:val="010000"/>
              </w:rPr>
            </w:pPr>
            <w:r>
              <w:rPr>
                <w:color w:val="010000"/>
              </w:rPr>
              <w:t>(iv)</w:t>
            </w:r>
          </w:p>
        </w:tc>
        <w:tc>
          <w:tcPr>
            <w:tcW w:w="9638" w:type="dxa"/>
            <w:tcBorders/>
            <w:shd w:fill="auto" w:val="clear"/>
            <w:vAlign w:val="center"/>
          </w:tcPr>
          <w:p>
            <w:pPr>
              <w:pStyle w:val="TableContents"/>
              <w:spacing w:before="0" w:after="283"/>
              <w:jc w:val="both"/>
              <w:rPr/>
            </w:pPr>
            <w:r>
              <w:rPr/>
              <w:t>Stock Purchase Rights to the extent set forth in the ESPP Addendum.</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will make such adjustments, and its determination will be final, binding and conclusive.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Dissolution or Liquidation</w:t>
      </w:r>
      <w:r>
        <w:rPr>
          <w:rFonts w:ascii="Times New Roman;Times;Serif" w:hAnsi="Times New Roman;Times;Serif"/>
          <w:b w:val="false"/>
          <w:i w:val="false"/>
          <w:caps w:val="false"/>
          <w:smallCaps w:val="false"/>
          <w:sz w:val="20"/>
        </w:rPr>
        <w:t>. To the extent not previously exercised or settled, Options, SARs, and Restricted Stock Units shall terminate immediately prior to the dissolution or liquidation of the Company and Stock Purchase Rights shall be subject to such treatment as set forth in the ESPP Addendum.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Merger or Reorganization</w:t>
      </w:r>
      <w:r>
        <w:rPr>
          <w:rFonts w:ascii="Times New Roman;Times;Serif" w:hAnsi="Times New Roman;Times;Serif"/>
          <w:b w:val="false"/>
          <w:i w:val="false"/>
          <w:caps w:val="false"/>
          <w:smallCaps w:val="false"/>
          <w:sz w:val="20"/>
        </w:rPr>
        <w:t>. In the event that the Company is a party to a merger or other reorganization, outstanding Awards shall be subject to the agreement of merger or reorganization. Subject to compliance with Section 409A, such agreement may provide for one or more of the following with respect to Awards other than Stock Purchase Rights, without limitation:</w:t>
      </w:r>
    </w:p>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9"/>
        <w:gridCol w:w="9939"/>
      </w:tblGrid>
      <w:tr>
        <w:trPr/>
        <w:tc>
          <w:tcPr>
            <w:tcW w:w="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color w:val="010000"/>
              </w:rPr>
            </w:pPr>
            <w:r>
              <w:rPr>
                <w:color w:val="010000"/>
              </w:rPr>
              <w:t>(i)</w:t>
            </w:r>
          </w:p>
        </w:tc>
        <w:tc>
          <w:tcPr>
            <w:tcW w:w="9939" w:type="dxa"/>
            <w:tcBorders/>
            <w:shd w:fill="auto" w:val="clear"/>
            <w:vAlign w:val="center"/>
          </w:tcPr>
          <w:p>
            <w:pPr>
              <w:pStyle w:val="TableContents"/>
              <w:spacing w:before="0" w:after="283"/>
              <w:jc w:val="both"/>
              <w:rPr/>
            </w:pPr>
            <w:r>
              <w:rPr/>
              <w:t>The continuation of the outstanding Awards by the Company, if the Company is a surviving corporation;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306"/>
        <w:gridCol w:w="9859"/>
      </w:tblGrid>
      <w:tr>
        <w:trPr/>
        <w:tc>
          <w:tcPr>
            <w:tcW w:w="4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color w:val="010000"/>
              </w:rPr>
            </w:pPr>
            <w:r>
              <w:rPr>
                <w:color w:val="010000"/>
              </w:rPr>
              <w:t>(ii)</w:t>
            </w:r>
          </w:p>
        </w:tc>
        <w:tc>
          <w:tcPr>
            <w:tcW w:w="9859" w:type="dxa"/>
            <w:tcBorders/>
            <w:shd w:fill="auto" w:val="clear"/>
            <w:vAlign w:val="center"/>
          </w:tcPr>
          <w:p>
            <w:pPr>
              <w:pStyle w:val="TableContents"/>
              <w:spacing w:before="0" w:after="283"/>
              <w:jc w:val="both"/>
              <w:rPr/>
            </w:pPr>
            <w:r>
              <w:rPr/>
              <w:t>The assumption of the outstanding Awards by the surviving corporation or its parent or subsidiary;</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40"/>
        <w:gridCol w:w="9828"/>
      </w:tblGrid>
      <w:tr>
        <w:trPr/>
        <w:tc>
          <w:tcPr>
            <w:tcW w:w="3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color w:val="010000"/>
              </w:rPr>
            </w:pPr>
            <w:r>
              <w:rPr>
                <w:color w:val="010000"/>
              </w:rPr>
              <w:t>(iii)</w:t>
            </w:r>
          </w:p>
        </w:tc>
        <w:tc>
          <w:tcPr>
            <w:tcW w:w="9828" w:type="dxa"/>
            <w:tcBorders/>
            <w:shd w:fill="auto" w:val="clear"/>
            <w:vAlign w:val="center"/>
          </w:tcPr>
          <w:p>
            <w:pPr>
              <w:pStyle w:val="TableContents"/>
              <w:spacing w:before="0" w:after="283"/>
              <w:jc w:val="both"/>
              <w:rPr/>
            </w:pPr>
            <w:r>
              <w:rPr/>
              <w:t>The substitution by the surviving corporation or its parent or subsidiary of its own awards for the outstanding Awards;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15"/>
        <w:gridCol w:w="9853"/>
      </w:tblGrid>
      <w:tr>
        <w:trPr/>
        <w:tc>
          <w:tcPr>
            <w:tcW w:w="37"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color w:val="010000"/>
              </w:rPr>
            </w:pPr>
            <w:r>
              <w:rPr>
                <w:color w:val="010000"/>
              </w:rPr>
              <w:t>(iv)</w:t>
            </w:r>
          </w:p>
        </w:tc>
        <w:tc>
          <w:tcPr>
            <w:tcW w:w="9853" w:type="dxa"/>
            <w:tcBorders/>
            <w:shd w:fill="auto" w:val="clear"/>
            <w:vAlign w:val="center"/>
          </w:tcPr>
          <w:p>
            <w:pPr>
              <w:pStyle w:val="TableContents"/>
              <w:spacing w:before="0" w:after="283"/>
              <w:jc w:val="both"/>
              <w:rPr/>
            </w:pPr>
            <w:r>
              <w:rPr/>
              <w:t>Immediate vesting, exercisability, or settlement of outstanding Awards followed by the cancellation of such Awards upon or immediately prior to the effectiveness of such transaction;</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1"/>
        <w:gridCol w:w="9927"/>
      </w:tblGrid>
      <w:tr>
        <w:trPr/>
        <w:tc>
          <w:tcPr>
            <w:tcW w:w="3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color w:val="010000"/>
              </w:rPr>
            </w:pPr>
            <w:r>
              <w:rPr>
                <w:color w:val="010000"/>
              </w:rPr>
              <w:t>(v)</w:t>
            </w:r>
          </w:p>
        </w:tc>
        <w:tc>
          <w:tcPr>
            <w:tcW w:w="9927" w:type="dxa"/>
            <w:tcBorders/>
            <w:shd w:fill="auto" w:val="clear"/>
            <w:vAlign w:val="center"/>
          </w:tcPr>
          <w:p>
            <w:pPr>
              <w:pStyle w:val="TableContents"/>
              <w:spacing w:before="0" w:after="283"/>
              <w:jc w:val="both"/>
              <w:rPr/>
            </w:pPr>
            <w:r>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82"/>
        <w:gridCol w:w="9886"/>
      </w:tblGrid>
      <w:tr>
        <w:trPr/>
        <w:tc>
          <w:tcPr>
            <w:tcW w:w="3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color w:val="010000"/>
              </w:rPr>
            </w:pPr>
            <w:r>
              <w:rPr>
                <w:color w:val="010000"/>
              </w:rPr>
              <w:t>(vi)</w:t>
            </w:r>
          </w:p>
        </w:tc>
        <w:tc>
          <w:tcPr>
            <w:tcW w:w="9886" w:type="dxa"/>
            <w:tcBorders/>
            <w:shd w:fill="auto" w:val="clear"/>
            <w:vAlign w:val="center"/>
          </w:tcPr>
          <w:p>
            <w:pPr>
              <w:pStyle w:val="TableContents"/>
              <w:spacing w:before="0" w:after="283"/>
              <w:jc w:val="both"/>
              <w:rPr/>
            </w:pPr>
            <w:r>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Stock in connection with the merger or reorganization is delayed as a result of escrows, earnouts, holdbacks or other contingencies;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In addition, in the event that the Company is a party to a merger or other reorganization, outstanding Stock Purchase Rights shall be subject to the terms of the ESPP Addendum.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no obligation to treat all Awards, all Awards held by a Participant, or all Awards of the same type, similarly.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Change in Control</w:t>
      </w:r>
      <w:r>
        <w:rPr>
          <w:rFonts w:ascii="Times New Roman;Times;Serif" w:hAnsi="Times New Roman;Times;Serif"/>
          <w:b w:val="false"/>
          <w:i w:val="false"/>
          <w:caps w:val="false"/>
          <w:smallCaps w:val="false"/>
          <w:sz w:val="20"/>
        </w:rPr>
        <w:t>. In addition to (and without limiting) the actions that may be taken under Section 12(c), in the event of a Change in Control in which the surviving corporation or acquiring corporation (or the surviving or acquiring corporation’s parent company) does not continue, assume or settle (subject to vesting) outstanding Awards (other than Stock Purchase Rights), or substitute similar stock awards for outstanding Awards (other than Stock Purchase Rights), then with respect to any such Awards that have not been continued, assumed, settled or substituted, the Committee may determine, at the time of granting an Award or thereafter, that the vesting (and exercisability, if applicable) of any such Awards (or portion thereof) will be accelerated in full (and with respect to any such Awards subject to performance-based vesting, that vesting shall be deemed satisfied at the target level or based on actual performance measured in accordance with the applicable performance goals as of the date of the Change in Control, or the greater thereof) to a date prior to the effective time of the Change in Control (contingent upon the closing or completion of the Change in Control) as the Committee will determine (or, if the Committee does not determine such a date, to the date that is five days prior to the effective time of the Change in Control), and any reacquisition or repurchase rights held by the Company with respect to such vested Awards will lapse (contingent upon the closing or completion of the Change in Control). In addition, the Committee may determine, at the time of granting an Award (other than Stock Purchase Rights) or thereafter, that such Award shall become exercisable or vested as to all or part of the Shares subject to such Award in the event that a Change in Control occurs with respect to the Company. The Committee will have no obligation to treat all Awards, all Awards held by a Participant, or all Awards of the same type, similarly. Notwithstanding the foregoing, upon a Change in Control Stock Purchase Rights shall be subject to the terms of the ESPP Addendum.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caps w:val="false"/>
          <w:smallCaps w:val="false"/>
          <w:sz w:val="20"/>
        </w:rPr>
        <w:t>Reservation of Rights</w:t>
      </w:r>
      <w:r>
        <w:rPr>
          <w:rFonts w:ascii="Times New Roman;Times;Serif" w:hAnsi="Times New Roman;Times;Serif"/>
          <w:b w:val="false"/>
          <w:i w:val="false"/>
          <w:caps w:val="false"/>
          <w:smallCaps w:val="false"/>
          <w:sz w:val="20"/>
        </w:rPr>
        <w:t>. Except as provided in this Section 13, a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(or purchase price with respect to any Stock Purchase Right)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(or purchase price with respect to any Stock Purchase Right) of Shares subject to an Award, including a merger or other reorganization, for reasons of administrative convenience, the Company in its sole discretion may refuse to permit the exercise of any Award during a period of up to 30 days prior to the occurrence of such event. Notwithstanding the foregoing, Stock Purchase Rights shall be subject to the terms of the ESPP Addendum.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14.  </w:t>
      </w:r>
      <w:r>
        <w:rPr>
          <w:rFonts w:ascii="Times New Roman;Times;Serif" w:hAnsi="Times New Roman;Times;Serif"/>
          <w:b/>
          <w:i w:val="false"/>
          <w:caps/>
          <w:sz w:val="20"/>
        </w:rPr>
        <w:t>DEFERRAL OF AWARDS.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color w:val="010000"/>
          <w:sz w:val="20"/>
        </w:rPr>
        <w:t>Committee Powers</w:t>
      </w:r>
      <w:r>
        <w:rPr>
          <w:rFonts w:ascii="Times New Roman;Times;Serif" w:hAnsi="Times New Roman;Times;Serif"/>
          <w:b w:val="false"/>
          <w:i w:val="false"/>
          <w:caps w:val="false"/>
          <w:smallCaps w:val="false"/>
          <w:color w:val="010000"/>
          <w:sz w:val="20"/>
        </w:rPr>
        <w:t>. Subject to compliance with Section 409A, the Committee (in its sole discretion) may permit or require a Participant to:</w:t>
      </w:r>
    </w:p>
    <w:p>
      <w:pPr>
        <w:pStyle w:val="TextBody"/>
        <w:spacing w:before="0" w:after="0"/>
        <w:ind w:left="0" w:right="0" w:firstLine="72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1"/>
        <w:gridCol w:w="9987"/>
      </w:tblGrid>
      <w:tr>
        <w:trPr/>
        <w:tc>
          <w:tcPr>
            <w:tcW w:w="3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color w:val="010000"/>
              </w:rPr>
            </w:pPr>
            <w:r>
              <w:rPr>
                <w:color w:val="010000"/>
              </w:rPr>
              <w:t>(i)</w:t>
            </w:r>
          </w:p>
        </w:tc>
        <w:tc>
          <w:tcPr>
            <w:tcW w:w="9987" w:type="dxa"/>
            <w:tcBorders/>
            <w:shd w:fill="auto" w:val="clear"/>
            <w:vAlign w:val="center"/>
          </w:tcPr>
          <w:p>
            <w:pPr>
              <w:pStyle w:val="TableContents"/>
              <w:spacing w:before="0" w:after="283"/>
              <w:jc w:val="both"/>
              <w:rPr/>
            </w:pPr>
            <w:r>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57"/>
        <w:gridCol w:w="9911"/>
      </w:tblGrid>
      <w:tr>
        <w:trPr/>
        <w:tc>
          <w:tcPr>
            <w:tcW w:w="3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color w:val="010000"/>
              </w:rPr>
            </w:pPr>
            <w:r>
              <w:rPr>
                <w:color w:val="010000"/>
              </w:rPr>
              <w:t>(ii)</w:t>
            </w:r>
          </w:p>
        </w:tc>
        <w:tc>
          <w:tcPr>
            <w:tcW w:w="9911" w:type="dxa"/>
            <w:tcBorders/>
            <w:shd w:fill="auto" w:val="clear"/>
            <w:vAlign w:val="center"/>
          </w:tcPr>
          <w:p>
            <w:pPr>
              <w:pStyle w:val="TableContents"/>
              <w:spacing w:before="0" w:after="283"/>
              <w:jc w:val="both"/>
              <w:rPr/>
            </w:pPr>
            <w:r>
              <w:rPr/>
              <w:t>Have Shares that otherwise would be delivered to such Participant as a result of the exercise of an Option or SAR converted into an equal number of Restricted Stock Units; or</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97"/>
        <w:gridCol w:w="9871"/>
      </w:tblGrid>
      <w:tr>
        <w:trPr/>
        <w:tc>
          <w:tcPr>
            <w:tcW w:w="3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color w:val="010000"/>
              </w:rPr>
            </w:pPr>
            <w:r>
              <w:rPr>
                <w:color w:val="010000"/>
              </w:rPr>
              <w:t>(iii)</w:t>
            </w:r>
          </w:p>
        </w:tc>
        <w:tc>
          <w:tcPr>
            <w:tcW w:w="9871" w:type="dxa"/>
            <w:tcBorders/>
            <w:shd w:fill="auto" w:val="clear"/>
            <w:vAlign w:val="center"/>
          </w:tcPr>
          <w:p>
            <w:pPr>
              <w:pStyle w:val="TableContents"/>
              <w:spacing w:before="0" w:after="283"/>
              <w:jc w:val="both"/>
              <w:rPr/>
            </w:pPr>
            <w:r>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p>
        </w:tc>
      </w:tr>
    </w:tbl>
    <w:p>
      <w:pPr>
        <w:pStyle w:val="TextBody"/>
        <w:spacing w:before="0" w:after="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amounts shall be determined by reference to the Fair Market Value of such Shares as of the date when they otherwise would have been delivered to such Participant.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General Rules</w:t>
      </w:r>
      <w:r>
        <w:rPr>
          <w:rFonts w:ascii="Times New Roman;Times;Serif" w:hAnsi="Times New Roman;Times;Serif"/>
          <w:b w:val="false"/>
          <w:i w:val="false"/>
          <w:caps w:val="false"/>
          <w:smallCaps w:val="false"/>
          <w:sz w:val="20"/>
        </w:rPr>
        <w:t>. A deferred compensation account established under this Section 14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14.</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color w:val="010000"/>
          <w:sz w:val="20"/>
        </w:rPr>
      </w:pPr>
      <w:r>
        <w:rPr>
          <w:rFonts w:ascii="Times New Roman;Times;Serif" w:hAnsi="Times New Roman;Times;Serif"/>
          <w:b/>
          <w:i w:val="false"/>
          <w:caps/>
          <w:color w:val="010000"/>
          <w:sz w:val="20"/>
        </w:rPr>
        <w:t>Section 15.   AWARDS UNDER OTHER PLANS.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16.  </w:t>
      </w:r>
      <w:r>
        <w:rPr>
          <w:rFonts w:ascii="Times New Roman;Times;Serif" w:hAnsi="Times New Roman;Times;Serif"/>
          <w:b/>
          <w:i w:val="false"/>
          <w:caps/>
          <w:sz w:val="20"/>
        </w:rPr>
        <w:t>PAYMENT OF DIRECTOR’S FEES IN SECURITIES.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Effective Date</w:t>
      </w:r>
      <w:r>
        <w:rPr>
          <w:rFonts w:ascii="Times New Roman;Times;Serif" w:hAnsi="Times New Roman;Times;Serif"/>
          <w:b w:val="false"/>
          <w:i w:val="false"/>
          <w:caps w:val="false"/>
          <w:smallCaps w:val="false"/>
          <w:sz w:val="20"/>
        </w:rPr>
        <w:t>. No provision of this Section 16 shall be effective unless and until the Board has determined to implement such provision.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color w:val="010000"/>
          <w:sz w:val="20"/>
        </w:rPr>
        <w:t>Elections to Receive NSOs, SARs, Restricted Shares, or Restricted Stock Units</w:t>
      </w:r>
      <w:r>
        <w:rPr>
          <w:rFonts w:ascii="Times New Roman;Times;Serif" w:hAnsi="Times New Roman;Times;Serif"/>
          <w:b w:val="false"/>
          <w:i w:val="false"/>
          <w:caps w:val="false"/>
          <w:smallCaps w:val="false"/>
          <w:color w:val="010000"/>
          <w:sz w:val="20"/>
        </w:rPr>
        <w:t>. An Outside Director may elect to receive his or her annual retainer payments and/or meeting fees from the Company in the form of cash, NSOs, SARs, Restricted Shares, Restricted Stock Units, or a combination thereof, as determined by the Board. Alternatively, the Board may mandate payment in any of such alternative forms. Such NSOs, SARs, Restricted Shares, and Restricted Stock Units shall be issued under the Plan. An election under this Section 16 shall be filed with the Company on the prescribed form.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Number and Terms of NSOs, SARs, Restricted Shares or Restricted Stock Units</w:t>
      </w:r>
      <w:r>
        <w:rPr>
          <w:rFonts w:ascii="Times New Roman;Times;Serif" w:hAnsi="Times New Roman;Times;Serif"/>
          <w:b w:val="false"/>
          <w:i w:val="false"/>
          <w:caps w:val="false"/>
          <w:smallCaps w:val="false"/>
          <w:sz w:val="20"/>
        </w:rPr>
        <w:t>. The number of NSOs, SARs, Restricted Shares, or Restricted Stock Units to be granted to Outside Directors in lieu of annual retainers and meeting fees that would otherwise be paid in cash shall be calculated in a manner determined by the Board. The terms of such NSOs, SARs, Restricted Shares, or Restricted Stock Units shall also be determined by the Board.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color w:val="010000"/>
          <w:sz w:val="20"/>
        </w:rPr>
      </w:pPr>
      <w:r>
        <w:rPr>
          <w:rFonts w:ascii="Times New Roman;Times;Serif" w:hAnsi="Times New Roman;Times;Serif"/>
          <w:b/>
          <w:i w:val="false"/>
          <w:caps/>
          <w:color w:val="010000"/>
          <w:sz w:val="20"/>
        </w:rPr>
        <w:t>Section 17.  LEGAL AND REGULATORY REQUIREMENTS.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18.   </w:t>
      </w:r>
      <w:r>
        <w:rPr>
          <w:rFonts w:ascii="Times New Roman;Times;Serif" w:hAnsi="Times New Roman;Times;Serif"/>
          <w:b/>
          <w:i w:val="false"/>
          <w:caps/>
          <w:sz w:val="20"/>
        </w:rPr>
        <w:t>TAXES.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Withholding Taxes</w:t>
      </w:r>
      <w:r>
        <w:rPr>
          <w:rFonts w:ascii="Times New Roman;Times;Serif" w:hAnsi="Times New Roman;Times;Serif"/>
          <w:b w:val="false"/>
          <w:i w:val="false"/>
          <w:caps w:val="false"/>
          <w:smallCaps w:val="false"/>
          <w:sz w:val="20"/>
        </w:rPr>
        <w:t>. To the extent required by applicable federal, state, local, or foreign law, a Participant or his or 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color w:val="010000"/>
          <w:sz w:val="20"/>
        </w:rPr>
        <w:t>Share Withholding</w:t>
      </w:r>
      <w:r>
        <w:rPr>
          <w:rFonts w:ascii="Times New Roman;Times;Serif" w:hAnsi="Times New Roman;Times;Serif"/>
          <w:b w:val="false"/>
          <w:i w:val="false"/>
          <w:caps w:val="false"/>
          <w:smallCaps w:val="false"/>
          <w:color w:val="010000"/>
          <w:sz w:val="20"/>
        </w:rPr>
        <w:t>. The Committee may permit a Participant to satisfy all or part of his or her withholding or income tax 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Section 409A</w:t>
      </w:r>
      <w:r>
        <w:rPr>
          <w:rFonts w:ascii="Times New Roman;Times;Serif" w:hAnsi="Times New Roman;Times;Serif"/>
          <w:b w:val="false"/>
          <w:i w:val="false"/>
          <w:caps w:val="false"/>
          <w:smallCaps w:val="false"/>
          <w:sz w:val="20"/>
        </w:rPr>
        <w:t>. Each Award that provides for “nonqualified deferred compensation” within the meaning of Section 409A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19.   </w:t>
      </w:r>
      <w:r>
        <w:rPr>
          <w:rFonts w:ascii="Times New Roman;Times;Serif" w:hAnsi="Times New Roman;Times;Serif"/>
          <w:b/>
          <w:i w:val="false"/>
          <w:caps/>
          <w:sz w:val="20"/>
        </w:rPr>
        <w:t>TRANSFERABILITY.</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19 shall be void and unenforceable against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20.   </w:t>
      </w:r>
      <w:r>
        <w:rPr>
          <w:rFonts w:ascii="Times New Roman;Times;Serif" w:hAnsi="Times New Roman;Times;Serif"/>
          <w:b/>
          <w:i w:val="false"/>
          <w:caps/>
          <w:sz w:val="20"/>
        </w:rPr>
        <w:t>PERFORMANCE BASED AWARDS.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21.   </w:t>
      </w:r>
      <w:r>
        <w:rPr>
          <w:rFonts w:ascii="Times New Roman;Times;Serif" w:hAnsi="Times New Roman;Times;Serif"/>
          <w:b/>
          <w:i w:val="false"/>
          <w:caps/>
          <w:sz w:val="20"/>
        </w:rPr>
        <w:t>FoRFEITURE, CANCELLATION OR RECOUPMENT OF AWARDS.</w:t>
      </w:r>
    </w:p>
    <w:p>
      <w:pPr>
        <w:pStyle w:val="TextBody"/>
        <w:spacing w:before="0" w:after="0"/>
        <w:ind w:left="0" w:right="0" w:hanging="0"/>
        <w:jc w:val="both"/>
        <w:rPr>
          <w:caps/>
        </w:rPr>
      </w:pPr>
      <w:r>
        <w:rPr>
          <w:caps/>
        </w:rPr>
        <w:t> </w:t>
      </w:r>
    </w:p>
    <w:p>
      <w:pPr>
        <w:pStyle w:val="TextBody"/>
        <w:shd w:fill="FFFFFF" w:val="clear"/>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authority, to the extent permitted by applicable law, to specify in an Award Agreement, exercise notice or share purchase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in each case to the extent permitted by applicable law, termination of Service for Cause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by the Company. Notwithstanding the foregoing, Stock Purchase Rights shall be subject to the terms of the ESPP Addendum.</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pacing w:before="0" w:after="0"/>
        <w:ind w:left="0" w:right="0" w:firstLine="49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spacing w:before="0" w:after="0"/>
        <w:ind w:left="0" w:right="0" w:hanging="0"/>
        <w:rPr/>
      </w:pPr>
      <w:r>
        <w:rPr/>
        <w:t> </w:t>
      </w:r>
    </w:p>
    <w:p>
      <w:pPr>
        <w:pStyle w:val="TextBody"/>
        <w:shd w:fill="FFFFFF" w:val="clear"/>
        <w:spacing w:before="0" w:after="0"/>
        <w:ind w:left="0" w:right="0" w:firstLine="49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is required to prepare restated financial results owing to an executive officer’s intentional misconduct or grossly negligent conduct, the Committee shall have the authority, to the extent permitted by applicable law, to require reimbursement or forfeiture to the Company of the amount of bonus or incentive compensation (whether cash-based or equity-based) such executive officer received during the three fiscal years preceding the year the restatement is determined to be required, to the extent that such bonus or incentive compensation exceeds what the officer would have received based on an applicable restated performance measure or target. The Company will recoup incentive-based compensation from executive officers to the extent required under the Dodd-Frank Wall Street Reform and Consumer Protection Act and any rules, regulations and listing standards that may be issued under that act. Any right of recoupment under this provision will be in addition to, and not in lieu of, any other rights of recoupment that may be available to the Company. No recovery of compensation under any clawback policy or this Section 21 will be an event giving rise to a right to resign for “good reason” or “constructive termination” (or similar term) under any agreement with the Company or any of its Subsidiaries or Affiliates.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color w:val="010000"/>
          <w:sz w:val="20"/>
        </w:rPr>
      </w:pPr>
      <w:r>
        <w:rPr>
          <w:rFonts w:ascii="Times New Roman;Times;Serif" w:hAnsi="Times New Roman;Times;Serif"/>
          <w:b/>
          <w:i w:val="false"/>
          <w:caps/>
          <w:color w:val="010000"/>
          <w:sz w:val="20"/>
        </w:rPr>
        <w:t>Section 22.   NO EMPLOYMENT RIGHTS.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the Plan, nor any Award granted under the Plan, shall be construed to give any person any right to become, to be treated as, or to remain an Employee, Outside Director or Consultant. The Company and its Subsidiaries reserve the right to terminate any person’s Service at any time and for any reason, with or without notice.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23.   </w:t>
      </w:r>
      <w:r>
        <w:rPr>
          <w:rFonts w:ascii="Times New Roman;Times;Serif" w:hAnsi="Times New Roman;Times;Serif"/>
          <w:b/>
          <w:i w:val="false"/>
          <w:caps/>
          <w:sz w:val="20"/>
        </w:rPr>
        <w:t>DURATION AND AMENDMENTS.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Term of the Plan</w:t>
      </w:r>
      <w:r>
        <w:rPr>
          <w:rFonts w:ascii="Times New Roman;Times;Serif" w:hAnsi="Times New Roman;Times;Serif"/>
          <w:b w:val="false"/>
          <w:i w:val="false"/>
          <w:caps w:val="false"/>
          <w:smallCaps w:val="false"/>
          <w:sz w:val="20"/>
        </w:rPr>
        <w:t>. The Plan, as set forth herein, shall come into existence on the date of its adoption by the Board; provided, however, that no Award may be granted hereunder prior to the Effective Date. The Board may suspend or terminate the Plan at any time. No ISOs may be granted after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earlier of (i) the date the Plan is adopted by the Board, or (ii) the date the Plan is approved by the stockholders of the Company. The grant of Stock Purchase Rights shall be subject to such further restrictions as set forth in the ESPP Addendum.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Right to Amend the Plan</w:t>
      </w:r>
      <w:r>
        <w:rPr>
          <w:rFonts w:ascii="Times New Roman;Times;Serif" w:hAnsi="Times New Roman;Times;Serif"/>
          <w:b w:val="false"/>
          <w:i w:val="false"/>
          <w:caps w:val="false"/>
          <w:smallCaps w:val="false"/>
          <w:sz w:val="20"/>
        </w:rPr>
        <w:t>. Subject to Section 5(e), the Board may amend the Plan or the ESPP Addendum at any time and from time to time. Rights and obligations under any Award granted before amendment of the Plan shall not be materially impaired by such amendment, except with consent of the Participant. An amendment of the Plan (and the ESPP Addendum) shall be subject to the approval of the Company’s stockholders only to the extent required by applicable laws, regulations or rules.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Effect of Termination</w:t>
      </w:r>
      <w:r>
        <w:rPr>
          <w:rFonts w:ascii="Times New Roman;Times;Serif" w:hAnsi="Times New Roman;Times;Serif"/>
          <w:b w:val="false"/>
          <w:i w:val="false"/>
          <w:caps w:val="false"/>
          <w:smallCaps w:val="false"/>
          <w:sz w:val="20"/>
        </w:rPr>
        <w:t>. No Awards shall be granted under the Plan after the termination thereof. The termination of the Plan shall not affect Awards previously granted under the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color w:val="010000"/>
          <w:sz w:val="20"/>
        </w:rPr>
      </w:pPr>
      <w:r>
        <w:rPr>
          <w:rFonts w:ascii="Times New Roman;Times;Serif" w:hAnsi="Times New Roman;Times;Serif"/>
          <w:b/>
          <w:i w:val="false"/>
          <w:caps/>
          <w:color w:val="010000"/>
          <w:sz w:val="20"/>
        </w:rPr>
        <w:t>Section 24.   AWARDS TO NON-U.S. PARTICIPANTS.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color w:val="010000"/>
          <w:sz w:val="20"/>
        </w:rPr>
      </w:pPr>
      <w:r>
        <w:rPr>
          <w:rFonts w:ascii="Times New Roman;Times;Serif" w:hAnsi="Times New Roman;Times;Serif"/>
          <w:b/>
          <w:i w:val="false"/>
          <w:caps/>
          <w:color w:val="010000"/>
          <w:sz w:val="20"/>
        </w:rPr>
        <w:t>Section 25.   GOVERNING LAW.</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the ESPP Addendum and each Award Agreement shall be governed by the laws of the state of Delaware, without application of the conflicts of law principles thereof.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26.   </w:t>
      </w:r>
      <w:r>
        <w:rPr>
          <w:rFonts w:ascii="Times New Roman;Times;Serif" w:hAnsi="Times New Roman;Times;Serif"/>
          <w:b/>
          <w:i w:val="false"/>
          <w:caps/>
          <w:sz w:val="20"/>
        </w:rPr>
        <w:t>SUCCESSORS AND ASSIGNS.</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Plan shall be binding upon and inure to the benefit of the Company and any successor entity, including any successor entity contemplated by Section 13(c).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color w:val="010000"/>
          <w:sz w:val="20"/>
        </w:rPr>
        <w:t>Section 27.   </w:t>
      </w:r>
      <w:r>
        <w:rPr>
          <w:rFonts w:ascii="Times New Roman;Times;Serif" w:hAnsi="Times New Roman;Times;Serif"/>
          <w:b/>
          <w:i w:val="false"/>
          <w:caps/>
          <w:sz w:val="20"/>
        </w:rPr>
        <w:t>EXECUTION.</w:t>
      </w:r>
    </w:p>
    <w:p>
      <w:pPr>
        <w:pStyle w:val="TextBody"/>
        <w:spacing w:before="0" w:after="0"/>
        <w:ind w:left="0" w:right="0" w:hanging="0"/>
        <w:jc w:val="both"/>
        <w:rPr>
          <w:caps/>
        </w:rPr>
      </w:pPr>
      <w:r>
        <w:rPr>
          <w:caps/>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record the adoption of the Plan by the Board, the Company has caused its authorized officer to execute the same.</w:t>
      </w:r>
    </w:p>
    <w:p>
      <w:pPr>
        <w:pStyle w:val="TextBody"/>
        <w:spacing w:before="0" w:after="0"/>
        <w:ind w:left="0" w:right="0" w:firstLine="720"/>
        <w:jc w:val="both"/>
        <w:rPr>
          <w:caps w:val="false"/>
          <w:smallCaps w:val="false"/>
        </w:rPr>
      </w:pPr>
      <w:r>
        <w:rPr>
          <w:caps w:val="false"/>
          <w:smallCaps w:val="false"/>
        </w:rPr>
        <w:t> </w:t>
      </w:r>
    </w:p>
    <w:tbl>
      <w:tblPr>
        <w:tblW w:w="3835" w:type="dxa"/>
        <w:jc w:val="left"/>
        <w:tblInd w:w="0" w:type="dxa"/>
        <w:tblCellMar>
          <w:top w:w="0" w:type="dxa"/>
          <w:left w:w="0" w:type="dxa"/>
          <w:bottom w:w="0" w:type="dxa"/>
          <w:right w:w="0" w:type="dxa"/>
        </w:tblCellMar>
      </w:tblPr>
      <w:tblGrid>
        <w:gridCol w:w="75"/>
        <w:gridCol w:w="545"/>
        <w:gridCol w:w="321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760" w:type="dxa"/>
            <w:gridSpan w:val="2"/>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caps w:val="false"/>
                <w:smallCaps w:val="false"/>
              </w:rPr>
            </w:pPr>
            <w:r>
              <w:rPr>
                <w:caps w:val="false"/>
                <w:smallCaps w:val="false"/>
              </w:rPr>
              <w:t> </w:t>
            </w:r>
          </w:p>
        </w:tc>
        <w:tc>
          <w:tcPr>
            <w:tcW w:w="321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15"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Butler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Butler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21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General Counsel</w:t>
            </w:r>
          </w:p>
        </w:tc>
      </w:tr>
    </w:tbl>
    <w:p>
      <w:pPr>
        <w:pStyle w:val="TextBody"/>
        <w:spacing w:before="0" w:after="0"/>
        <w:ind w:left="4464" w:right="0" w:hanging="0"/>
        <w:rPr>
          <w:caps w:val="false"/>
          <w:smallCaps w:val="false"/>
        </w:rPr>
      </w:pPr>
      <w:r>
        <w:rPr>
          <w:caps w:val="false"/>
          <w:smallCaps w:val="false"/>
        </w:rPr>
        <w:t> </w:t>
      </w:r>
    </w:p>
    <w:p>
      <w:pPr>
        <w:pStyle w:val="TextBody"/>
        <w:spacing w:before="0" w:after="0"/>
        <w:ind w:left="4464"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spacing w:before="0" w:after="0"/>
        <w:ind w:left="0" w:right="0" w:hanging="0"/>
        <w:rPr/>
      </w:pPr>
      <w:r>
        <w:rPr/>
        <w:t> </w:t>
      </w:r>
    </w:p>
    <w:p>
      <w:pPr>
        <w:pStyle w:val="TextBody"/>
        <w:spacing w:before="0" w:after="0"/>
        <w:ind w:left="4464"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ESPP Addendum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25</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 TO</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 2021 STOCK INCENTIVE PLAN</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EMPLOYEE STOCK PURCHASE PLAN</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the Board of Directors on February 22, 2021)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the Stockholders on July 22, 2021)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July 23, 2021)</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spacing w:before="0" w:after="0"/>
        <w:ind w:left="0" w:right="0" w:hanging="0"/>
        <w:rPr>
          <w:caps w:val="false"/>
          <w:smallCaps w:val="false"/>
        </w:rPr>
      </w:pPr>
      <w:r>
        <w:rPr>
          <w:caps w:val="false"/>
          <w:smallCaps w:val="false"/>
        </w:rPr>
        <w:t> </w:t>
      </w:r>
    </w:p>
    <w:tbl>
      <w:tblPr>
        <w:tblW w:w="4695" w:type="dxa"/>
        <w:jc w:val="left"/>
        <w:tblInd w:w="0" w:type="dxa"/>
        <w:tblCellMar>
          <w:top w:w="0" w:type="dxa"/>
          <w:left w:w="0" w:type="dxa"/>
          <w:bottom w:w="0" w:type="dxa"/>
          <w:right w:w="0" w:type="dxa"/>
        </w:tblCellMar>
      </w:tblPr>
      <w:tblGrid>
        <w:gridCol w:w="244"/>
        <w:gridCol w:w="751"/>
        <w:gridCol w:w="3560"/>
        <w:gridCol w:w="140"/>
      </w:tblGrid>
      <w:tr>
        <w:trPr/>
        <w:tc>
          <w:tcPr>
            <w:tcW w:w="995"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1</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Purpose of the Plan</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995"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2</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Definitions</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Committee”</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Compensation”</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Corporate Reorganization”</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Effective Date”</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Eligible Employee”</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(f)</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Fair Market Value”</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(g)</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Offering”</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(h)</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Offering Date”</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(i)</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Offering Period”</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(j)</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Participant”</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(k)</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Participating Company”</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(l)</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Plan”</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(m)</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Plan Account”</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Purchase Date”</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Purchase Period”</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Purchase Price”</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(q)</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Subsidiary”</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(r)</w:t>
            </w:r>
          </w:p>
        </w:tc>
        <w:tc>
          <w:tcPr>
            <w:tcW w:w="3560" w:type="dxa"/>
            <w:tcBorders/>
            <w:shd w:fill="auto" w:val="clear"/>
            <w:vAlign w:val="center"/>
          </w:tcPr>
          <w:p>
            <w:pPr>
              <w:pStyle w:val="TableContents"/>
              <w:spacing w:before="0" w:after="283"/>
              <w:rPr/>
            </w:pPr>
            <w:r>
              <w:rPr/>
              <w:t>“</w:t>
            </w:r>
            <w:r>
              <w:rPr>
                <w:rFonts w:ascii="Times New Roman;Times;Serif" w:hAnsi="Times New Roman;Times;Serif"/>
                <w:sz w:val="20"/>
              </w:rPr>
              <w:t>Trading Day”</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995"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3</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Administration of the Plan</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Administrative Powers and Responsibilities</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International Administration</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995"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4</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Enrollment and Participation</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Offering Periods</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Enrollment</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Duration of Participation</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995"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5</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Employee Contributions</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Frequency of Payroll Deductions</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Amount of Payroll Deductions</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Changing Withholding Rate</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Discontinuing Payroll Deductions</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995"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6</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Withdrawal from the Plan</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Withdrawal</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Re-enrollment After Withdrawal</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995"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7</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Change in Employment Status</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Termination of Employment</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Leave of Absence</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44" w:type="dxa"/>
            <w:tcBorders/>
            <w:shd w:fill="auto" w:val="clear"/>
            <w:vAlign w:val="center"/>
          </w:tcPr>
          <w:p>
            <w:pPr>
              <w:pStyle w:val="TableContents"/>
              <w:spacing w:before="0" w:after="283"/>
              <w:jc w:val="right"/>
              <w:rPr/>
            </w:pPr>
            <w:r>
              <w:rPr/>
              <w:t> </w:t>
            </w:r>
          </w:p>
        </w:tc>
        <w:tc>
          <w:tcPr>
            <w:tcW w:w="75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Death</w:t>
            </w:r>
          </w:p>
        </w:tc>
        <w:tc>
          <w:tcPr>
            <w:tcW w:w="14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4425" w:type="dxa"/>
        <w:jc w:val="left"/>
        <w:tblInd w:w="0" w:type="dxa"/>
        <w:tblCellMar>
          <w:top w:w="0" w:type="dxa"/>
          <w:left w:w="0" w:type="dxa"/>
          <w:bottom w:w="0" w:type="dxa"/>
          <w:right w:w="0" w:type="dxa"/>
        </w:tblCellMar>
      </w:tblPr>
      <w:tblGrid>
        <w:gridCol w:w="317"/>
        <w:gridCol w:w="783"/>
        <w:gridCol w:w="3080"/>
        <w:gridCol w:w="245"/>
      </w:tblGrid>
      <w:tr>
        <w:trPr/>
        <w:tc>
          <w:tcPr>
            <w:tcW w:w="1100"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8</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Plan Accounts and Purchase of Shares</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Plan Accounts</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Purchase Price</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Number of Shares Purchased</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Available Shares Insufficient</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(e)</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Issuance of Stock</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(f)</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Unused Cash Balances</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(g)</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Stockholder Approval</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100"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9</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Limitations on Stock Ownership</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Five Percent Limit</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Dollar Limit</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100"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10</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Rights Not Transferable</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100"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11</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 Rights as An Employee</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100"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12</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 Rights as A Stockholder</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100"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13</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Securities Law Requirements</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100"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14</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Stock Offered Under the Plan</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Shares</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Antidilution Adjustments</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317" w:type="dxa"/>
            <w:tcBorders/>
            <w:shd w:fill="auto" w:val="clear"/>
            <w:vAlign w:val="center"/>
          </w:tcPr>
          <w:p>
            <w:pPr>
              <w:pStyle w:val="TableContents"/>
              <w:spacing w:before="0" w:after="283"/>
              <w:jc w:val="right"/>
              <w:rPr/>
            </w:pPr>
            <w:r>
              <w:rPr/>
              <w:t> </w:t>
            </w:r>
          </w:p>
        </w:tc>
        <w:tc>
          <w:tcPr>
            <w:tcW w:w="78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Reorganizations</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100"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15</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Amendment or Discontinuance</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100"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SECTION 16</w:t>
            </w:r>
          </w:p>
        </w:tc>
        <w:tc>
          <w:tcPr>
            <w:tcW w:w="3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Execution</w:t>
            </w:r>
          </w:p>
        </w:tc>
        <w:tc>
          <w:tcPr>
            <w:tcW w:w="24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EMPLOYEE STOCK PURCHASE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Purpose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is an addendum to and subject to the terms of the 2021 Stock Incentive Plan of Lucid Group, Inc., as amended from time to time (the “</w:t>
      </w:r>
      <w:r>
        <w:rPr>
          <w:rFonts w:ascii="Times New Roman;Times;Serif" w:hAnsi="Times New Roman;Times;Serif"/>
          <w:b/>
          <w:i w:val="false"/>
          <w:caps w:val="false"/>
          <w:smallCaps w:val="false"/>
          <w:sz w:val="20"/>
        </w:rPr>
        <w:t>2021 SIP</w:t>
      </w:r>
      <w:r>
        <w:rPr>
          <w:rFonts w:ascii="Times New Roman;Times;Serif" w:hAnsi="Times New Roman;Times;Serif"/>
          <w:b w:val="false"/>
          <w:i w:val="false"/>
          <w:caps w:val="false"/>
          <w:smallCaps w:val="false"/>
          <w:sz w:val="20"/>
        </w:rPr>
        <w:t>”). The Plan was adopted by the Board on February 22, 2021 and is effective on the Effective Date. The purpose of the Plan is to provide a broad-based employee benefit to attract the services of new employees, to retain the services of existing employees, and to provide incentives for such individuals to exert maximum efforts toward our success by purchasing Stock from the Company on favorable terms and to pay for such purchases through payroll deductions. The Plan is intended to qualify under Section 423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Definitions.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Plan shall have the meaning set forth in the 2021 SIP. In addition, the following terms used in this Plan have the following meanings.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Compensation Committee of the Board or such other committee, comprised exclusively of one or more directors of the Company, as may be appointed by the Board from time to time to administer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means, unless provided otherwise by the Committee in the terms and conditions of an Offering, base salary and wages paid in cash to a Participant by a Participating Company, without reduction for any pre-tax contributions made by the Participant under Sections 401(k) or 125 of the Code. “Compensation” shall, unless provided otherwise by the Committee in the terms and conditions of an Offering, exclude variable compensation (including commissions,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or other equity awards, and similar items. The Committee shall determine whether a particular item is included in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Corporate Reorganization</w:t>
      </w:r>
      <w:r>
        <w:rPr>
          <w:rFonts w:ascii="Times New Roman;Times;Serif" w:hAnsi="Times New Roman;Times;Serif"/>
          <w:b w:val="false"/>
          <w:i w:val="false"/>
          <w:caps w:val="false"/>
          <w:smallCaps w:val="false"/>
          <w:sz w:val="20"/>
        </w:rPr>
        <w:t>” means: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consummation of a merger or consolidation of the Company with or into another entity, or any other corporate reorganization; or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sale, transfer or other disposition of all or substantially all of the Company’s assets or the complete liquidation or dissolution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effective date of this Plan, which is the date of the closing of the transactions contemplated by the Agreement and Plan of Merger by and among Churchill Capital Corp IV, a Delaware corporation (the “SPAC”), a new wholly-owned subsidiary of the SPAC and the Company, dated as of February 22, 2021, provided that this Plan is approved by the Company’s stockholders on or prior to such closing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LUCID GROUP, INC.</w:t>
        <w:br/>
        <w:t>2021 EMPLOYEE STOCK PURCHASE PLAN</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Eligible Employee</w:t>
      </w:r>
      <w:r>
        <w:rPr>
          <w:rFonts w:ascii="Times New Roman;Times;Serif" w:hAnsi="Times New Roman;Times;Serif"/>
          <w:b w:val="false"/>
          <w:i w:val="false"/>
          <w:caps w:val="false"/>
          <w:smallCaps w:val="false"/>
          <w:sz w:val="20"/>
        </w:rPr>
        <w:t>” means any employee of a Participating Company whose customary employment is for more than five (5) months per calendar year and for more than twenty (20) hours per week.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notwithstanding, an individual shall not be considered an Eligible Employee if his or her participation in the Plan is prohibited by the law of any country which has jurisdiction over him or her.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the fair market value of a share of Stock, determined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as reported in the </w:t>
      </w:r>
      <w:r>
        <w:rPr>
          <w:rFonts w:ascii="Times New Roman;Times;Serif" w:hAnsi="Times New Roman;Times;Serif"/>
          <w:b w:val="false"/>
          <w:i w:val="false"/>
          <w:caps w:val="false"/>
          <w:smallCaps w:val="false"/>
          <w:sz w:val="20"/>
          <w:u w:val="single"/>
        </w:rPr>
        <w:t>Wall Street Journal</w:t>
      </w:r>
      <w:r>
        <w:rPr>
          <w:rFonts w:ascii="Times New Roman;Times;Serif" w:hAnsi="Times New Roman;Times;Serif"/>
          <w:b w:val="false"/>
          <w:i w:val="false"/>
          <w:caps w:val="false"/>
          <w:smallCaps w:val="false"/>
          <w:sz w:val="20"/>
        </w:rPr>
        <w:t xml:space="preserve"> or such other source as the Committee deems reliable; or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foregoing provision is not applicable, then the Fair Market Value shall be determined by the Committee in good faith on such basis as it deems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date that is not a Trading Day, the Fair Market Value of a share of Stock for such date shall be determined by using the closing sale price for the immediately preceding Trading Day. Determination of the Fair Market Value pursuant to the foregoing provisions shall be conclusive and binding on all persons.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means the grant of options to purchase shares of Stock under the Plan to Eligible Employees.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Offering Date</w:t>
      </w:r>
      <w:r>
        <w:rPr>
          <w:rFonts w:ascii="Times New Roman;Times;Serif" w:hAnsi="Times New Roman;Times;Serif"/>
          <w:b w:val="false"/>
          <w:i w:val="false"/>
          <w:caps w:val="false"/>
          <w:smallCaps w:val="false"/>
          <w:sz w:val="20"/>
        </w:rPr>
        <w:t>” means the first day of an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Offering Period</w:t>
      </w:r>
      <w:r>
        <w:rPr>
          <w:rFonts w:ascii="Times New Roman;Times;Serif" w:hAnsi="Times New Roman;Times;Serif"/>
          <w:b w:val="false"/>
          <w:i w:val="false"/>
          <w:caps w:val="false"/>
          <w:smallCaps w:val="false"/>
          <w:sz w:val="20"/>
        </w:rPr>
        <w:t>” means a period with respect to which the right to purchase Stock may be granted under the Plan, as determined pursuant to Section 4(a).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an Eligible Employee who elects to participate in the Plan, as provided in Section 4(b).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Participating Company</w:t>
      </w:r>
      <w:r>
        <w:rPr>
          <w:rFonts w:ascii="Times New Roman;Times;Serif" w:hAnsi="Times New Roman;Times;Serif"/>
          <w:b w:val="false"/>
          <w:i w:val="false"/>
          <w:caps w:val="false"/>
          <w:smallCaps w:val="false"/>
          <w:sz w:val="20"/>
        </w:rPr>
        <w:t>” means (i) the Company and (ii) each present or future Subsidiary designated by the Committee as a Participating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this Lucid Group Inc. 2021 Employee Stock Purchase Plan, as it may be amended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LUCID GROUP, INC.</w:t>
        <w:br/>
        <w:t>2021 EMPLOYEE STOCK PURCHASE PLAN</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Plan Account</w:t>
      </w:r>
      <w:r>
        <w:rPr>
          <w:rFonts w:ascii="Times New Roman;Times;Serif" w:hAnsi="Times New Roman;Times;Serif"/>
          <w:b w:val="false"/>
          <w:i w:val="false"/>
          <w:caps w:val="false"/>
          <w:smallCaps w:val="false"/>
          <w:sz w:val="20"/>
        </w:rPr>
        <w:t>” means the account established for each Participant pursuant to Section 8(a).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Purchase Date</w:t>
      </w:r>
      <w:r>
        <w:rPr>
          <w:rFonts w:ascii="Times New Roman;Times;Serif" w:hAnsi="Times New Roman;Times;Serif"/>
          <w:b w:val="false"/>
          <w:i w:val="false"/>
          <w:caps w:val="false"/>
          <w:smallCaps w:val="false"/>
          <w:sz w:val="20"/>
        </w:rPr>
        <w:t>” means one or more dates during an Offering on which shares of Stock may be purchased pursuant to the terms of the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Purchase Period</w:t>
      </w:r>
      <w:r>
        <w:rPr>
          <w:rFonts w:ascii="Times New Roman;Times;Serif" w:hAnsi="Times New Roman;Times;Serif"/>
          <w:b w:val="false"/>
          <w:i w:val="false"/>
          <w:caps w:val="false"/>
          <w:smallCaps w:val="false"/>
          <w:sz w:val="20"/>
        </w:rPr>
        <w:t>” means one or more successive periods during an Offering, beginning on the Offering Date or on the day after a Purchase Date, and ending on the next succeeding Purchase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means the price at which Participants may purchase shares of Stock under the Plan, as determined pursuant to Section 8(b).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national stock exchange on which the Stock is traded is open for trading.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Administration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Administrative Powers and Responsibilities</w:t>
      </w:r>
      <w:r>
        <w:rPr>
          <w:rFonts w:ascii="Times New Roman;Times;Serif" w:hAnsi="Times New Roman;Times;Serif"/>
          <w:b w:val="false"/>
          <w:i w:val="false"/>
          <w:caps w:val="false"/>
          <w:smallCaps w:val="false"/>
          <w:sz w:val="20"/>
        </w:rPr>
        <w:t>. The Plan shall be administered by the Committee.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 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 Committee may adopt such rules, guidelines and forms as it deems appropriate to implement the Plan. Subject to the requirements of applicable law, the Committee may designate persons other than members of the Committee to carry out its responsibilities and may prescribe such conditions and limitations as it may deem appropriate.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LUCID GROUP, INC.</w:t>
        <w:br/>
        <w:t>2021 EMPLOYEE STOCK PURCHASE PLAN</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International Administration</w:t>
      </w:r>
      <w:r>
        <w:rPr>
          <w:rFonts w:ascii="Times New Roman;Times;Serif" w:hAnsi="Times New Roman;Times;Serif"/>
          <w:b w:val="false"/>
          <w:i w:val="false"/>
          <w:caps w:val="false"/>
          <w:smallCaps w:val="false"/>
          <w:sz w:val="20"/>
        </w:rPr>
        <w:t>. The Committee may establish sub-plans (which need not qualify under Section 423 of the Code) and initiate separate Offerings through such sub-plans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sub-plans, at the Committee’s discretion, may provide for allocations of the authorized shares reserved for issue under the Plan as set forth in Section 14(a)). The rules, guidelines and forms of such sub-plans (or the Offerings thereunder) may take precedence over other provisions of the Plan, with the exception of Section 4(a)(i), Section 5(b), Section 8(b) and Section 14(a), but unless otherwise superseded by the terms of such sub-plan, the provisions of the Plan shall govern the operation of such sub-plan.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Enrollment and Participation.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Offering Periods</w:t>
      </w:r>
      <w:r>
        <w:rPr>
          <w:rFonts w:ascii="Times New Roman;Times;Serif" w:hAnsi="Times New Roman;Times;Serif"/>
          <w:b w:val="false"/>
          <w:i w:val="false"/>
          <w:caps w:val="false"/>
          <w:smallCaps w:val="false"/>
          <w:sz w:val="20"/>
        </w:rPr>
        <w:t>.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twenty-seven (27)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Enrollment</w:t>
      </w:r>
      <w:r>
        <w:rPr>
          <w:rFonts w:ascii="Times New Roman;Times;Serif" w:hAnsi="Times New Roman;Times;Serif"/>
          <w:b w:val="false"/>
          <w:i w:val="false"/>
          <w:caps w:val="false"/>
          <w:smallCaps w:val="false"/>
          <w:sz w:val="20"/>
        </w:rPr>
        <w:t>. Any individual who, on the day preceding the first day of an Offering Period, qualifies as an Eligible Employee may elect to become a Participant in the Plan for such Offering Period by completing the enrollment process prescribed and communicated for this purpose from time to time by the Company to Eligible Employees.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LUCID GROUP, INC.</w:t>
        <w:br/>
        <w:t>2021 EMPLOYEE STOCK PURCHASE PLAN</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Duration of Participation</w:t>
      </w:r>
      <w:r>
        <w:rPr>
          <w:rFonts w:ascii="Times New Roman;Times;Serif" w:hAnsi="Times New Roman;Times;Serif"/>
          <w:b w:val="false"/>
          <w:i w:val="false"/>
          <w:caps w:val="false"/>
          <w:smallCaps w:val="false"/>
          <w:sz w:val="20"/>
        </w:rPr>
        <w:t>.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Employee Contributions.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Frequency of Payroll Deductions</w:t>
      </w:r>
      <w:r>
        <w:rPr>
          <w:rFonts w:ascii="Times New Roman;Times;Serif" w:hAnsi="Times New Roman;Times;Serif"/>
          <w:b w:val="false"/>
          <w:i w:val="false"/>
          <w:caps w:val="false"/>
          <w:smallCaps w:val="false"/>
          <w:sz w:val="20"/>
        </w:rPr>
        <w:t>.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under the terms and conditions of an Offering, shall occur on each payday during participation in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Amount of Payroll Deductions</w:t>
      </w:r>
      <w:r>
        <w:rPr>
          <w:rFonts w:ascii="Times New Roman;Times;Serif" w:hAnsi="Times New Roman;Times;Serif"/>
          <w:b w:val="false"/>
          <w:i w:val="false"/>
          <w:caps w:val="false"/>
          <w:smallCaps w:val="false"/>
          <w:sz w:val="20"/>
        </w:rPr>
        <w:t>. An Eligible Employee shall designate during the enrollment process the portion of his or her Compensation that he or she elects to have withheld for the purchase of Stock. Such portion shall be a whole percentage of the Eligible Employee’s Compensation, but not less than one percent (1%) nor more than fifteen percent (15%) (or such lower rate of Compensation specified as the limit in the terms and conditions of the applicable Offering).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Changing Withholding Rate</w:t>
      </w:r>
      <w:r>
        <w:rPr>
          <w:rFonts w:ascii="Times New Roman;Times;Serif" w:hAnsi="Times New Roman;Times;Serif"/>
          <w:b w:val="false"/>
          <w:i w:val="false"/>
          <w:caps w:val="false"/>
          <w:smallCaps w:val="false"/>
          <w:sz w:val="20"/>
        </w:rPr>
        <w:t>. Unless otherwise provided under the terms and conditions of an Offering, a Participant may not increase the rate of payroll withholding during the Offering Period, but may discontinue or decrease the rate of payroll withholding during the Offering Period to a whole percentage of his or her Compensation in accordance with such procedures and subject to such limitations as the Company may establish for all Participants. A Participant may also increase or decrease the rate of payroll withholding effective for a new Offering Period by submitting an authorization to change the payroll deduction rate pursuant to the process prescribed by the Company from time to time. The new withholding rate shall be a whole percentage of the Eligible Employee’s Compensation consistent with Subsection (b)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Discontinuing Payroll Deductions</w:t>
      </w:r>
      <w:r>
        <w:rPr>
          <w:rFonts w:ascii="Times New Roman;Times;Serif" w:hAnsi="Times New Roman;Times;Serif"/>
          <w:b w:val="false"/>
          <w:i w:val="false"/>
          <w:caps w:val="false"/>
          <w:smallCaps w:val="false"/>
          <w:sz w:val="20"/>
        </w:rPr>
        <w:t>. If a Participant wishes to discontinue employee contributions entirely, he or she may do so by withdrawing from the Plan pursuant to Section 6(a). In addition, employee contributions may be discontinued automatically pursuant to Section 9(b).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Withdrawal from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Withdrawal</w:t>
      </w:r>
      <w:r>
        <w:rPr>
          <w:rFonts w:ascii="Times New Roman;Times;Serif" w:hAnsi="Times New Roman;Times;Serif"/>
          <w:b w:val="false"/>
          <w:i w:val="false"/>
          <w:caps w:val="false"/>
          <w:smallCaps w:val="false"/>
          <w:sz w:val="20"/>
        </w:rPr>
        <w:t>. A Participant may elect to withdraw from the Plan by giving notice pursuant to the process prescribed and communicated by the Company from time to time.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Re-enrollment After Withdrawal</w:t>
      </w:r>
      <w:r>
        <w:rPr>
          <w:rFonts w:ascii="Times New Roman;Times;Serif" w:hAnsi="Times New Roman;Times;Serif"/>
          <w:b w:val="false"/>
          <w:i w:val="false"/>
          <w:caps w:val="false"/>
          <w:smallCaps w:val="false"/>
          <w:sz w:val="20"/>
        </w:rPr>
        <w:t>. A former Participant who has withdrawn from the Plan shall not be a Participant until he or she re-enrolls in the Plan under Section 4(b). Re-enrollment may be effective only at the commencement of an Offering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LUCID GROUP, INC.</w:t>
        <w:br/>
        <w:t>2021 EMPLOYEE STOCK PURCHASE PLAN</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Change in Employment Status.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of Employment</w:t>
      </w:r>
      <w:r>
        <w:rPr>
          <w:rFonts w:ascii="Times New Roman;Times;Serif" w:hAnsi="Times New Roman;Times;Serif"/>
          <w:b w:val="false"/>
          <w:i w:val="false"/>
          <w:caps w:val="false"/>
          <w:smallCaps w:val="false"/>
          <w:sz w:val="20"/>
        </w:rPr>
        <w: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Leave of Absence</w:t>
      </w:r>
      <w:r>
        <w:rPr>
          <w:rFonts w:ascii="Times New Roman;Times;Serif" w:hAnsi="Times New Roman;Times;Serif"/>
          <w:b w:val="false"/>
          <w:i w:val="false"/>
          <w:caps w:val="false"/>
          <w:smallCaps w:val="false"/>
          <w:sz w:val="20"/>
        </w:rPr>
        <w:t>. For purposes of the Plan, employment shall not be deemed to terminate when the Participant goes on a military leave, a sick leave or another bona fide leave of absence, if the leave was approved by the Company in writing. Employment, however, shall be deemed to terminate three (3) months after the Participant goes on a leave, unless a contract or statute guarantees his or her right to return to work. Employment shall be deemed to terminate in any event when the approved leave ends, unless the Participant immediately returns to work.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In the event of the Participant’s death, the amount credited to his or her Plan Account shall be paid to the Participant’s estate.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Plan Accounts and Purchase of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Plan Accounts</w:t>
      </w:r>
      <w:r>
        <w:rPr>
          <w:rFonts w:ascii="Times New Roman;Times;Serif" w:hAnsi="Times New Roman;Times;Serif"/>
          <w:b w:val="false"/>
          <w:i w:val="false"/>
          <w:caps w:val="false"/>
          <w:smallCaps w:val="false"/>
          <w:sz w:val="20"/>
        </w:rPr>
        <w:t>.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Purchase Price for each share of Stock purchased during an Offering Period shall be the lesser of:</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eighty-five percent (85%) of the Fair Market Value of such share on the Purchase Date; or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eighty-five percent (85%) of the Fair Market Value of such share on the Offering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LUCID GROUP, INC.</w:t>
        <w:br/>
        <w:t>2021 EMPLOYEE STOCK PURCHASE PLAN</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specify for an alternate Purchase Price amount or formula in the terms and conditions of an Offering, but in no event may such amount or formula result in a Purchase Price less than that calculated pursuant to the immediately preceding formula.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Number of Shares Purchased</w:t>
      </w:r>
      <w:r>
        <w:rPr>
          <w:rFonts w:ascii="Times New Roman;Times;Serif" w:hAnsi="Times New Roman;Times;Serif"/>
          <w:b w:val="false"/>
          <w:i w:val="false"/>
          <w:caps w:val="false"/>
          <w:smallCaps w:val="false"/>
          <w:sz w:val="20"/>
        </w:rPr>
        <w:t>.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Unless provided otherwise by the Committee prior to commencement of an Offering, the maximum number of shares of Stock which may be purchased by an individual Participant during such Offering is 25,000 shares. The 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Available Shares Insufficient</w:t>
      </w:r>
      <w:r>
        <w:rPr>
          <w:rFonts w:ascii="Times New Roman;Times;Serif" w:hAnsi="Times New Roman;Times;Serif"/>
          <w:b w:val="false"/>
          <w:i w:val="false"/>
          <w:caps w:val="false"/>
          <w:smallCaps w:val="false"/>
          <w:sz w:val="20"/>
        </w:rPr>
        <w: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Issuance of Stock</w:t>
      </w:r>
      <w:r>
        <w:rPr>
          <w:rFonts w:ascii="Times New Roman;Times;Serif" w:hAnsi="Times New Roman;Times;Serif"/>
          <w:b w:val="false"/>
          <w:i w:val="false"/>
          <w:caps w:val="false"/>
          <w:smallCaps w:val="false"/>
          <w:sz w:val="20"/>
        </w:rPr>
        <w:t>. Certificates representing the shares of Stock purchased by a Participant under the Plan shall be issued to him or her as soon as reasonably practicable after the applicable Purchase Date, except that the Company may determine that such shares shall be held for each Participant’s benefit by a broker designated by the Company. Shares may be registered in the name of the Participant or jointly in the name of the Participant and his or her spouse as joint tenants with right of survivorship or as community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Unused Cash Balances</w:t>
      </w:r>
      <w:r>
        <w:rPr>
          <w:rFonts w:ascii="Times New Roman;Times;Serif" w:hAnsi="Times New Roman;Times;Serif"/>
          <w:b w:val="false"/>
          <w:i w:val="false"/>
          <w:caps w:val="false"/>
          <w:smallCaps w:val="false"/>
          <w:sz w:val="20"/>
        </w:rPr>
        <w:t>. An amount remaining in the Participant’s Plan Account that represents the Purchase Price for any fractional share shall be carried over in the Participant’s Plan Account to the next Offering Period or refunded to the Participant in cash at the end of the Offering Period,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Plan shall be submitted to the stockholders of the Company for their approval within twelve (12) months after the date the Plan is adopted by the Board. Any other provision of the Plan notwithstanding, no shares of Stock shall be purchased under the Plan unless and until the stockholders have approved the adoption of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LUCID GROUP, INC.</w:t>
        <w:br/>
        <w:t>2021 EMPLOYEE STOCK PURCHASE PLAN</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Limitations on Stock Ownership.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Five Percent Limit</w:t>
      </w:r>
      <w:r>
        <w:rPr>
          <w:rFonts w:ascii="Times New Roman;Times;Serif" w:hAnsi="Times New Roman;Times;Serif"/>
          <w:b w:val="false"/>
          <w:i w:val="false"/>
          <w:caps w:val="false"/>
          <w:smallCaps w:val="false"/>
          <w:sz w:val="20"/>
        </w:rPr>
        <w:t>. Any other provision of the Plan notwithstanding, no Participant shall be granted a right to purchase Stock under the Plan if such Participant, immediately after his or her election to purchase such Stock, would own stock possessing five percent (5%) or more of the total combined voting power or value of all classes of stock of the Company or any parent or Subsidiary of the Company. For purposes of this Subsection (a), the following rules shall apply: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Ownership of stock shall be determined after applying the attribution rules of section 424(d)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Participant shall be deemed to own any stock that he or she has a right or option to purchase under this or any other plan;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Participant shall be deemed to have the right to purchase up to the maximum number of shares of Stock that may be purchased by a Participant under the Plan under the individual limit specified pursuant to Section 8(c) with respect to each Offering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Dollar Limit</w:t>
      </w:r>
      <w:r>
        <w:rPr>
          <w:rFonts w:ascii="Times New Roman;Times;Serif" w:hAnsi="Times New Roman;Times;Serif"/>
          <w:b w:val="false"/>
          <w:i w:val="false"/>
          <w:caps w:val="false"/>
          <w:smallCaps w:val="false"/>
          <w:sz w:val="20"/>
        </w:rPr>
        <w:t>. Any other provision of the Plan notwithstanding, no Participant shall accrue the right to purchase Stock at a rate which exceeds twenty-five thousand dollars ($25,000) of Fair Market Value of such Stock per calendar year (under the Plan and all other employee stock purchase plans of the Company or any parent or Subsidiary of the Company), determined in accordance with the provisions of Section 423(b)(8) of the Code and applicable Treasury Regulations promulgated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Subsection (b), the Fair Market Value of Stock shall be determined as of the beginning of the Offering Period in which such Stock is purchased. Employee stock purchase plans not described in Section 423 of the Code shall be disregarded. 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Rights Not Transferable.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LUCID GROUP, INC.</w:t>
        <w:br/>
        <w:t>2021 EMPLOYEE STOCK PURCHASE PLAN</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No Rights as An Employee.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No Rights as A Stockholder.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shall have no rights as a stockholder with respect to any shares of Stock that he or she may have a right to purchase under the Plan until such shares have been purchased on the applicable Purchase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Securities Law Requirements.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Stock Offered Under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Unless otherwise determined by the Committee, the maximum aggregate number of Shares available for purchase under the Plan during any calendar year is two and a half million (2,500,000) Shares; provided, however, that the maximum aggregate number of Shares available for purchase under the Plan shall not exceed the limit set forth in Section 5 of the 2021 SIP. The aggregate number of shares available for purchase under the Plan shall at all times be subject to adjustment pursuant to Section 14(b).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Antidilution Adjustments</w:t>
      </w:r>
      <w:r>
        <w:rPr>
          <w:rFonts w:ascii="Times New Roman;Times;Serif" w:hAnsi="Times New Roman;Times;Serif"/>
          <w:b w:val="false"/>
          <w:i w:val="false"/>
          <w:caps w:val="false"/>
          <w:smallCaps w:val="false"/>
          <w:sz w:val="20"/>
        </w:rPr>
        <w:t>.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Shares)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Reorganizations</w:t>
      </w:r>
      <w:r>
        <w:rPr>
          <w:rFonts w:ascii="Times New Roman;Times;Serif" w:hAnsi="Times New Roman;Times;Serif"/>
          <w:b w:val="false"/>
          <w:i w:val="false"/>
          <w:caps w:val="false"/>
          <w:smallCaps w:val="false"/>
          <w:sz w:val="20"/>
        </w:rPr>
        <w:t>. Any other provision of the Plan notwithstanding, in the event of a Corporate Reorganization in which the Plan is not assumed by the surviving corporation or its parent corporation pursuant to the applicable plan of merger or consolidation, the Offering Period then in progress shall terminate immediately prior to the effective time of such Corporate Reorganization and either shares shall be purchased pursuant to Section 8 or, if so determined by the Board or Committee, all amounts in all Participant Accounts shall be refunded pursuant to Section 15 without any purchase of shares. The Plan shall in no event be construed to restrict in any way the Company’s right to undertake a dissolution, liquidation, merger, consolidation or other reorganization.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LUCID GROUP, INC.</w:t>
        <w:br/>
        <w:t>2021 EMPLOYEE STOCK PURCHASE PLAN</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Amendment or Discontinuance.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Committee shall have the right to amend, suspend or terminate the Plan at any time and without notice. Upon any such amendment, suspension or termination of the Plan during an Offering Period, the Board or Committee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The Plan shall continue until the earlier to occur of (a) termination of the Plan pursuant to this Section 15 or (b) issuance of all of the shares of Stock reserved for issuance under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ab/>
        <w:t>     </w:t>
      </w:r>
      <w:r>
        <w:rPr>
          <w:rFonts w:ascii="Times New Roman;Times;Serif" w:hAnsi="Times New Roman;Times;Serif"/>
          <w:b w:val="false"/>
          <w:i w:val="false"/>
          <w:caps w:val="false"/>
          <w:smallCaps w:val="false"/>
          <w:sz w:val="20"/>
          <w:u w:val="single"/>
        </w:rPr>
        <w:t>Execution.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record the adoption of the Plan by the Board, the Company has caused its authorized officer to execute the same.</w:t>
      </w:r>
    </w:p>
    <w:p>
      <w:pPr>
        <w:pStyle w:val="TextBody"/>
        <w:spacing w:before="0" w:after="0"/>
        <w:ind w:left="0" w:right="0" w:hanging="0"/>
        <w:rPr>
          <w:caps w:val="false"/>
          <w:smallCaps w:val="false"/>
        </w:rPr>
      </w:pPr>
      <w:r>
        <w:rPr>
          <w:caps w:val="false"/>
          <w:smallCaps w:val="false"/>
        </w:rPr>
        <w:t> </w:t>
      </w:r>
    </w:p>
    <w:tbl>
      <w:tblPr>
        <w:tblW w:w="3145" w:type="dxa"/>
        <w:jc w:val="left"/>
        <w:tblInd w:w="0" w:type="dxa"/>
        <w:tblCellMar>
          <w:top w:w="0" w:type="dxa"/>
          <w:left w:w="0" w:type="dxa"/>
          <w:bottom w:w="0" w:type="dxa"/>
          <w:right w:w="0" w:type="dxa"/>
        </w:tblCellMar>
      </w:tblPr>
      <w:tblGrid>
        <w:gridCol w:w="75"/>
        <w:gridCol w:w="545"/>
        <w:gridCol w:w="2525"/>
      </w:tblGrid>
      <w:tr>
        <w:trPr/>
        <w:tc>
          <w:tcPr>
            <w:tcW w:w="75" w:type="dxa"/>
            <w:tcBorders/>
            <w:shd w:fill="auto" w:val="clear"/>
            <w:vAlign w:val="center"/>
          </w:tcPr>
          <w:p>
            <w:pPr>
              <w:pStyle w:val="TableContents"/>
              <w:spacing w:before="0" w:after="283"/>
              <w:rPr/>
            </w:pPr>
            <w:r>
              <w:rPr/>
              <w:t> </w:t>
            </w:r>
          </w:p>
        </w:tc>
        <w:tc>
          <w:tcPr>
            <w:tcW w:w="3070" w:type="dxa"/>
            <w:gridSpan w:val="2"/>
            <w:tcBorders/>
            <w:shd w:fill="auto" w:val="clear"/>
            <w:vAlign w:val="center"/>
          </w:tcPr>
          <w:p>
            <w:pPr>
              <w:pStyle w:val="TableContents"/>
              <w:spacing w:before="0" w:after="283"/>
              <w:rPr>
                <w:sz w:val="20"/>
              </w:rPr>
            </w:pPr>
            <w:r>
              <w:rPr>
                <w:sz w:val="20"/>
              </w:rPr>
              <w:t>LUCID GROUP, INC.</w:t>
            </w:r>
          </w:p>
        </w:tc>
      </w:tr>
      <w:tr>
        <w:trPr/>
        <w:tc>
          <w:tcPr>
            <w:tcW w:w="75" w:type="dxa"/>
            <w:tcBorders/>
            <w:shd w:fill="auto" w:val="clear"/>
            <w:vAlign w:val="center"/>
          </w:tcPr>
          <w:p>
            <w:pPr>
              <w:pStyle w:val="TableContents"/>
              <w:spacing w:before="0" w:after="283"/>
              <w:rPr/>
            </w:pPr>
            <w:r>
              <w:rPr/>
              <w:t> </w:t>
            </w:r>
          </w:p>
        </w:tc>
        <w:tc>
          <w:tcPr>
            <w:tcW w:w="307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By:</w:t>
            </w:r>
          </w:p>
        </w:tc>
        <w:tc>
          <w:tcPr>
            <w:tcW w:w="252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Jonathan Butler</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2525" w:type="dxa"/>
            <w:tcBorders/>
            <w:shd w:fill="auto" w:val="clear"/>
            <w:vAlign w:val="center"/>
          </w:tcPr>
          <w:p>
            <w:pPr>
              <w:pStyle w:val="TableContents"/>
              <w:spacing w:before="0" w:after="283"/>
              <w:rPr>
                <w:sz w:val="20"/>
              </w:rPr>
            </w:pPr>
            <w:r>
              <w:rPr>
                <w:sz w:val="20"/>
              </w:rPr>
              <w:t>Jonathan Butler</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2525" w:type="dxa"/>
            <w:tcBorders/>
            <w:shd w:fill="auto" w:val="clear"/>
            <w:vAlign w:val="center"/>
          </w:tcPr>
          <w:p>
            <w:pPr>
              <w:pStyle w:val="TableContents"/>
              <w:spacing w:before="0" w:after="283"/>
              <w:rPr>
                <w:sz w:val="20"/>
              </w:rPr>
            </w:pPr>
            <w:r>
              <w:rPr>
                <w:sz w:val="20"/>
              </w:rPr>
              <w:t>General Counsel and Secretary</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Date:</w:t>
            </w:r>
          </w:p>
        </w:tc>
        <w:tc>
          <w:tcPr>
            <w:tcW w:w="2525" w:type="dxa"/>
            <w:tcBorders/>
            <w:shd w:fill="auto" w:val="clear"/>
            <w:vAlign w:val="center"/>
          </w:tcPr>
          <w:p>
            <w:pPr>
              <w:pStyle w:val="TableContents"/>
              <w:spacing w:before="0" w:after="283"/>
              <w:rPr>
                <w:sz w:val="20"/>
              </w:rPr>
            </w:pPr>
            <w:r>
              <w:rPr>
                <w:sz w:val="20"/>
              </w:rPr>
              <w:t>August 3, 2021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LUCID GROUP, INC.</w:t>
        <w:br/>
        <w:t>2021 EMPLOYEE STOCK PURCHASE PLAN</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21286</Words>
  <CharactersWithSpaces>132271</CharactersWithSpaces>
  <Paragraphs>1857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