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26, 2023</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Lucid Group,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0"/>
              </w:rPr>
              <w:t>001-39408</w:t>
            </w:r>
          </w:p>
        </w:tc>
        <w:tc>
          <w:tcPr>
            <w:tcW w:w="3520" w:type="dxa"/>
            <w:vAlign w:val="bottom"/>
          </w:tcPr>
          <w:p>
            <w:pPr>
              <w:jc w:val="right"/>
              <w:ind w:right="790"/>
              <w:spacing w:after="0"/>
              <w:rPr>
                <w:sz w:val="20"/>
                <w:szCs w:val="20"/>
                <w:color w:val="auto"/>
              </w:rPr>
            </w:pPr>
            <w:r>
              <w:rPr>
                <w:rFonts w:ascii="Arial" w:cs="Arial" w:eastAsia="Arial" w:hAnsi="Arial"/>
                <w:sz w:val="18"/>
                <w:szCs w:val="18"/>
                <w:b w:val="1"/>
                <w:bCs w:val="1"/>
                <w:color w:val="auto"/>
              </w:rPr>
              <w:t>85-0891392</w:t>
            </w:r>
          </w:p>
        </w:tc>
      </w:tr>
      <w:tr>
        <w:trPr>
          <w:trHeight w:val="216"/>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(State or other jurisdiction of</w:t>
            </w:r>
          </w:p>
        </w:tc>
        <w:tc>
          <w:tcPr>
            <w:tcW w:w="3020" w:type="dxa"/>
            <w:vAlign w:val="bottom"/>
          </w:tcPr>
          <w:p>
            <w:pPr>
              <w:jc w:val="center"/>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incorporation or organization)</w:t>
            </w:r>
          </w:p>
        </w:tc>
        <w:tc>
          <w:tcPr>
            <w:tcW w:w="3020" w:type="dxa"/>
            <w:vAlign w:val="bottom"/>
          </w:tcPr>
          <w:p>
            <w:pPr>
              <w:jc w:val="center"/>
              <w:ind w:right="10"/>
              <w:spacing w:after="0"/>
              <w:rPr>
                <w:sz w:val="20"/>
                <w:szCs w:val="20"/>
                <w:color w:val="auto"/>
              </w:rPr>
            </w:pPr>
            <w:r>
              <w:rPr>
                <w:rFonts w:ascii="Arial" w:cs="Arial" w:eastAsia="Arial" w:hAnsi="Arial"/>
                <w:sz w:val="18"/>
                <w:szCs w:val="18"/>
                <w:color w:val="auto"/>
                <w:w w:val="91"/>
              </w:rPr>
              <w:t>Number)</w:t>
            </w:r>
          </w:p>
        </w:tc>
        <w:tc>
          <w:tcPr>
            <w:tcW w:w="3520" w:type="dxa"/>
            <w:vAlign w:val="bottom"/>
          </w:tcPr>
          <w:p>
            <w:pPr>
              <w:spacing w:after="0"/>
              <w:rPr>
                <w:sz w:val="20"/>
                <w:szCs w:val="20"/>
                <w:color w:val="auto"/>
              </w:rPr>
            </w:pPr>
          </w:p>
        </w:tc>
      </w:tr>
      <w:tr>
        <w:trPr>
          <w:trHeight w:val="414"/>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0"/>
              </w:rPr>
              <w:t>7373 Gateway Boulevard</w:t>
            </w:r>
          </w:p>
        </w:tc>
        <w:tc>
          <w:tcPr>
            <w:tcW w:w="302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20"/>
        </w:trPr>
        <w:tc>
          <w:tcPr>
            <w:tcW w:w="3760" w:type="dxa"/>
            <w:vAlign w:val="bottom"/>
          </w:tcPr>
          <w:p>
            <w:pPr>
              <w:jc w:val="center"/>
              <w:ind w:right="750"/>
              <w:spacing w:after="0"/>
              <w:rPr>
                <w:sz w:val="20"/>
                <w:szCs w:val="20"/>
                <w:color w:val="auto"/>
              </w:rPr>
            </w:pPr>
            <w:r>
              <w:rPr>
                <w:rFonts w:ascii="Arial" w:cs="Arial" w:eastAsia="Arial" w:hAnsi="Arial"/>
                <w:sz w:val="18"/>
                <w:szCs w:val="18"/>
                <w:b w:val="1"/>
                <w:bCs w:val="1"/>
                <w:color w:val="auto"/>
                <w:w w:val="95"/>
              </w:rPr>
              <w:t>Newark, CA</w:t>
            </w:r>
          </w:p>
        </w:tc>
        <w:tc>
          <w:tcPr>
            <w:tcW w:w="3020" w:type="dxa"/>
            <w:vAlign w:val="bottom"/>
          </w:tcPr>
          <w:p>
            <w:pPr>
              <w:spacing w:after="0"/>
              <w:rPr>
                <w:sz w:val="19"/>
                <w:szCs w:val="19"/>
                <w:color w:val="auto"/>
              </w:rPr>
            </w:pPr>
          </w:p>
        </w:tc>
        <w:tc>
          <w:tcPr>
            <w:tcW w:w="3520" w:type="dxa"/>
            <w:vAlign w:val="bottom"/>
          </w:tcPr>
          <w:p>
            <w:pPr>
              <w:jc w:val="right"/>
              <w:ind w:right="990"/>
              <w:spacing w:after="0"/>
              <w:rPr>
                <w:sz w:val="20"/>
                <w:szCs w:val="20"/>
                <w:color w:val="auto"/>
              </w:rPr>
            </w:pPr>
            <w:r>
              <w:rPr>
                <w:rFonts w:ascii="Arial" w:cs="Arial" w:eastAsia="Arial" w:hAnsi="Arial"/>
                <w:sz w:val="18"/>
                <w:szCs w:val="18"/>
                <w:b w:val="1"/>
                <w:bCs w:val="1"/>
                <w:color w:val="auto"/>
              </w:rPr>
              <w:t>94560</w:t>
            </w:r>
          </w:p>
        </w:tc>
      </w:tr>
      <w:tr>
        <w:trPr>
          <w:trHeight w:val="230"/>
        </w:trPr>
        <w:tc>
          <w:tcPr>
            <w:tcW w:w="376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 Offices)</w:t>
            </w:r>
          </w:p>
        </w:tc>
        <w:tc>
          <w:tcPr>
            <w:tcW w:w="3020" w:type="dxa"/>
            <w:vAlign w:val="bottom"/>
          </w:tcPr>
          <w:p>
            <w:pPr>
              <w:spacing w:after="0"/>
              <w:rPr>
                <w:sz w:val="20"/>
                <w:szCs w:val="20"/>
                <w:color w:val="auto"/>
              </w:rPr>
            </w:pPr>
          </w:p>
        </w:tc>
        <w:tc>
          <w:tcPr>
            <w:tcW w:w="3520" w:type="dxa"/>
            <w:vAlign w:val="bottom"/>
          </w:tcPr>
          <w:p>
            <w:pPr>
              <w:jc w:val="center"/>
              <w:ind w:left="79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Registrant’s telephone number, including area code: (</w:t>
      </w:r>
      <w:r>
        <w:rPr>
          <w:rFonts w:ascii="Arial" w:cs="Arial" w:eastAsia="Arial" w:hAnsi="Arial"/>
          <w:sz w:val="18"/>
          <w:szCs w:val="18"/>
          <w:b w:val="1"/>
          <w:bCs w:val="1"/>
          <w:color w:val="auto"/>
        </w:rPr>
        <w:t>510) 648-3553</w:t>
      </w:r>
    </w:p>
    <w:p>
      <w:pPr>
        <w:spacing w:after="0" w:line="27"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r>
        <w:trPr>
          <w:trHeight w:val="414"/>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80" w:type="dxa"/>
            <w:vAlign w:val="bottom"/>
          </w:tcPr>
          <w:p>
            <w:pPr>
              <w:jc w:val="center"/>
              <w:ind w:right="490"/>
              <w:spacing w:after="0"/>
              <w:rPr>
                <w:sz w:val="20"/>
                <w:szCs w:val="20"/>
                <w:color w:val="auto"/>
              </w:rPr>
            </w:pPr>
            <w:r>
              <w:rPr>
                <w:rFonts w:ascii="Arial" w:cs="Arial" w:eastAsia="Arial" w:hAnsi="Arial"/>
                <w:sz w:val="18"/>
                <w:szCs w:val="18"/>
                <w:b w:val="1"/>
                <w:bCs w:val="1"/>
                <w:color w:val="auto"/>
                <w:w w:val="93"/>
              </w:rPr>
              <w:t>Trading</w:t>
            </w:r>
          </w:p>
        </w:tc>
        <w:tc>
          <w:tcPr>
            <w:tcW w:w="2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34"/>
        </w:trPr>
        <w:tc>
          <w:tcPr>
            <w:tcW w:w="470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87"/>
              </w:rPr>
              <w:t>Title of each class</w:t>
            </w:r>
          </w:p>
        </w:tc>
        <w:tc>
          <w:tcPr>
            <w:tcW w:w="2480" w:type="dxa"/>
            <w:vAlign w:val="bottom"/>
          </w:tcPr>
          <w:p>
            <w:pPr>
              <w:jc w:val="center"/>
              <w:ind w:right="490"/>
              <w:spacing w:after="0"/>
              <w:rPr>
                <w:sz w:val="20"/>
                <w:szCs w:val="20"/>
                <w:color w:val="auto"/>
              </w:rPr>
            </w:pPr>
            <w:r>
              <w:rPr>
                <w:rFonts w:ascii="Arial" w:cs="Arial" w:eastAsia="Arial" w:hAnsi="Arial"/>
                <w:sz w:val="18"/>
                <w:szCs w:val="18"/>
                <w:b w:val="1"/>
                <w:bCs w:val="1"/>
                <w:color w:val="auto"/>
                <w:w w:val="89"/>
              </w:rPr>
              <w:t>Symbol(s)</w:t>
            </w:r>
          </w:p>
        </w:tc>
        <w:tc>
          <w:tcPr>
            <w:tcW w:w="240" w:type="dxa"/>
            <w:vAlign w:val="bottom"/>
          </w:tcPr>
          <w:p>
            <w:pPr>
              <w:spacing w:after="0"/>
              <w:rPr>
                <w:sz w:val="20"/>
                <w:szCs w:val="20"/>
                <w:color w:val="auto"/>
              </w:rPr>
            </w:pPr>
          </w:p>
        </w:tc>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5"/>
        </w:trPr>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Class A Common Stock, $0.0001 par value per</w:t>
            </w:r>
          </w:p>
        </w:tc>
        <w:tc>
          <w:tcPr>
            <w:tcW w:w="240" w:type="dxa"/>
            <w:vAlign w:val="bottom"/>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490"/>
              <w:spacing w:after="0" w:line="195" w:lineRule="exact"/>
              <w:rPr>
                <w:sz w:val="20"/>
                <w:szCs w:val="20"/>
                <w:color w:val="auto"/>
              </w:rPr>
            </w:pPr>
            <w:r>
              <w:rPr>
                <w:rFonts w:ascii="Arial" w:cs="Arial" w:eastAsia="Arial" w:hAnsi="Arial"/>
                <w:sz w:val="18"/>
                <w:szCs w:val="18"/>
                <w:color w:val="auto"/>
              </w:rPr>
              <w:t>LCID</w:t>
            </w:r>
          </w:p>
        </w:tc>
        <w:tc>
          <w:tcPr>
            <w:tcW w:w="240" w:type="dxa"/>
            <w:vAlign w:val="bottom"/>
          </w:tcPr>
          <w:p>
            <w:pPr>
              <w:spacing w:after="0"/>
              <w:rPr>
                <w:sz w:val="16"/>
                <w:szCs w:val="16"/>
                <w:color w:val="auto"/>
              </w:rPr>
            </w:pPr>
          </w:p>
        </w:tc>
        <w:tc>
          <w:tcPr>
            <w:tcW w:w="38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30"/>
        </w:trPr>
        <w:tc>
          <w:tcPr>
            <w:tcW w:w="4700" w:type="dxa"/>
            <w:vAlign w:val="bottom"/>
            <w:gridSpan w:val="3"/>
          </w:tcPr>
          <w:p>
            <w:pPr>
              <w:jc w:val="center"/>
              <w:ind w:right="800"/>
              <w:spacing w:after="0"/>
              <w:rPr>
                <w:sz w:val="20"/>
                <w:szCs w:val="20"/>
                <w:color w:val="auto"/>
              </w:rPr>
            </w:pPr>
            <w:r>
              <w:rPr>
                <w:rFonts w:ascii="Arial" w:cs="Arial" w:eastAsia="Arial" w:hAnsi="Arial"/>
                <w:sz w:val="18"/>
                <w:szCs w:val="18"/>
                <w:color w:val="auto"/>
                <w:w w:val="84"/>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2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479425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i w:val="1"/>
          <w:iCs w:val="1"/>
          <w:color w:val="auto"/>
        </w:rPr>
        <w:t>Item 4.01 – Changes in Registrant’s Certifying Accountant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May 26, 2023, following the conclusion of a process managed by the Audit Committee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Lucid Group,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effective June 17, 2023, the Audit Committee approved the appointment of KPMG LLP (“</w:t>
      </w:r>
      <w:r>
        <w:rPr>
          <w:rFonts w:ascii="Arial" w:cs="Arial" w:eastAsia="Arial" w:hAnsi="Arial"/>
          <w:sz w:val="18"/>
          <w:szCs w:val="18"/>
          <w:b w:val="1"/>
          <w:bCs w:val="1"/>
          <w:i w:val="1"/>
          <w:iCs w:val="1"/>
          <w:color w:val="auto"/>
        </w:rPr>
        <w:t>KPMG</w:t>
      </w:r>
      <w:r>
        <w:rPr>
          <w:rFonts w:ascii="Arial" w:cs="Arial" w:eastAsia="Arial" w:hAnsi="Arial"/>
          <w:sz w:val="18"/>
          <w:szCs w:val="18"/>
          <w:color w:val="auto"/>
        </w:rPr>
        <w:t>”) as the Company’s independent registered public accounting firm beginning with the year ending December 31, 2023, subject to the completion of KPMG’s customary client acceptance procedures and the execution of an engagement letter.</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Company’s years ending December 31, 2022 and 2021 and through May 26, 2023, neither the Company, nor anyone on its behalf, consulted KPMG regarding either: (i) the application of accounting principles to a specified transaction, either completed or proposed; or the type of audit opinion that might be rendered on the Company’s financial statements; or (ii) any matter that was the subject of a “disagreement” (as that term is defined in Item 304(a)(1)(iv) of Regulation S-K) or “reportable event” (as that term is defined in Item 304(a)(1)(v) of Regulation S-K).</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appointment of KPMG, on May 26, 2023, the Audit Committee dismissed Grant Thornton LLP (“</w:t>
      </w:r>
      <w:r>
        <w:rPr>
          <w:rFonts w:ascii="Arial" w:cs="Arial" w:eastAsia="Arial" w:hAnsi="Arial"/>
          <w:sz w:val="18"/>
          <w:szCs w:val="18"/>
          <w:b w:val="1"/>
          <w:bCs w:val="1"/>
          <w:i w:val="1"/>
          <w:iCs w:val="1"/>
          <w:color w:val="auto"/>
        </w:rPr>
        <w:t>Grant Thornton</w:t>
      </w:r>
      <w:r>
        <w:rPr>
          <w:rFonts w:ascii="Arial" w:cs="Arial" w:eastAsia="Arial" w:hAnsi="Arial"/>
          <w:sz w:val="18"/>
          <w:szCs w:val="18"/>
          <w:color w:val="auto"/>
        </w:rPr>
        <w:t>”) as the Company’s independent registered public accounting firm effective immediately upon the effectiveness of the appointment of KPMG.</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Grant Thornton has served as the Company’s independent registered public accounting firm since the close of the merger with Churchill Capital Corp IV on July 23, 2021, and as the independent registered public accounting firm of the Company’s predecessor, Atieva, Inc., since October 13, 2020.</w:t>
      </w:r>
    </w:p>
    <w:p>
      <w:pPr>
        <w:spacing w:after="0" w:line="14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During the years ended December 31, 2022 and 2021 and the subsequent interim period through May 26, 2023, there were no: (1) disagreements with Grant Thornton within the meaning of Item 304(a)(1)(iv) of Regulation S-K promulgated under the Securities Exchange Act of 1934, as amended, or Regulation S-K, and the related instructions thereto, on any matter of accounting principles or practices, financial statement disclosure, or auditing scope or procedures, which disagreements, if not resolved to their satisfaction, would have caused them to make reference in connection with their opinion to the subject matter of the disagreement, or (2) reportable events under Item 304(a)(1)(v) of Regulation S-K and the related instructions thereto.</w:t>
      </w:r>
    </w:p>
    <w:p>
      <w:pPr>
        <w:spacing w:after="0" w:line="16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audit reports of Grant Thornton on the Company’s consolidated financial statements as of and for the years ended December 31, 2022 and 2021 did not contain an adverse opinion or a disclaimer of opinion, and were not qualified or modified as to uncertainty, audit scope or accounting principles.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provided Grant Thornton with a copy of this Form 8-K prior to its filing with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The Company requested Grant Thornton to furnish the Company with a letter addressed to the SEC stating whether or not Grant Thornton agrees with the above statements, as required by Item 304(a)(3) of Regulation S-K. A copy of Grant Thornton’s letter is filed as Exhibit 16.1.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9.01 - 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8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140" w:type="dxa"/>
            <w:vAlign w:val="bottom"/>
          </w:tcPr>
          <w:p>
            <w:pPr>
              <w:spacing w:after="0"/>
              <w:rPr>
                <w:sz w:val="20"/>
                <w:szCs w:val="20"/>
                <w:color w:val="auto"/>
              </w:rPr>
            </w:pPr>
          </w:p>
        </w:tc>
      </w:tr>
      <w:tr>
        <w:trPr>
          <w:trHeight w:val="41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8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34"/>
        </w:trPr>
        <w:tc>
          <w:tcPr>
            <w:tcW w:w="9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00" w:type="dxa"/>
            <w:vAlign w:val="bottom"/>
            <w:gridSpan w:val="3"/>
          </w:tcPr>
          <w:p>
            <w:pPr>
              <w:ind w:left="80"/>
              <w:spacing w:after="0"/>
              <w:rPr>
                <w:sz w:val="20"/>
                <w:szCs w:val="20"/>
                <w:color w:val="auto"/>
              </w:rPr>
            </w:pPr>
            <w:r>
              <w:rPr>
                <w:rFonts w:ascii="Arial" w:cs="Arial" w:eastAsia="Arial" w:hAnsi="Arial"/>
                <w:sz w:val="18"/>
                <w:szCs w:val="18"/>
                <w:b w:val="1"/>
                <w:bCs w:val="1"/>
                <w:color w:val="auto"/>
              </w:rPr>
              <w:t>Description</w:t>
            </w:r>
          </w:p>
        </w:tc>
      </w:tr>
      <w:tr>
        <w:trPr>
          <w:trHeight w:val="270"/>
        </w:trPr>
        <w:tc>
          <w:tcPr>
            <w:tcW w:w="320" w:type="dxa"/>
            <w:vAlign w:val="bottom"/>
          </w:tcPr>
          <w:p>
            <w:pPr>
              <w:spacing w:after="0"/>
              <w:rPr>
                <w:sz w:val="20"/>
                <w:szCs w:val="20"/>
                <w:color w:val="auto"/>
              </w:rPr>
            </w:pPr>
            <w:r>
              <w:rPr>
                <w:rFonts w:ascii="Arial" w:cs="Arial" w:eastAsia="Arial" w:hAnsi="Arial"/>
                <w:sz w:val="18"/>
                <w:szCs w:val="18"/>
                <w:color w:val="0000EE"/>
                <w:w w:val="85"/>
              </w:rPr>
              <w:t>16.</w:t>
            </w:r>
            <w:r>
              <w:rPr>
                <w:rFonts w:ascii="Arial" w:cs="Arial" w:eastAsia="Arial" w:hAnsi="Arial"/>
                <w:sz w:val="18"/>
                <w:szCs w:val="18"/>
                <w:u w:val="single" w:color="auto"/>
                <w:color w:val="0000EE"/>
                <w:w w:val="85"/>
              </w:rPr>
              <w:t>1</w:t>
            </w:r>
          </w:p>
        </w:tc>
        <w:tc>
          <w:tcPr>
            <w:tcW w:w="620" w:type="dxa"/>
            <w:vAlign w:val="bottom"/>
          </w:tcPr>
          <w:p>
            <w:pPr>
              <w:spacing w:after="0"/>
              <w:rPr>
                <w:sz w:val="23"/>
                <w:szCs w:val="23"/>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0000FF"/>
              </w:rPr>
              <w:t>Letter from Grant Thornton LLP to the Securities and Exchange Commission Dated May 31, 2023</w:t>
            </w:r>
          </w:p>
        </w:tc>
      </w:tr>
      <w:tr>
        <w:trPr>
          <w:trHeight w:val="20"/>
        </w:trPr>
        <w:tc>
          <w:tcPr>
            <w:tcW w:w="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80" w:type="dxa"/>
            <w:vAlign w:val="bottom"/>
            <w:shd w:val="clear" w:color="auto" w:fill="0000FF"/>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r>
      <w:tr>
        <w:trPr>
          <w:trHeight w:val="318"/>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620" w:type="dxa"/>
            <w:vAlign w:val="bottom"/>
          </w:tcPr>
          <w:p>
            <w:pPr>
              <w:spacing w:after="0"/>
              <w:rPr>
                <w:sz w:val="24"/>
                <w:szCs w:val="24"/>
                <w:color w:val="auto"/>
              </w:rPr>
            </w:pPr>
          </w:p>
        </w:tc>
        <w:tc>
          <w:tcPr>
            <w:tcW w:w="10300" w:type="dxa"/>
            <w:vAlign w:val="bottom"/>
            <w:gridSpan w:val="3"/>
          </w:tcPr>
          <w:p>
            <w:pPr>
              <w:ind w:left="80"/>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769"/>
        </w:trPr>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31, 2023</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LUCID GROUP, INC.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Sherry 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2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52165" cy="8255"/>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Sherry House</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2292350</wp:posOffset>
            </wp:positionV>
            <wp:extent cx="156845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684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GRANT THORNTON LLP</w:t>
      </w:r>
    </w:p>
    <w:p>
      <w:pPr>
        <w:spacing w:after="0" w:line="121" w:lineRule="exact"/>
        <w:rPr>
          <w:sz w:val="20"/>
          <w:szCs w:val="20"/>
          <w:color w:val="auto"/>
        </w:rPr>
      </w:pPr>
    </w:p>
    <w:p>
      <w:pPr>
        <w:spacing w:after="0"/>
        <w:rPr>
          <w:sz w:val="20"/>
          <w:szCs w:val="20"/>
          <w:color w:val="auto"/>
        </w:rPr>
      </w:pPr>
      <w:r>
        <w:rPr>
          <w:rFonts w:ascii="Arial" w:cs="Arial" w:eastAsia="Arial" w:hAnsi="Arial"/>
          <w:sz w:val="11"/>
          <w:szCs w:val="11"/>
          <w:color w:val="auto"/>
        </w:rPr>
        <w:t>101 California St., Suite 2700</w:t>
      </w:r>
    </w:p>
    <w:p>
      <w:pPr>
        <w:spacing w:after="0" w:line="3" w:lineRule="exact"/>
        <w:rPr>
          <w:sz w:val="20"/>
          <w:szCs w:val="20"/>
          <w:color w:val="auto"/>
        </w:rPr>
      </w:pPr>
    </w:p>
    <w:p>
      <w:pPr>
        <w:spacing w:after="0"/>
        <w:rPr>
          <w:sz w:val="20"/>
          <w:szCs w:val="20"/>
          <w:color w:val="auto"/>
        </w:rPr>
      </w:pPr>
      <w:r>
        <w:rPr>
          <w:rFonts w:ascii="Arial" w:cs="Arial" w:eastAsia="Arial" w:hAnsi="Arial"/>
          <w:sz w:val="10"/>
          <w:szCs w:val="10"/>
          <w:color w:val="auto"/>
        </w:rPr>
        <w:t>San Francisco, CA 94111-5830</w:t>
      </w:r>
    </w:p>
    <w:p>
      <w:pPr>
        <w:spacing w:after="0" w:line="120" w:lineRule="exact"/>
        <w:rPr>
          <w:sz w:val="20"/>
          <w:szCs w:val="20"/>
          <w:color w:val="auto"/>
        </w:rPr>
      </w:pPr>
    </w:p>
    <w:p>
      <w:pPr>
        <w:jc w:val="both"/>
        <w:ind w:right="1920" w:firstLine="8"/>
        <w:spacing w:after="0" w:line="317" w:lineRule="auto"/>
        <w:tabs>
          <w:tab w:leader="none" w:pos="138" w:val="left"/>
        </w:tabs>
        <w:numPr>
          <w:ilvl w:val="0"/>
          <w:numId w:val="2"/>
        </w:numPr>
        <w:rPr>
          <w:rFonts w:ascii="Arial" w:cs="Arial" w:eastAsia="Arial" w:hAnsi="Arial"/>
          <w:sz w:val="10"/>
          <w:szCs w:val="10"/>
          <w:b w:val="1"/>
          <w:bCs w:val="1"/>
          <w:color w:val="auto"/>
        </w:rPr>
      </w:pPr>
      <w:r>
        <w:rPr>
          <w:rFonts w:ascii="Arial" w:cs="Arial" w:eastAsia="Arial" w:hAnsi="Arial"/>
          <w:sz w:val="10"/>
          <w:szCs w:val="10"/>
          <w:color w:val="auto"/>
        </w:rPr>
        <w:t xml:space="preserve">+1 415 986 3900 </w:t>
      </w:r>
      <w:r>
        <w:rPr>
          <w:rFonts w:ascii="Arial" w:cs="Arial" w:eastAsia="Arial" w:hAnsi="Arial"/>
          <w:sz w:val="10"/>
          <w:szCs w:val="10"/>
          <w:b w:val="1"/>
          <w:bCs w:val="1"/>
          <w:color w:val="auto"/>
        </w:rPr>
        <w:t xml:space="preserve">F </w:t>
      </w:r>
      <w:r>
        <w:rPr>
          <w:rFonts w:ascii="Arial" w:cs="Arial" w:eastAsia="Arial" w:hAnsi="Arial"/>
          <w:sz w:val="10"/>
          <w:szCs w:val="10"/>
          <w:color w:val="auto"/>
        </w:rPr>
        <w:t>+1 415 986 3916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4477385</wp:posOffset>
            </wp:positionV>
            <wp:extent cx="15684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6845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GT.COM</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auto"/>
        </w:rPr>
        <w:t>Exhibit 16.1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May 31, 2023</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U.S. Securities and Exchange Commission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Office of the Chief Accountant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100 F Street, 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Washington, DC 20549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Re: Lucid Group, Inc.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File No. 001-39408</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Dear Sir or Madam:</w:t>
      </w:r>
    </w:p>
    <w:p>
      <w:pPr>
        <w:spacing w:after="0" w:line="194" w:lineRule="exact"/>
        <w:rPr>
          <w:sz w:val="20"/>
          <w:szCs w:val="20"/>
          <w:color w:val="auto"/>
        </w:rPr>
      </w:pPr>
    </w:p>
    <w:p>
      <w:pPr>
        <w:ind w:right="700"/>
        <w:spacing w:after="0" w:line="276" w:lineRule="auto"/>
        <w:rPr>
          <w:sz w:val="20"/>
          <w:szCs w:val="20"/>
          <w:color w:val="auto"/>
        </w:rPr>
      </w:pPr>
      <w:r>
        <w:rPr>
          <w:rFonts w:ascii="Arial" w:cs="Arial" w:eastAsia="Arial" w:hAnsi="Arial"/>
          <w:sz w:val="16"/>
          <w:szCs w:val="16"/>
          <w:color w:val="auto"/>
        </w:rPr>
        <w:t>We have read Item 4.01 of Form 8-K of Lucid Group, Inc. dated May 31, 2023 and agree with the statements concerning our Firm contained therein.</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3138805</wp:posOffset>
            </wp:positionV>
            <wp:extent cx="4852035"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52035" cy="342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198120</wp:posOffset>
            </wp:positionV>
            <wp:extent cx="1954530" cy="3683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45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20"/>
        <w:spacing w:after="0" w:line="251" w:lineRule="auto"/>
        <w:rPr>
          <w:sz w:val="20"/>
          <w:szCs w:val="20"/>
          <w:color w:val="auto"/>
        </w:rPr>
      </w:pPr>
      <w:r>
        <w:rPr>
          <w:rFonts w:ascii="Arial" w:cs="Arial" w:eastAsia="Arial" w:hAnsi="Arial"/>
          <w:sz w:val="11"/>
          <w:szCs w:val="11"/>
          <w:color w:val="auto"/>
        </w:rPr>
        <w:t>Grant Thornton LLP is the U.S. member firm of Grant Thornton International Ltd (GTIL). GTIL and each of its member firms are separate legal entities and are not a worldwide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-2280285</wp:posOffset>
            </wp:positionH>
            <wp:positionV relativeFrom="paragraph">
              <wp:posOffset>285115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2">
        <w:col w:w="2880" w:space="720"/>
        <w:col w:w="7640"/>
      </w:cols>
      <w:pgMar w:left="320" w:top="35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D"/>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2023-05-31T05:23:31Z</dcterms:created>
  <dcterms:modified xsi:type="dcterms:W3CDTF">2023-05-31T05:23:31Z</dcterms:modified>
</cp:coreProperties>
</file>