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8" w:lineRule="exact"/>
        <w:rPr>
          <w:sz w:val="24"/>
          <w:szCs w:val="24"/>
          <w:color w:val="auto"/>
        </w:rPr>
      </w:pPr>
    </w:p>
    <w:p>
      <w:pPr>
        <w:ind w:left="520" w:right="240" w:hanging="467"/>
        <w:spacing w:after="0" w:line="235" w:lineRule="auto"/>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520" w:hanging="467"/>
        <w:spacing w:after="0"/>
        <w:tabs>
          <w:tab w:leader="none" w:pos="520" w:val="left"/>
        </w:tabs>
        <w:numPr>
          <w:ilvl w:val="0"/>
          <w:numId w:val="2"/>
        </w:numPr>
        <w:rPr>
          <w:rFonts w:ascii="MS PGothic" w:cs="MS PGothic" w:eastAsia="MS PGothic" w:hAnsi="MS PGothic"/>
          <w:sz w:val="23"/>
          <w:szCs w:val="23"/>
          <w:color w:val="auto"/>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ectPr>
          <w:pgSz w:w="11900" w:h="16838" w:orient="portrait"/>
          <w:cols w:equalWidth="0" w:num="1">
            <w:col w:w="11240"/>
          </w:cols>
          <w:pgMar w:left="320" w:top="1079" w:right="339" w:bottom="1440" w:gutter="0" w:footer="0" w:header="0"/>
        </w:sectPr>
      </w:pPr>
    </w:p>
    <w:p>
      <w:pPr>
        <w:spacing w:after="0" w:line="235"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2820" w:space="620"/>
            <w:col w:w="7800"/>
          </w:cols>
          <w:pgMar w:left="320" w:top="1079"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001-39408</w:t>
      </w:r>
    </w:p>
    <w:p>
      <w:pPr>
        <w:sectPr>
          <w:pgSz w:w="11900" w:h="16838" w:orient="portrait"/>
          <w:cols w:equalWidth="0" w:num="1">
            <w:col w:w="11240"/>
          </w:cols>
          <w:pgMar w:left="320" w:top="1079" w:right="339" w:bottom="1440" w:gutter="0" w:footer="0" w:header="0"/>
          <w:type w:val="continuous"/>
        </w:sectPr>
      </w:pP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240"/>
          </w:cols>
          <w:pgMar w:left="320" w:top="1079" w:right="339" w:bottom="1440" w:gutter="0" w:footer="0" w:header="0"/>
          <w:type w:val="continuous"/>
        </w:sectPr>
      </w:pPr>
    </w:p>
    <w:p>
      <w:pPr>
        <w:spacing w:after="0" w:line="82"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85-0891392</w:t>
      </w:r>
    </w:p>
    <w:p>
      <w:pPr>
        <w:spacing w:after="0" w:line="86" w:lineRule="exact"/>
        <w:rPr>
          <w:sz w:val="24"/>
          <w:szCs w:val="24"/>
          <w:color w:val="auto"/>
        </w:rPr>
      </w:pPr>
    </w:p>
    <w:p>
      <w:pPr>
        <w:sectPr>
          <w:pgSz w:w="11900" w:h="16838" w:orient="portrait"/>
          <w:cols w:equalWidth="0" w:num="2">
            <w:col w:w="7280" w:space="720"/>
            <w:col w:w="3240"/>
          </w:cols>
          <w:pgMar w:left="320" w:top="1079" w:right="339" w:bottom="1440" w:gutter="0" w:footer="0" w:header="0"/>
          <w:type w:val="continuous"/>
        </w:sectPr>
      </w:pPr>
    </w:p>
    <w:p>
      <w:pPr>
        <w:ind w:left="1020"/>
        <w:spacing w:after="0"/>
        <w:rPr>
          <w:sz w:val="20"/>
          <w:szCs w:val="20"/>
          <w:color w:val="auto"/>
        </w:rPr>
      </w:pPr>
      <w:r>
        <w:rPr>
          <w:rFonts w:ascii="Arial" w:cs="Arial" w:eastAsia="Arial" w:hAnsi="Arial"/>
          <w:sz w:val="12"/>
          <w:szCs w:val="12"/>
          <w:b w:val="1"/>
          <w:bCs w:val="1"/>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i w:val="1"/>
          <w:iCs w:val="1"/>
          <w:color w:val="auto"/>
        </w:rPr>
        <w:t>(I.R.S. Employer Identification No.)</w:t>
      </w:r>
    </w:p>
    <w:p>
      <w:pPr>
        <w:spacing w:after="0" w:line="200" w:lineRule="exact"/>
        <w:rPr>
          <w:sz w:val="24"/>
          <w:szCs w:val="24"/>
          <w:color w:val="auto"/>
        </w:rPr>
      </w:pPr>
    </w:p>
    <w:p>
      <w:pPr>
        <w:sectPr>
          <w:pgSz w:w="11900" w:h="16838" w:orient="portrait"/>
          <w:cols w:equalWidth="0" w:num="2">
            <w:col w:w="6640" w:space="720"/>
            <w:col w:w="3880"/>
          </w:cols>
          <w:pgMar w:left="320" w:top="1079" w:right="339" w:bottom="1440" w:gutter="0" w:footer="0" w:header="0"/>
          <w:type w:val="continuous"/>
        </w:sectPr>
      </w:pP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7373 Gateway Boulevard, Newark, CA 94560</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of principal executive offices) (Zip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 648-3553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i w:val="1"/>
          <w:iCs w:val="1"/>
          <w:color w:val="auto"/>
        </w:rPr>
        <w:t>(Registrant’s telephone number, including area code)</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079" w:right="339" w:bottom="1440" w:gutter="0" w:footer="0" w:header="0"/>
          <w:type w:val="continuous"/>
        </w:sectPr>
      </w:pPr>
    </w:p>
    <w:p>
      <w:pPr>
        <w:spacing w:after="0" w:line="167" w:lineRule="exact"/>
        <w:rPr>
          <w:sz w:val="24"/>
          <w:szCs w:val="24"/>
          <w:color w:val="auto"/>
        </w:rPr>
      </w:pPr>
    </w:p>
    <w:p>
      <w:pPr>
        <w:ind w:left="15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88" w:lineRule="exact"/>
        <w:rPr>
          <w:sz w:val="24"/>
          <w:szCs w:val="24"/>
          <w:color w:val="auto"/>
        </w:rPr>
      </w:pPr>
    </w:p>
    <w:p>
      <w:pPr>
        <w:sectPr>
          <w:pgSz w:w="11900" w:h="16838" w:orient="portrait"/>
          <w:cols w:equalWidth="0" w:num="3">
            <w:col w:w="4020" w:space="720"/>
            <w:col w:w="1740" w:space="720"/>
            <w:col w:w="4040"/>
          </w:cols>
          <w:pgMar w:left="320" w:top="1079" w:right="3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Class A 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LCID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 LLC</w:t>
      </w:r>
    </w:p>
    <w:p>
      <w:pPr>
        <w:spacing w:after="0" w:line="236" w:lineRule="exact"/>
        <w:rPr>
          <w:sz w:val="24"/>
          <w:szCs w:val="24"/>
          <w:color w:val="auto"/>
        </w:rPr>
      </w:pPr>
    </w:p>
    <w:p>
      <w:pPr>
        <w:sectPr>
          <w:pgSz w:w="11900" w:h="16838" w:orient="portrait"/>
          <w:cols w:equalWidth="0" w:num="3">
            <w:col w:w="4500" w:space="720"/>
            <w:col w:w="1800" w:space="720"/>
            <w:col w:w="3500"/>
          </w:cols>
          <w:pgMar w:left="320" w:top="1079" w:right="339" w:bottom="1440" w:gutter="0" w:footer="0" w:header="0"/>
          <w:type w:val="continuous"/>
        </w:sectPr>
      </w:pPr>
    </w:p>
    <w:p>
      <w:pPr>
        <w:spacing w:after="0" w:line="20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o No</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9" w:lineRule="exact"/>
        <w:rPr>
          <w:sz w:val="24"/>
          <w:szCs w:val="24"/>
          <w:color w:val="auto"/>
        </w:rPr>
      </w:pPr>
    </w:p>
    <w:tbl>
      <w:tblPr>
        <w:tblLayout w:type="fixed"/>
        <w:tblInd w:w="1400" w:type="dxa"/>
        <w:tblCellMar>
          <w:top w:w="0" w:type="dxa"/>
          <w:left w:w="0" w:type="dxa"/>
          <w:bottom w:w="0" w:type="dxa"/>
          <w:right w:w="0" w:type="dxa"/>
        </w:tblCellMar>
      </w:tblPr>
      <w:tr>
        <w:trPr>
          <w:trHeight w:val="244"/>
        </w:trPr>
        <w:tc>
          <w:tcPr>
            <w:tcW w:w="2300" w:type="dxa"/>
            <w:vAlign w:val="bottom"/>
          </w:tcPr>
          <w:p>
            <w:pPr>
              <w:ind w:left="60"/>
              <w:spacing w:after="0"/>
              <w:rPr>
                <w:sz w:val="20"/>
                <w:szCs w:val="20"/>
                <w:color w:val="auto"/>
              </w:rPr>
            </w:pPr>
            <w:r>
              <w:rPr>
                <w:rFonts w:ascii="Arial" w:cs="Arial" w:eastAsia="Arial" w:hAnsi="Arial"/>
                <w:sz w:val="18"/>
                <w:szCs w:val="18"/>
                <w:color w:val="auto"/>
              </w:rPr>
              <w:t>Large Accelerated Filer</w:t>
            </w:r>
          </w:p>
        </w:tc>
        <w:tc>
          <w:tcPr>
            <w:tcW w:w="1920" w:type="dxa"/>
            <w:vAlign w:val="bottom"/>
          </w:tcPr>
          <w:p>
            <w:pPr>
              <w:ind w:left="540"/>
              <w:spacing w:after="0"/>
              <w:rPr>
                <w:sz w:val="20"/>
                <w:szCs w:val="20"/>
                <w:color w:val="auto"/>
              </w:rPr>
            </w:pPr>
            <w:r>
              <w:rPr>
                <w:rFonts w:ascii="Arial" w:cs="Arial" w:eastAsia="Arial" w:hAnsi="Arial"/>
                <w:sz w:val="18"/>
                <w:szCs w:val="18"/>
                <w:color w:val="auto"/>
              </w:rPr>
              <w:t>o</w:t>
            </w:r>
          </w:p>
        </w:tc>
        <w:tc>
          <w:tcPr>
            <w:tcW w:w="370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o</w:t>
            </w:r>
          </w:p>
        </w:tc>
      </w:tr>
      <w:tr>
        <w:trPr>
          <w:trHeight w:val="297"/>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1920" w:type="dxa"/>
            <w:vAlign w:val="bottom"/>
          </w:tcPr>
          <w:p>
            <w:pPr>
              <w:ind w:left="540"/>
              <w:spacing w:after="0"/>
              <w:rPr>
                <w:sz w:val="20"/>
                <w:szCs w:val="20"/>
                <w:color w:val="auto"/>
              </w:rPr>
            </w:pPr>
            <w:r>
              <w:rPr>
                <w:rFonts w:ascii="Arial" w:cs="Arial" w:eastAsia="Arial" w:hAnsi="Arial"/>
                <w:sz w:val="18"/>
                <w:szCs w:val="18"/>
                <w:color w:val="auto"/>
              </w:rPr>
              <w:t>x</w:t>
            </w:r>
          </w:p>
        </w:tc>
        <w:tc>
          <w:tcPr>
            <w:tcW w:w="3700" w:type="dxa"/>
            <w:vAlign w:val="bottom"/>
          </w:tcPr>
          <w:p>
            <w:pPr>
              <w:ind w:left="128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o</w:t>
            </w:r>
          </w:p>
        </w:tc>
      </w:tr>
      <w:tr>
        <w:trPr>
          <w:trHeight w:val="243"/>
        </w:trPr>
        <w:tc>
          <w:tcPr>
            <w:tcW w:w="2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700" w:type="dxa"/>
            <w:vAlign w:val="bottom"/>
          </w:tcPr>
          <w:p>
            <w:pPr>
              <w:ind w:left="128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60"/>
              <w:spacing w:after="0"/>
              <w:rPr>
                <w:sz w:val="20"/>
                <w:szCs w:val="20"/>
                <w:color w:val="auto"/>
              </w:rPr>
            </w:pPr>
            <w:r>
              <w:rPr>
                <w:rFonts w:ascii="Arial" w:cs="Arial" w:eastAsia="Arial" w:hAnsi="Arial"/>
                <w:sz w:val="18"/>
                <w:szCs w:val="18"/>
                <w:color w:val="auto"/>
                <w:w w:val="88"/>
              </w:rPr>
              <w:t>x</w:t>
            </w:r>
          </w:p>
        </w:tc>
      </w:tr>
    </w:tbl>
    <w:p>
      <w:pPr>
        <w:spacing w:after="0" w:line="200" w:lineRule="exact"/>
        <w:rPr>
          <w:sz w:val="24"/>
          <w:szCs w:val="24"/>
          <w:color w:val="auto"/>
        </w:rPr>
      </w:pP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6" w:lineRule="exact"/>
        <w:rPr>
          <w:sz w:val="24"/>
          <w:szCs w:val="24"/>
          <w:color w:val="auto"/>
        </w:rPr>
      </w:pPr>
    </w:p>
    <w:p>
      <w:pPr>
        <w:ind w:right="1980"/>
        <w:spacing w:after="0" w:line="440"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o Yes x No Number of shares of the registrant’s Class A common stock outstanding at November 9, 2021: 1,646,366,945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0" w:type="dxa"/>
            <w:vAlign w:val="bottom"/>
            <w:gridSpan w:val="12"/>
          </w:tcPr>
          <w:p>
            <w:pPr>
              <w:jc w:val="center"/>
              <w:ind w:right="960"/>
              <w:spacing w:after="0"/>
              <w:rPr>
                <w:sz w:val="20"/>
                <w:szCs w:val="20"/>
                <w:color w:val="auto"/>
              </w:rPr>
            </w:pPr>
            <w:r>
              <w:rPr>
                <w:rFonts w:ascii="Arial" w:cs="Arial" w:eastAsia="Arial" w:hAnsi="Arial"/>
                <w:sz w:val="18"/>
                <w:szCs w:val="18"/>
                <w:b w:val="1"/>
                <w:bCs w:val="1"/>
                <w:color w:val="auto"/>
                <w:w w:val="99"/>
              </w:rPr>
              <w:t>INDEX TO FORM 10</w:t>
            </w:r>
            <w:r>
              <w:rPr>
                <w:rFonts w:ascii="Arial" w:cs="Arial" w:eastAsia="Arial" w:hAnsi="Arial"/>
                <w:sz w:val="18"/>
                <w:szCs w:val="18"/>
                <w:color w:val="auto"/>
                <w:w w:val="99"/>
              </w:rPr>
              <w:t>-Q</w:t>
            </w: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9280" w:type="dxa"/>
            <w:vAlign w:val="bottom"/>
            <w:gridSpan w:val="22"/>
            <w:vMerge w:val="restart"/>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PART I. FINANCIAL INFORMATION</w:t>
              </w:r>
            </w:hyperlink>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80" w:type="dxa"/>
            <w:vAlign w:val="bottom"/>
            <w:gridSpan w:val="22"/>
            <w:vMerge w:val="continue"/>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2">
              <w:r>
                <w:rPr>
                  <w:rFonts w:ascii="Arial" w:cs="Arial" w:eastAsia="Arial" w:hAnsi="Arial"/>
                  <w:sz w:val="18"/>
                  <w:szCs w:val="18"/>
                  <w:color w:val="0000FF"/>
                  <w:w w:val="90"/>
                </w:rPr>
                <w:t>Cautionary Note Regarding Forward-Looking Statements</w:t>
              </w:r>
            </w:hyperlink>
          </w:p>
        </w:tc>
        <w:tc>
          <w:tcPr>
            <w:tcW w:w="4180" w:type="dxa"/>
            <w:vAlign w:val="bottom"/>
            <w:gridSpan w:val="11"/>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Borders>
              <w:bottom w:val="single" w:sz="8" w:color="0000FF"/>
            </w:tcBorders>
            <w:gridSpan w:val="8"/>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Frequently Used Terms</w:t>
              </w:r>
            </w:hyperlink>
          </w:p>
        </w:tc>
        <w:tc>
          <w:tcPr>
            <w:tcW w:w="6640" w:type="dxa"/>
            <w:vAlign w:val="bottom"/>
            <w:gridSpan w:val="13"/>
          </w:tcPr>
          <w:p>
            <w:pPr>
              <w:spacing w:after="0"/>
              <w:rPr>
                <w:sz w:val="18"/>
                <w:szCs w:val="18"/>
                <w:color w:val="auto"/>
              </w:rPr>
            </w:pPr>
          </w:p>
        </w:tc>
        <w:tc>
          <w:tcPr>
            <w:tcW w:w="8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8320" w:type="dxa"/>
            <w:vAlign w:val="bottom"/>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Financial Statements (Unaudited)</w:t>
              </w:r>
            </w:hyperlink>
          </w:p>
        </w:tc>
        <w:tc>
          <w:tcPr>
            <w:tcW w:w="8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320" w:type="dxa"/>
            <w:vAlign w:val="bottom"/>
            <w:gridSpan w:val="21"/>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 xml:space="preserve">Condensed Consolidated Balance </w:t>
              </w:r>
            </w:hyperlink>
            <w:r>
              <w:rPr>
                <w:rFonts w:ascii="Arial" w:cs="Arial" w:eastAsia="Arial" w:hAnsi="Arial"/>
                <w:sz w:val="18"/>
                <w:szCs w:val="18"/>
                <w:color w:val="0000FF"/>
                <w:w w:val="98"/>
              </w:rPr>
              <w:t xml:space="preserve">Sheets </w:t>
            </w:r>
            <w:hyperlink w:anchor="page5">
              <w:r>
                <w:rPr>
                  <w:rFonts w:ascii="Arial" w:cs="Arial" w:eastAsia="Arial" w:hAnsi="Arial"/>
                  <w:sz w:val="18"/>
                  <w:szCs w:val="18"/>
                  <w:color w:val="0000FF"/>
                  <w:w w:val="98"/>
                </w:rPr>
                <w:t xml:space="preserve">as of September 30, 2021 </w:t>
              </w:r>
            </w:hyperlink>
            <w:r>
              <w:rPr>
                <w:rFonts w:ascii="Arial" w:cs="Arial" w:eastAsia="Arial" w:hAnsi="Arial"/>
                <w:sz w:val="18"/>
                <w:szCs w:val="18"/>
                <w:color w:val="0000FF"/>
                <w:w w:val="98"/>
              </w:rPr>
              <w:t xml:space="preserve">and </w:t>
            </w:r>
            <w:hyperlink w:anchor="page5">
              <w:r>
                <w:rPr>
                  <w:rFonts w:ascii="Arial" w:cs="Arial" w:eastAsia="Arial" w:hAnsi="Arial"/>
                  <w:sz w:val="18"/>
                  <w:szCs w:val="18"/>
                  <w:color w:val="0000FF"/>
                  <w:w w:val="98"/>
                </w:rPr>
                <w:t>December 31, 2020 (Unaudited)</w:t>
              </w:r>
            </w:hyperlink>
          </w:p>
        </w:tc>
        <w:tc>
          <w:tcPr>
            <w:tcW w:w="8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80" w:type="dxa"/>
            <w:vAlign w:val="bottom"/>
            <w:tcBorders>
              <w:top w:val="single" w:sz="8" w:color="0000FF"/>
            </w:tcBorders>
            <w:gridSpan w:val="18"/>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 xml:space="preserve">Condensed Consolidated Statements of Operations and Comprehensive Loss for </w:t>
              </w:r>
            </w:hyperlink>
            <w:r>
              <w:rPr>
                <w:rFonts w:ascii="Arial" w:cs="Arial" w:eastAsia="Arial" w:hAnsi="Arial"/>
                <w:sz w:val="18"/>
                <w:szCs w:val="18"/>
                <w:color w:val="0000FF"/>
                <w:w w:val="92"/>
              </w:rPr>
              <w:t xml:space="preserve">the </w:t>
            </w:r>
            <w:hyperlink w:anchor="page5">
              <w:r>
                <w:rPr>
                  <w:rFonts w:ascii="Arial" w:cs="Arial" w:eastAsia="Arial" w:hAnsi="Arial"/>
                  <w:sz w:val="18"/>
                  <w:szCs w:val="18"/>
                  <w:color w:val="0000FF"/>
                  <w:w w:val="92"/>
                </w:rPr>
                <w:t>Three and Nine</w:t>
              </w:r>
            </w:hyperlink>
          </w:p>
        </w:tc>
        <w:tc>
          <w:tcPr>
            <w:tcW w:w="840" w:type="dxa"/>
            <w:vAlign w:val="bottom"/>
            <w:gridSpan w:val="3"/>
          </w:tcPr>
          <w:p>
            <w:pPr>
              <w:spacing w:after="0"/>
              <w:rPr>
                <w:sz w:val="18"/>
                <w:szCs w:val="18"/>
                <w:color w:val="auto"/>
              </w:rPr>
            </w:pPr>
          </w:p>
        </w:tc>
        <w:tc>
          <w:tcPr>
            <w:tcW w:w="8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1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Months Ended September 30, 2021 and 2020 (Unaudited)</w:t>
              </w:r>
            </w:hyperlink>
          </w:p>
        </w:tc>
        <w:tc>
          <w:tcPr>
            <w:tcW w:w="2840" w:type="dxa"/>
            <w:vAlign w:val="bottom"/>
            <w:tcBorders>
              <w:top w:val="single" w:sz="8" w:color="0000FF"/>
            </w:tcBorders>
            <w:gridSpan w:val="4"/>
          </w:tcPr>
          <w:p>
            <w:pPr>
              <w:spacing w:after="0"/>
              <w:rPr>
                <w:sz w:val="13"/>
                <w:szCs w:val="13"/>
                <w:color w:val="auto"/>
              </w:rPr>
            </w:pPr>
          </w:p>
        </w:tc>
        <w:tc>
          <w:tcPr>
            <w:tcW w:w="32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320" w:type="dxa"/>
            <w:vAlign w:val="bottom"/>
            <w:gridSpan w:val="21"/>
          </w:tcPr>
          <w:p>
            <w:pPr>
              <w:spacing w:after="0"/>
              <w:rPr>
                <w:rFonts w:ascii="Arial" w:cs="Arial" w:eastAsia="Arial" w:hAnsi="Arial"/>
                <w:sz w:val="18"/>
                <w:szCs w:val="18"/>
                <w:color w:val="0000FF"/>
                <w:w w:val="95"/>
              </w:rPr>
            </w:pPr>
            <w:hyperlink w:anchor="page6">
              <w:r>
                <w:rPr>
                  <w:rFonts w:ascii="Arial" w:cs="Arial" w:eastAsia="Arial" w:hAnsi="Arial"/>
                  <w:sz w:val="18"/>
                  <w:szCs w:val="18"/>
                  <w:color w:val="0000FF"/>
                  <w:w w:val="95"/>
                </w:rPr>
                <w:t xml:space="preserve">Condensed Consolidated Statements of Convertible Preferred Stock and Stockholders’ Equity (Deficit) for </w:t>
              </w:r>
            </w:hyperlink>
            <w:r>
              <w:rPr>
                <w:rFonts w:ascii="Arial" w:cs="Arial" w:eastAsia="Arial" w:hAnsi="Arial"/>
                <w:sz w:val="18"/>
                <w:szCs w:val="18"/>
                <w:color w:val="0000FF"/>
                <w:w w:val="95"/>
              </w:rPr>
              <w:t>the</w:t>
            </w:r>
          </w:p>
        </w:tc>
        <w:tc>
          <w:tcPr>
            <w:tcW w:w="8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9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Three and Nine Months Ended September 30, 2021 and 2020 (Unaudited)</w:t>
              </w:r>
            </w:hyperlink>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320" w:type="dxa"/>
            <w:vAlign w:val="bottom"/>
            <w:gridSpan w:val="21"/>
          </w:tcPr>
          <w:p>
            <w:pPr>
              <w:spacing w:after="0"/>
              <w:rPr>
                <w:rFonts w:ascii="Arial" w:cs="Arial" w:eastAsia="Arial" w:hAnsi="Arial"/>
                <w:sz w:val="18"/>
                <w:szCs w:val="18"/>
                <w:color w:val="0000FF"/>
                <w:w w:val="98"/>
              </w:rPr>
            </w:pPr>
            <w:hyperlink w:anchor="page8">
              <w:r>
                <w:rPr>
                  <w:rFonts w:ascii="Arial" w:cs="Arial" w:eastAsia="Arial" w:hAnsi="Arial"/>
                  <w:sz w:val="18"/>
                  <w:szCs w:val="18"/>
                  <w:color w:val="0000FF"/>
                  <w:w w:val="98"/>
                </w:rPr>
                <w:t xml:space="preserve">Condensed Consolidated Statements of Cash </w:t>
              </w:r>
            </w:hyperlink>
            <w:r>
              <w:rPr>
                <w:rFonts w:ascii="Arial" w:cs="Arial" w:eastAsia="Arial" w:hAnsi="Arial"/>
                <w:sz w:val="18"/>
                <w:szCs w:val="18"/>
                <w:color w:val="0000FF"/>
                <w:w w:val="98"/>
              </w:rPr>
              <w:t xml:space="preserve">Flows </w:t>
            </w:r>
            <w:hyperlink w:anchor="page8">
              <w:r>
                <w:rPr>
                  <w:rFonts w:ascii="Arial" w:cs="Arial" w:eastAsia="Arial" w:hAnsi="Arial"/>
                  <w:sz w:val="18"/>
                  <w:szCs w:val="18"/>
                  <w:color w:val="0000FF"/>
                  <w:w w:val="98"/>
                </w:rPr>
                <w:t>for the Nine Months Ended September 30, 2021 and</w:t>
              </w:r>
            </w:hyperlink>
          </w:p>
        </w:tc>
        <w:tc>
          <w:tcPr>
            <w:tcW w:w="8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3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8">
              <w:r>
                <w:rPr>
                  <w:rFonts w:ascii="Arial" w:cs="Arial" w:eastAsia="Arial" w:hAnsi="Arial"/>
                  <w:sz w:val="18"/>
                  <w:szCs w:val="18"/>
                  <w:color w:val="0000FF"/>
                </w:rPr>
                <w:t>2020 (Unaudited)</w:t>
              </w:r>
            </w:hyperlink>
          </w:p>
        </w:tc>
        <w:tc>
          <w:tcPr>
            <w:tcW w:w="80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90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 xml:space="preserve">Notes to Condensed Consolidated Financial Statements </w:t>
              </w:r>
            </w:hyperlink>
            <w:r>
              <w:rPr>
                <w:rFonts w:ascii="Arial" w:cs="Arial" w:eastAsia="Arial" w:hAnsi="Arial"/>
                <w:sz w:val="18"/>
                <w:szCs w:val="18"/>
                <w:color w:val="0000FF"/>
                <w:w w:val="89"/>
              </w:rPr>
              <w:t>(Unaudited)</w:t>
            </w:r>
          </w:p>
        </w:tc>
        <w:tc>
          <w:tcPr>
            <w:tcW w:w="3420" w:type="dxa"/>
            <w:vAlign w:val="bottom"/>
            <w:gridSpan w:val="7"/>
          </w:tcPr>
          <w:p>
            <w:pPr>
              <w:spacing w:after="0"/>
              <w:rPr>
                <w:sz w:val="18"/>
                <w:szCs w:val="18"/>
                <w:color w:val="auto"/>
              </w:rPr>
            </w:pPr>
          </w:p>
        </w:tc>
        <w:tc>
          <w:tcPr>
            <w:tcW w:w="80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11</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rFonts w:ascii="Arial" w:cs="Arial" w:eastAsia="Arial" w:hAnsi="Arial"/>
                <w:sz w:val="18"/>
                <w:szCs w:val="18"/>
                <w:color w:val="auto"/>
              </w:rPr>
            </w:pPr>
            <w:hyperlink w:anchor="page34">
              <w:r>
                <w:rPr>
                  <w:rFonts w:ascii="Arial" w:cs="Arial" w:eastAsia="Arial" w:hAnsi="Arial"/>
                  <w:sz w:val="18"/>
                  <w:szCs w:val="18"/>
                  <w:color w:val="auto"/>
                </w:rPr>
                <w:t>Item 2.</w:t>
              </w:r>
            </w:hyperlink>
          </w:p>
        </w:tc>
        <w:tc>
          <w:tcPr>
            <w:tcW w:w="8320" w:type="dxa"/>
            <w:vAlign w:val="bottom"/>
            <w:gridSpan w:val="2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35</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3.</w:t>
              </w:r>
            </w:hyperlink>
          </w:p>
        </w:tc>
        <w:tc>
          <w:tcPr>
            <w:tcW w:w="43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3"/>
          </w:tcPr>
          <w:p>
            <w:pPr>
              <w:spacing w:after="0"/>
              <w:rPr>
                <w:sz w:val="18"/>
                <w:szCs w:val="18"/>
                <w:color w:val="auto"/>
              </w:rPr>
            </w:pPr>
          </w:p>
        </w:tc>
        <w:tc>
          <w:tcPr>
            <w:tcW w:w="1880" w:type="dxa"/>
            <w:vAlign w:val="bottom"/>
            <w:gridSpan w:val="5"/>
          </w:tcPr>
          <w:p>
            <w:pPr>
              <w:spacing w:after="0"/>
              <w:rPr>
                <w:sz w:val="18"/>
                <w:szCs w:val="18"/>
                <w:color w:val="auto"/>
              </w:rPr>
            </w:pPr>
          </w:p>
        </w:tc>
        <w:tc>
          <w:tcPr>
            <w:tcW w:w="8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rFonts w:ascii="Arial" w:cs="Arial" w:eastAsia="Arial" w:hAnsi="Arial"/>
                <w:sz w:val="18"/>
                <w:szCs w:val="18"/>
                <w:color w:val="auto"/>
              </w:rPr>
            </w:pPr>
            <w:hyperlink w:anchor="page47">
              <w:r>
                <w:rPr>
                  <w:rFonts w:ascii="Arial" w:cs="Arial" w:eastAsia="Arial" w:hAnsi="Arial"/>
                  <w:sz w:val="18"/>
                  <w:szCs w:val="18"/>
                  <w:color w:val="auto"/>
                </w:rPr>
                <w:t xml:space="preserve">Item </w:t>
              </w:r>
            </w:hyperlink>
            <w:r>
              <w:rPr>
                <w:rFonts w:ascii="Arial" w:cs="Arial" w:eastAsia="Arial" w:hAnsi="Arial"/>
                <w:sz w:val="18"/>
                <w:szCs w:val="18"/>
                <w:color w:val="auto"/>
              </w:rPr>
              <w:t>4.</w:t>
            </w:r>
          </w:p>
        </w:tc>
        <w:tc>
          <w:tcPr>
            <w:tcW w:w="8320" w:type="dxa"/>
            <w:vAlign w:val="bottom"/>
            <w:gridSpan w:val="21"/>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Control and Procedures</w:t>
              </w:r>
            </w:hyperlink>
          </w:p>
        </w:tc>
        <w:tc>
          <w:tcPr>
            <w:tcW w:w="80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398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2640" w:type="dxa"/>
            <w:vAlign w:val="bottom"/>
            <w:tcBorders>
              <w:bottom w:val="single" w:sz="8" w:color="0000FF"/>
            </w:tcBorders>
            <w:gridSpan w:val="9"/>
          </w:tcPr>
          <w:p>
            <w:pPr>
              <w:spacing w:after="0"/>
              <w:rPr>
                <w:rFonts w:ascii="Arial" w:cs="Arial" w:eastAsia="Arial" w:hAnsi="Arial"/>
                <w:sz w:val="18"/>
                <w:szCs w:val="18"/>
                <w:color w:val="0000FF"/>
                <w:w w:val="97"/>
              </w:rPr>
            </w:pPr>
            <w:hyperlink w:anchor="page47">
              <w:r>
                <w:rPr>
                  <w:rFonts w:ascii="Arial" w:cs="Arial" w:eastAsia="Arial" w:hAnsi="Arial"/>
                  <w:sz w:val="18"/>
                  <w:szCs w:val="18"/>
                  <w:color w:val="0000FF"/>
                  <w:w w:val="97"/>
                </w:rPr>
                <w:t>PART II. OTHER INFORMATION</w:t>
              </w:r>
            </w:hyperlink>
          </w:p>
        </w:tc>
        <w:tc>
          <w:tcPr>
            <w:tcW w:w="664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rFonts w:ascii="Arial" w:cs="Arial" w:eastAsia="Arial" w:hAnsi="Arial"/>
                <w:sz w:val="18"/>
                <w:szCs w:val="18"/>
                <w:color w:val="auto"/>
              </w:rPr>
            </w:pPr>
            <w:hyperlink w:anchor="page48">
              <w:r>
                <w:rPr>
                  <w:rFonts w:ascii="Arial" w:cs="Arial" w:eastAsia="Arial" w:hAnsi="Arial"/>
                  <w:sz w:val="18"/>
                  <w:szCs w:val="18"/>
                  <w:color w:val="auto"/>
                </w:rPr>
                <w:t>Item 1.</w:t>
              </w:r>
            </w:hyperlink>
          </w:p>
        </w:tc>
        <w:tc>
          <w:tcPr>
            <w:tcW w:w="8320" w:type="dxa"/>
            <w:vAlign w:val="bottom"/>
            <w:gridSpan w:val="21"/>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8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rFonts w:ascii="Arial" w:cs="Arial" w:eastAsia="Arial" w:hAnsi="Arial"/>
                <w:sz w:val="18"/>
                <w:szCs w:val="18"/>
                <w:color w:val="auto"/>
              </w:rPr>
            </w:pPr>
            <w:hyperlink w:anchor="page48">
              <w:r>
                <w:rPr>
                  <w:rFonts w:ascii="Arial" w:cs="Arial" w:eastAsia="Arial" w:hAnsi="Arial"/>
                  <w:sz w:val="18"/>
                  <w:szCs w:val="18"/>
                  <w:color w:val="auto"/>
                </w:rPr>
                <w:t>Item 1A.</w:t>
              </w:r>
            </w:hyperlink>
          </w:p>
        </w:tc>
        <w:tc>
          <w:tcPr>
            <w:tcW w:w="9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7"/>
              </w:rPr>
            </w:pPr>
            <w:hyperlink w:anchor="page48">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18"/>
                <w:szCs w:val="18"/>
                <w:color w:val="auto"/>
              </w:rPr>
            </w:pPr>
          </w:p>
        </w:tc>
        <w:tc>
          <w:tcPr>
            <w:tcW w:w="7000" w:type="dxa"/>
            <w:vAlign w:val="bottom"/>
            <w:gridSpan w:val="15"/>
          </w:tcPr>
          <w:p>
            <w:pPr>
              <w:spacing w:after="0"/>
              <w:rPr>
                <w:sz w:val="18"/>
                <w:szCs w:val="18"/>
                <w:color w:val="auto"/>
              </w:rPr>
            </w:pPr>
          </w:p>
        </w:tc>
        <w:tc>
          <w:tcPr>
            <w:tcW w:w="8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48</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Pr>
          <w:p>
            <w:pPr>
              <w:spacing w:after="0"/>
              <w:rPr>
                <w:rFonts w:ascii="Arial" w:cs="Arial" w:eastAsia="Arial" w:hAnsi="Arial"/>
                <w:sz w:val="18"/>
                <w:szCs w:val="18"/>
                <w:color w:val="auto"/>
              </w:rPr>
            </w:pPr>
            <w:hyperlink w:anchor="page87">
              <w:r>
                <w:rPr>
                  <w:rFonts w:ascii="Arial" w:cs="Arial" w:eastAsia="Arial" w:hAnsi="Arial"/>
                  <w:sz w:val="18"/>
                  <w:szCs w:val="18"/>
                  <w:color w:val="auto"/>
                </w:rPr>
                <w:t xml:space="preserve">Item </w:t>
              </w:r>
            </w:hyperlink>
            <w:r>
              <w:rPr>
                <w:rFonts w:ascii="Arial" w:cs="Arial" w:eastAsia="Arial" w:hAnsi="Arial"/>
                <w:sz w:val="18"/>
                <w:szCs w:val="18"/>
                <w:color w:val="auto"/>
              </w:rPr>
              <w:t>2.</w:t>
            </w:r>
          </w:p>
        </w:tc>
        <w:tc>
          <w:tcPr>
            <w:tcW w:w="434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87">
              <w:r>
                <w:rPr>
                  <w:rFonts w:ascii="Arial" w:cs="Arial" w:eastAsia="Arial" w:hAnsi="Arial"/>
                  <w:sz w:val="18"/>
                  <w:szCs w:val="18"/>
                  <w:color w:val="0000FF"/>
                  <w:w w:val="89"/>
                </w:rPr>
                <w:t>Unregistered Sales of Equity Securities and Use of Proceeds</w:t>
              </w:r>
            </w:hyperlink>
          </w:p>
        </w:tc>
        <w:tc>
          <w:tcPr>
            <w:tcW w:w="3980" w:type="dxa"/>
            <w:vAlign w:val="bottom"/>
            <w:gridSpan w:val="9"/>
          </w:tcPr>
          <w:p>
            <w:pPr>
              <w:spacing w:after="0"/>
              <w:rPr>
                <w:sz w:val="18"/>
                <w:szCs w:val="18"/>
                <w:color w:val="auto"/>
              </w:rPr>
            </w:pPr>
          </w:p>
        </w:tc>
        <w:tc>
          <w:tcPr>
            <w:tcW w:w="80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87</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8320" w:type="dxa"/>
            <w:vAlign w:val="bottom"/>
            <w:gridSpan w:val="21"/>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Other Information</w:t>
              </w:r>
            </w:hyperlink>
          </w:p>
        </w:tc>
        <w:tc>
          <w:tcPr>
            <w:tcW w:w="80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87</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rFonts w:ascii="Arial" w:cs="Arial" w:eastAsia="Arial" w:hAnsi="Arial"/>
                <w:sz w:val="18"/>
                <w:szCs w:val="18"/>
                <w:color w:val="auto"/>
              </w:rPr>
            </w:pPr>
            <w:hyperlink w:anchor="page87">
              <w:r>
                <w:rPr>
                  <w:rFonts w:ascii="Arial" w:cs="Arial" w:eastAsia="Arial" w:hAnsi="Arial"/>
                  <w:sz w:val="18"/>
                  <w:szCs w:val="18"/>
                  <w:color w:val="auto"/>
                </w:rPr>
                <w:t>Item 6.</w:t>
              </w:r>
            </w:hyperlink>
          </w:p>
        </w:tc>
        <w:tc>
          <w:tcPr>
            <w:tcW w:w="6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87">
              <w:r>
                <w:rPr>
                  <w:rFonts w:ascii="Arial" w:cs="Arial" w:eastAsia="Arial" w:hAnsi="Arial"/>
                  <w:sz w:val="18"/>
                  <w:szCs w:val="18"/>
                  <w:color w:val="0000FF"/>
                  <w:w w:val="91"/>
                </w:rPr>
                <w:t>Exhibits</w:t>
              </w:r>
            </w:hyperlink>
          </w:p>
        </w:tc>
        <w:tc>
          <w:tcPr>
            <w:tcW w:w="700" w:type="dxa"/>
            <w:vAlign w:val="bottom"/>
            <w:tcBorders>
              <w:top w:val="single" w:sz="8" w:color="0000FF"/>
            </w:tcBorders>
            <w:gridSpan w:val="2"/>
          </w:tcPr>
          <w:p>
            <w:pPr>
              <w:spacing w:after="0"/>
              <w:rPr>
                <w:sz w:val="18"/>
                <w:szCs w:val="18"/>
                <w:color w:val="auto"/>
              </w:rPr>
            </w:pPr>
          </w:p>
        </w:tc>
        <w:tc>
          <w:tcPr>
            <w:tcW w:w="7020" w:type="dxa"/>
            <w:vAlign w:val="bottom"/>
            <w:gridSpan w:val="16"/>
          </w:tcPr>
          <w:p>
            <w:pPr>
              <w:spacing w:after="0"/>
              <w:rPr>
                <w:sz w:val="18"/>
                <w:szCs w:val="18"/>
                <w:color w:val="auto"/>
              </w:rPr>
            </w:pPr>
          </w:p>
        </w:tc>
        <w:tc>
          <w:tcPr>
            <w:tcW w:w="80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87</w:t>
              </w:r>
            </w:hyperlink>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280" w:type="dxa"/>
            <w:vAlign w:val="bottom"/>
            <w:gridSpan w:val="22"/>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SIGNATURES</w:t>
              </w:r>
            </w:hyperlink>
          </w:p>
        </w:tc>
        <w:tc>
          <w:tcPr>
            <w:tcW w:w="80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760" w:type="dxa"/>
            <w:vAlign w:val="bottom"/>
            <w:gridSpan w:val="13"/>
          </w:tcPr>
          <w:p>
            <w:pPr>
              <w:jc w:val="right"/>
              <w:ind w:right="22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CAUTIONARY NOTE REGARDING FORWARD-LOOKING STATEMENTS</w:t>
      </w:r>
    </w:p>
    <w:p>
      <w:pPr>
        <w:spacing w:after="0" w:line="29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This quarterly report on Form 10-Q 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These forward-looking statements can generally be identified by the use of forward 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quarterly report on Form 10-Q and include statements regarding our intentions, beliefs or current expectations concerning, among other things our ability to recognize the anticipated benefits of the business combination between Atieva, Inc.and Churchill Capital Corp. IV, in which Atieva, Inc. became a wholly owned subsidiary of Churchill Capital Corp IV, results of operations, financial condition, liquidity, prospects, growth, strategies and the markets in which we operate, including estimates and forecasts of financial and operational metrics, projections of market opportunity, market share and product sales, expectations and timing related to commercial product launches and production volumes and launch of commercial production, including with respect to energy storage systems and automotive partnerships, the start of deliveries, future manufacturing capabilities and facilities, studio openings, future sales channels and strategies, future vehicle programs, expansion and the potential success of our go-to-market strategy and our financial and operating guidance, and future capital expenditures and other operating expenses. Such forward-looking statements are based on available current market material and our current expectations, beliefs and forecasts concerning future developments. Factors that may impact such forward-looking statements include:</w:t>
      </w:r>
    </w:p>
    <w:p>
      <w:pPr>
        <w:spacing w:after="0" w:line="18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domestic and foreign business, market, financial, political and legal conditions;</w:t>
      </w:r>
    </w:p>
    <w:p>
      <w:pPr>
        <w:spacing w:after="0" w:line="223"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relating to the uncertainty of our projected financial information, including conversion of reservations into binding orders;</w:t>
      </w:r>
    </w:p>
    <w:p>
      <w:pPr>
        <w:spacing w:after="0" w:line="223" w:lineRule="exact"/>
        <w:rPr>
          <w:rFonts w:ascii="Arial" w:cs="Arial" w:eastAsia="Arial" w:hAnsi="Arial"/>
          <w:sz w:val="17"/>
          <w:szCs w:val="17"/>
          <w:color w:val="auto"/>
        </w:rPr>
      </w:pPr>
    </w:p>
    <w:p>
      <w:pPr>
        <w:ind w:left="660" w:right="180" w:hanging="328"/>
        <w:spacing w:after="0" w:line="274"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timing of expected business milestones and commercial launch, including our ability to mass produce the Lucid Air and complete the tooling of our manufacturing facility;</w:t>
      </w:r>
    </w:p>
    <w:p>
      <w:pPr>
        <w:spacing w:after="0" w:line="174"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expansion of our manufacturing facility and the increase of our production capacity;</w:t>
      </w:r>
    </w:p>
    <w:p>
      <w:pPr>
        <w:spacing w:after="0" w:line="223"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future market adoption of our offerings;</w:t>
      </w:r>
    </w:p>
    <w:p>
      <w:pPr>
        <w:spacing w:after="0" w:line="223"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competition and the pace and depth of electric vehicle adoption generally on our future business;</w:t>
      </w:r>
    </w:p>
    <w:p>
      <w:pPr>
        <w:spacing w:after="0" w:line="223"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regulatory requirements, governmental incentives and fuel and energy prices;</w:t>
      </w:r>
    </w:p>
    <w:p>
      <w:pPr>
        <w:spacing w:after="0" w:line="223"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rapidly innovate;</w:t>
      </w:r>
    </w:p>
    <w:p>
      <w:pPr>
        <w:spacing w:after="0" w:line="223"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changes to vehicle specifications which may impact performance, pricing, and other expectations;</w:t>
      </w:r>
    </w:p>
    <w:p>
      <w:pPr>
        <w:spacing w:after="0" w:line="223"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enter into or maintain partnerships with original equipment manufacturers, vendors and technology providers;</w:t>
      </w:r>
    </w:p>
    <w:p>
      <w:pPr>
        <w:spacing w:after="0" w:line="223"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manage our growth and recruit and retain key employees, including our chief executive officer and executive team;</w:t>
      </w:r>
    </w:p>
    <w:p>
      <w:pPr>
        <w:spacing w:after="0" w:line="223" w:lineRule="exact"/>
        <w:rPr>
          <w:rFonts w:ascii="Arial" w:cs="Arial" w:eastAsia="Arial" w:hAnsi="Arial"/>
          <w:sz w:val="17"/>
          <w:szCs w:val="17"/>
          <w:color w:val="auto"/>
        </w:rPr>
      </w:pPr>
    </w:p>
    <w:p>
      <w:pPr>
        <w:ind w:left="660" w:right="420" w:hanging="328"/>
        <w:spacing w:after="0" w:line="274"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our brand, expand our brand to Europe and the Middle East and capture additional market share and forecast projected market share and demand, and the risks associated with negative press or reputational harm;</w:t>
      </w:r>
    </w:p>
    <w:p>
      <w:pPr>
        <w:spacing w:after="0" w:line="174"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expenses;</w:t>
      </w:r>
    </w:p>
    <w:p>
      <w:pPr>
        <w:spacing w:after="0" w:line="223"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utilize zero emission vehicle credits and obtain and utilize certain tax and other incentives;</w:t>
      </w:r>
    </w:p>
    <w:p>
      <w:pPr>
        <w:spacing w:after="0" w:line="223"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issue equity or equity-linked securities in the future;</w:t>
      </w:r>
    </w:p>
    <w:p>
      <w:pPr>
        <w:spacing w:after="0" w:line="223"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outcome of any potential litigation, government and regulatory proceedings, investigations and inquiries;</w:t>
      </w:r>
    </w:p>
    <w:p>
      <w:pPr>
        <w:spacing w:after="0" w:line="223" w:lineRule="exact"/>
        <w:rPr>
          <w:rFonts w:ascii="Arial" w:cs="Arial" w:eastAsia="Arial" w:hAnsi="Arial"/>
          <w:sz w:val="17"/>
          <w:szCs w:val="17"/>
          <w:color w:val="auto"/>
        </w:rPr>
      </w:pPr>
    </w:p>
    <w:p>
      <w:pPr>
        <w:ind w:left="660" w:right="340" w:hanging="328"/>
        <w:spacing w:after="0" w:line="274"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global COVID-19 pandemic on our projected results of operations, financial performance or other financial metrics, or on any of the foregoing risks; and</w:t>
      </w:r>
    </w:p>
    <w:p>
      <w:pPr>
        <w:spacing w:after="0" w:line="17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7"/>
          <w:szCs w:val="17"/>
          <w:color w:val="auto"/>
        </w:rPr>
        <w:t>other factors disclosed in this quarterly report on Form 10-Q or our other filings with the Securities and Exchange Commission (the “SEC”).</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forward-looking statements contained in this quarterly report on Form 10-Q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w:t>
      </w:r>
    </w:p>
    <w:p>
      <w:pPr>
        <w:sectPr>
          <w:pgSz w:w="11900" w:h="16838" w:orient="portrait"/>
          <w:cols w:equalWidth="0" w:num="1">
            <w:col w:w="11240"/>
          </w:cols>
          <w:pgMar w:left="320" w:top="1016" w:right="339" w:bottom="1440" w:gutter="0" w:footer="0" w:header="0"/>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3" w:name="page4"/>
    <w:bookmarkEnd w:id="3"/>
    <w:p>
      <w:pPr>
        <w:spacing w:after="0" w:line="257" w:lineRule="auto"/>
        <w:rPr>
          <w:sz w:val="20"/>
          <w:szCs w:val="20"/>
          <w:color w:val="auto"/>
        </w:rPr>
      </w:pPr>
      <w:r>
        <w:rPr>
          <w:rFonts w:ascii="Arial" w:cs="Arial" w:eastAsia="Arial" w:hAnsi="Arial"/>
          <w:sz w:val="17"/>
          <w:szCs w:val="17"/>
          <w:color w:val="auto"/>
        </w:rPr>
        <w:t>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Unless otherwise stated in Item 1. Financial Statements and accompanying footnotes, or the context otherwise requires, references in this Quarterly Report on Form 10-Q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Ayar</w:t>
      </w:r>
      <w:r>
        <w:rPr>
          <w:rFonts w:ascii="Arial" w:cs="Arial" w:eastAsia="Arial" w:hAnsi="Arial"/>
          <w:sz w:val="18"/>
          <w:szCs w:val="18"/>
          <w:color w:val="auto"/>
        </w:rPr>
        <w:t>” are to Ayar Third Investment Company, an affiliate of PIF;</w:t>
      </w:r>
    </w:p>
    <w:p>
      <w:pPr>
        <w:spacing w:after="0" w:line="25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Churchill</w:t>
      </w:r>
      <w:r>
        <w:rPr>
          <w:rFonts w:ascii="Arial" w:cs="Arial" w:eastAsia="Arial" w:hAnsi="Arial"/>
          <w:sz w:val="17"/>
          <w:szCs w:val="17"/>
          <w:color w:val="auto"/>
        </w:rPr>
        <w:t>”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 IPO</w:t>
      </w:r>
      <w:r>
        <w:rPr>
          <w:rFonts w:ascii="Arial" w:cs="Arial" w:eastAsia="Arial" w:hAnsi="Arial"/>
          <w:sz w:val="18"/>
          <w:szCs w:val="18"/>
          <w:color w:val="auto"/>
        </w:rPr>
        <w:t>” are to the initial public offering by Churchill which closed on August 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are to the consummation of the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are to July 23, 2021, the date on which the Transactions were consummated;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“Exchange Ratio” are to the quotient as defined in, and calculated in accordance with, the Merger Agreement, which is 2.644;</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w:t>
      </w:r>
      <w:r>
        <w:rPr>
          <w:rFonts w:ascii="Arial" w:cs="Arial" w:eastAsia="Arial" w:hAnsi="Arial"/>
          <w:sz w:val="18"/>
          <w:szCs w:val="18"/>
          <w:color w:val="auto"/>
        </w:rPr>
        <w:t>” are to Atieva, Inc., d/b/a Lucid Motors, an exempted company incorporated with limited liability under the laws of the Cayman Islands, and its consolidated subsidiaries before the Closing Date;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are to the merger of a merger subsidiary of Churchill and Atieva, Inc., with Atieva, Inc. surviving such merger as a wholly owned subsidiary of Churchill;</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are to that certain Agreement and Plan of Merger, dated as of February 22, 2021, by and among Churchill, Lucid and Merger Sub, as the same has been or may be amended, modified, supplemented or waived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PIF</w:t>
      </w:r>
      <w:r>
        <w:rPr>
          <w:rFonts w:ascii="Arial" w:cs="Arial" w:eastAsia="Arial" w:hAnsi="Arial"/>
          <w:sz w:val="18"/>
          <w:szCs w:val="18"/>
          <w:color w:val="auto"/>
        </w:rPr>
        <w:t>” are to the Public Investment Fund;</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are to the private placement subscription agreements that Churchill entered into contemporaneously with the execution of the Merger Agreement whereby Churchill has agreed to issue and sell to certain investors $2.5 billion of Churchill’s Class A common stock at a purchase price of $15.00 per share. The PIPE Investment closed simultaneously with the Closing of the Merger;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are to the Merger, together with the other transactions contemplated by the Merger Agreement and the related agreements.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Unless the context otherwise requires, all references in this section to “Lucid,” the “Company,” “we,” “us,” “our,” and other similar terms refer to </w:t>
      </w:r>
      <w:r>
        <w:rPr>
          <w:rFonts w:ascii="Arial" w:cs="Arial" w:eastAsia="Arial" w:hAnsi="Arial"/>
          <w:sz w:val="17"/>
          <w:szCs w:val="17"/>
          <w:color w:val="auto"/>
        </w:rPr>
        <w:t>Legacy</w:t>
      </w:r>
      <w:r>
        <w:rPr>
          <w:rFonts w:ascii="Arial" w:cs="Arial" w:eastAsia="Arial" w:hAnsi="Arial"/>
          <w:sz w:val="18"/>
          <w:szCs w:val="18"/>
          <w:color w:val="auto"/>
        </w:rPr>
        <w:t xml:space="preserve"> </w:t>
      </w:r>
      <w:r>
        <w:rPr>
          <w:rFonts w:ascii="Arial" w:cs="Arial" w:eastAsia="Arial" w:hAnsi="Arial"/>
          <w:sz w:val="17"/>
          <w:szCs w:val="17"/>
          <w:color w:val="auto"/>
        </w:rPr>
        <w:t>Lucid and its subsidiaries prior to the Closing, and Lucid Group, Inc., a Delaware corporation, and its subsidiaries after the Closing.</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6"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4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ind w:left="20"/>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4,796,880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614,412</w:t>
            </w:r>
          </w:p>
        </w:tc>
        <w:tc>
          <w:tcPr>
            <w:tcW w:w="0" w:type="dxa"/>
            <w:vAlign w:val="bottom"/>
          </w:tcPr>
          <w:p>
            <w:pPr>
              <w:spacing w:after="0"/>
              <w:rPr>
                <w:sz w:val="1"/>
                <w:szCs w:val="1"/>
                <w:color w:val="auto"/>
              </w:rPr>
            </w:pPr>
          </w:p>
        </w:tc>
      </w:tr>
      <w:tr>
        <w:trPr>
          <w:trHeight w:val="216"/>
        </w:trPr>
        <w:tc>
          <w:tcPr>
            <w:tcW w:w="8800" w:type="dxa"/>
            <w:vAlign w:val="bottom"/>
            <w:gridSpan w:val="2"/>
          </w:tcPr>
          <w:p>
            <w:pPr>
              <w:ind w:left="14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receivable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tcPr>
          <w:p>
            <w:pPr>
              <w:ind w:left="140"/>
              <w:spacing w:after="0"/>
              <w:rPr>
                <w:sz w:val="20"/>
                <w:szCs w:val="20"/>
                <w:color w:val="auto"/>
              </w:rPr>
            </w:pPr>
            <w:r>
              <w:rPr>
                <w:rFonts w:ascii="Arial" w:cs="Arial" w:eastAsia="Arial" w:hAnsi="Arial"/>
                <w:sz w:val="17"/>
                <w:szCs w:val="17"/>
                <w:color w:val="auto"/>
              </w:rPr>
              <w:t>Short-term investments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Inventory</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1,043</w:t>
            </w:r>
          </w:p>
        </w:tc>
        <w:tc>
          <w:tcPr>
            <w:tcW w:w="0" w:type="dxa"/>
            <w:vAlign w:val="bottom"/>
          </w:tcPr>
          <w:p>
            <w:pPr>
              <w:spacing w:after="0"/>
              <w:rPr>
                <w:sz w:val="1"/>
                <w:szCs w:val="1"/>
                <w:color w:val="auto"/>
              </w:rPr>
            </w:pPr>
          </w:p>
        </w:tc>
      </w:tr>
      <w:tr>
        <w:trPr>
          <w:trHeight w:val="216"/>
        </w:trPr>
        <w:tc>
          <w:tcPr>
            <w:tcW w:w="8800" w:type="dxa"/>
            <w:vAlign w:val="bottom"/>
            <w:gridSpan w:val="2"/>
          </w:tcPr>
          <w:p>
            <w:pPr>
              <w:ind w:left="140"/>
              <w:spacing w:after="0"/>
              <w:rPr>
                <w:sz w:val="20"/>
                <w:szCs w:val="20"/>
                <w:color w:val="auto"/>
              </w:rPr>
            </w:pPr>
            <w:r>
              <w:rPr>
                <w:rFonts w:ascii="Arial" w:cs="Arial" w:eastAsia="Arial" w:hAnsi="Arial"/>
                <w:sz w:val="17"/>
                <w:szCs w:val="17"/>
                <w:color w:val="auto"/>
              </w:rPr>
              <w:t>Prepaid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80,353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21,840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20,213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24,496</w:t>
            </w:r>
          </w:p>
        </w:tc>
        <w:tc>
          <w:tcPr>
            <w:tcW w:w="0" w:type="dxa"/>
            <w:vAlign w:val="bottom"/>
          </w:tcPr>
          <w:p>
            <w:pPr>
              <w:spacing w:after="0"/>
              <w:rPr>
                <w:sz w:val="1"/>
                <w:szCs w:val="1"/>
                <w:color w:val="auto"/>
              </w:rPr>
            </w:pPr>
          </w:p>
        </w:tc>
      </w:tr>
      <w:tr>
        <w:trPr>
          <w:trHeight w:val="209"/>
        </w:trPr>
        <w:tc>
          <w:tcPr>
            <w:tcW w:w="8800" w:type="dxa"/>
            <w:vAlign w:val="bottom"/>
            <w:tcBorders>
              <w:bottom w:val="single" w:sz="8" w:color="CCEEFF"/>
            </w:tcBorders>
            <w:gridSpan w:val="2"/>
          </w:tcPr>
          <w:p>
            <w:pPr>
              <w:ind w:left="560"/>
              <w:spacing w:after="0"/>
              <w:rPr>
                <w:sz w:val="20"/>
                <w:szCs w:val="20"/>
                <w:color w:val="auto"/>
              </w:rPr>
            </w:pPr>
            <w:r>
              <w:rPr>
                <w:rFonts w:ascii="Arial" w:cs="Arial" w:eastAsia="Arial" w:hAnsi="Arial"/>
                <w:sz w:val="17"/>
                <w:szCs w:val="17"/>
                <w:color w:val="auto"/>
              </w:rPr>
              <w:t>Total current assets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4,986,801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662,556</w:t>
            </w:r>
          </w:p>
        </w:tc>
        <w:tc>
          <w:tcPr>
            <w:tcW w:w="0" w:type="dxa"/>
            <w:vAlign w:val="bottom"/>
          </w:tcPr>
          <w:p>
            <w:pPr>
              <w:spacing w:after="0"/>
              <w:rPr>
                <w:sz w:val="1"/>
                <w:szCs w:val="1"/>
                <w:color w:val="auto"/>
              </w:rPr>
            </w:pPr>
          </w:p>
        </w:tc>
      </w:tr>
      <w:tr>
        <w:trPr>
          <w:trHeight w:val="210"/>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965,901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713,274</w:t>
            </w:r>
          </w:p>
        </w:tc>
        <w:tc>
          <w:tcPr>
            <w:tcW w:w="0" w:type="dxa"/>
            <w:vAlign w:val="bottom"/>
          </w:tcPr>
          <w:p>
            <w:pPr>
              <w:spacing w:after="0"/>
              <w:rPr>
                <w:sz w:val="1"/>
                <w:szCs w:val="1"/>
                <w:color w:val="auto"/>
              </w:rPr>
            </w:pPr>
          </w:p>
        </w:tc>
      </w:tr>
      <w:tr>
        <w:trPr>
          <w:trHeight w:val="216"/>
        </w:trPr>
        <w:tc>
          <w:tcPr>
            <w:tcW w:w="8800" w:type="dxa"/>
            <w:vAlign w:val="bottom"/>
            <w:gridSpan w:val="2"/>
          </w:tcPr>
          <w:p>
            <w:pPr>
              <w:ind w:left="20"/>
              <w:spacing w:after="0"/>
              <w:rPr>
                <w:sz w:val="20"/>
                <w:szCs w:val="20"/>
                <w:color w:val="auto"/>
              </w:rPr>
            </w:pPr>
            <w:r>
              <w:rPr>
                <w:rFonts w:ascii="Arial" w:cs="Arial" w:eastAsia="Arial" w:hAnsi="Arial"/>
                <w:sz w:val="17"/>
                <w:szCs w:val="17"/>
                <w:color w:val="auto"/>
              </w:rPr>
              <w:t>Right-of-use assets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143,782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42,700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26,851</w:t>
            </w:r>
          </w:p>
        </w:tc>
        <w:tc>
          <w:tcPr>
            <w:tcW w:w="0" w:type="dxa"/>
            <w:vAlign w:val="bottom"/>
          </w:tcPr>
          <w:p>
            <w:pPr>
              <w:spacing w:after="0"/>
              <w:rPr>
                <w:sz w:val="1"/>
                <w:szCs w:val="1"/>
                <w:color w:val="auto"/>
              </w:rPr>
            </w:pPr>
          </w:p>
        </w:tc>
      </w:tr>
      <w:tr>
        <w:trPr>
          <w:trHeight w:val="209"/>
        </w:trPr>
        <w:tc>
          <w:tcPr>
            <w:tcW w:w="880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6,139,184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1,402,681</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LIABILITIES, CONVERTIBLE PREFERRED STOCK AND STOCKHOLDERS' EQUITY (DEFICIT)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ind w:left="20"/>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17,333</w:t>
            </w:r>
          </w:p>
        </w:tc>
        <w:tc>
          <w:tcPr>
            <w:tcW w:w="0" w:type="dxa"/>
            <w:vAlign w:val="bottom"/>
          </w:tcPr>
          <w:p>
            <w:pPr>
              <w:spacing w:after="0"/>
              <w:rPr>
                <w:sz w:val="1"/>
                <w:szCs w:val="1"/>
                <w:color w:val="auto"/>
              </w:rPr>
            </w:pPr>
          </w:p>
        </w:tc>
      </w:tr>
      <w:tr>
        <w:trPr>
          <w:trHeight w:val="216"/>
        </w:trPr>
        <w:tc>
          <w:tcPr>
            <w:tcW w:w="8800" w:type="dxa"/>
            <w:vAlign w:val="bottom"/>
            <w:gridSpan w:val="2"/>
          </w:tcPr>
          <w:p>
            <w:pPr>
              <w:ind w:left="140"/>
              <w:spacing w:after="0"/>
              <w:rPr>
                <w:sz w:val="20"/>
                <w:szCs w:val="20"/>
                <w:color w:val="auto"/>
              </w:rPr>
            </w:pPr>
            <w:r>
              <w:rPr>
                <w:rFonts w:ascii="Arial" w:cs="Arial" w:eastAsia="Arial" w:hAnsi="Arial"/>
                <w:sz w:val="17"/>
                <w:szCs w:val="17"/>
                <w:color w:val="auto"/>
              </w:rPr>
              <w:t>Accrued compensation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28,949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16,197</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Finance lease liabilities, current portion</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Other current liabilities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228,277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151,753</w:t>
            </w:r>
          </w:p>
        </w:tc>
        <w:tc>
          <w:tcPr>
            <w:tcW w:w="0" w:type="dxa"/>
            <w:vAlign w:val="bottom"/>
          </w:tcPr>
          <w:p>
            <w:pPr>
              <w:spacing w:after="0"/>
              <w:rPr>
                <w:sz w:val="1"/>
                <w:szCs w:val="1"/>
                <w:color w:val="auto"/>
              </w:rPr>
            </w:pPr>
          </w:p>
        </w:tc>
      </w:tr>
      <w:tr>
        <w:trPr>
          <w:trHeight w:val="210"/>
        </w:trPr>
        <w:tc>
          <w:tcPr>
            <w:tcW w:w="8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269,408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185,283</w:t>
            </w:r>
          </w:p>
        </w:tc>
        <w:tc>
          <w:tcPr>
            <w:tcW w:w="0" w:type="dxa"/>
            <w:vAlign w:val="bottom"/>
          </w:tcPr>
          <w:p>
            <w:pPr>
              <w:spacing w:after="0"/>
              <w:rPr>
                <w:sz w:val="1"/>
                <w:szCs w:val="1"/>
                <w:color w:val="auto"/>
              </w:rPr>
            </w:pPr>
          </w:p>
        </w:tc>
      </w:tr>
      <w:tr>
        <w:trPr>
          <w:trHeight w:val="216"/>
        </w:trPr>
        <w:tc>
          <w:tcPr>
            <w:tcW w:w="8800" w:type="dxa"/>
            <w:vAlign w:val="bottom"/>
            <w:gridSpan w:val="2"/>
          </w:tcPr>
          <w:p>
            <w:pPr>
              <w:ind w:left="20"/>
              <w:spacing w:after="0"/>
              <w:rPr>
                <w:sz w:val="20"/>
                <w:szCs w:val="20"/>
                <w:color w:val="auto"/>
              </w:rPr>
            </w:pPr>
            <w:r>
              <w:rPr>
                <w:rFonts w:ascii="Arial" w:cs="Arial" w:eastAsia="Arial" w:hAnsi="Arial"/>
                <w:sz w:val="17"/>
                <w:szCs w:val="17"/>
                <w:color w:val="auto"/>
              </w:rPr>
              <w:t>Convertible preferred stock warrant liability</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2,960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Finance lease liabilities, net of current portion</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tcPr>
          <w:p>
            <w:pPr>
              <w:ind w:left="20"/>
              <w:spacing w:after="0"/>
              <w:rPr>
                <w:sz w:val="20"/>
                <w:szCs w:val="20"/>
                <w:color w:val="auto"/>
              </w:rPr>
            </w:pPr>
            <w:r>
              <w:rPr>
                <w:rFonts w:ascii="Arial" w:cs="Arial" w:eastAsia="Arial" w:hAnsi="Arial"/>
                <w:sz w:val="17"/>
                <w:szCs w:val="17"/>
                <w:color w:val="auto"/>
              </w:rPr>
              <w:t>Common stock warrant liability</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836,835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183,096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39,139</w:t>
            </w:r>
          </w:p>
        </w:tc>
        <w:tc>
          <w:tcPr>
            <w:tcW w:w="0" w:type="dxa"/>
            <w:vAlign w:val="bottom"/>
          </w:tcPr>
          <w:p>
            <w:pPr>
              <w:spacing w:after="0"/>
              <w:rPr>
                <w:sz w:val="1"/>
                <w:szCs w:val="1"/>
                <w:color w:val="auto"/>
              </w:rPr>
            </w:pPr>
          </w:p>
        </w:tc>
      </w:tr>
      <w:tr>
        <w:trPr>
          <w:trHeight w:val="210"/>
        </w:trPr>
        <w:tc>
          <w:tcPr>
            <w:tcW w:w="8800" w:type="dxa"/>
            <w:vAlign w:val="bottom"/>
            <w:gridSpan w:val="2"/>
          </w:tcPr>
          <w:p>
            <w:pPr>
              <w:ind w:left="560"/>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1,294,026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227,382</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14)</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ind w:left="20"/>
              <w:spacing w:after="0"/>
              <w:rPr>
                <w:sz w:val="20"/>
                <w:szCs w:val="20"/>
                <w:color w:val="auto"/>
              </w:rPr>
            </w:pPr>
            <w:r>
              <w:rPr>
                <w:rFonts w:ascii="Arial" w:cs="Arial" w:eastAsia="Arial" w:hAnsi="Arial"/>
                <w:sz w:val="17"/>
                <w:szCs w:val="17"/>
                <w:b w:val="1"/>
                <w:bCs w:val="1"/>
                <w:color w:val="auto"/>
              </w:rPr>
              <w:t>CONVERTIBLE PREFERRED STOCK</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8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7"/>
                <w:szCs w:val="17"/>
                <w:color w:val="auto"/>
                <w:w w:val="98"/>
              </w:rPr>
              <w:t>Convertible preferred stock, $0.0001 par value; 0 and 1,058,949,780 shares authorized as of September 30, 2021 and</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7"/>
                <w:szCs w:val="17"/>
                <w:color w:val="auto"/>
                <w:w w:val="90"/>
              </w:rPr>
              <w:t>December 31, 2020, respectively; 0 and 957,159,704 shares issued and outstanding as of September 30, 2021 and December</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7"/>
                <w:szCs w:val="17"/>
                <w:color w:val="auto"/>
                <w:w w:val="95"/>
              </w:rPr>
              <w:t>31, 2020, respectively; liquidation preference of $0, and $3,497,913 as of September 30, 2021 and December 31, 2020,</w:t>
            </w: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2,494,076</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0" w:type="dxa"/>
            <w:vAlign w:val="bottom"/>
            <w:gridSpan w:val="2"/>
          </w:tcPr>
          <w:p>
            <w:pPr>
              <w:ind w:left="20"/>
              <w:spacing w:after="0"/>
              <w:rPr>
                <w:sz w:val="20"/>
                <w:szCs w:val="20"/>
                <w:color w:val="auto"/>
              </w:rPr>
            </w:pPr>
            <w:r>
              <w:rPr>
                <w:rFonts w:ascii="Arial" w:cs="Arial" w:eastAsia="Arial" w:hAnsi="Arial"/>
                <w:sz w:val="17"/>
                <w:szCs w:val="17"/>
                <w:b w:val="1"/>
                <w:bCs w:val="1"/>
                <w:color w:val="auto"/>
              </w:rPr>
              <w:t>STOCKHOLDERS’ EQUITY (DEFICIT)</w:t>
            </w: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8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7"/>
                <w:szCs w:val="17"/>
                <w:color w:val="auto"/>
                <w:w w:val="93"/>
              </w:rPr>
              <w:t>Preferred stock, par value $0.0001; 10,000,000 and 0 shares authorized as of September 30, 2021 and December 31, 2020,</w:t>
            </w: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respectively; no shares issued and outstanding as of September 30, 2021 and December 31, 2020, respectively</w:t>
            </w: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800" w:type="dxa"/>
            <w:vAlign w:val="bottom"/>
            <w:gridSpan w:val="2"/>
          </w:tcPr>
          <w:p>
            <w:pPr>
              <w:ind w:left="20"/>
              <w:spacing w:after="0" w:line="162" w:lineRule="exact"/>
              <w:rPr>
                <w:sz w:val="20"/>
                <w:szCs w:val="20"/>
                <w:color w:val="auto"/>
              </w:rPr>
            </w:pPr>
            <w:r>
              <w:rPr>
                <w:rFonts w:ascii="Arial" w:cs="Arial" w:eastAsia="Arial" w:hAnsi="Arial"/>
                <w:sz w:val="17"/>
                <w:szCs w:val="17"/>
                <w:color w:val="auto"/>
                <w:w w:val="96"/>
              </w:rPr>
              <w:t>Common stock, par value $0.0001; 15,000,000,000 and 1,189,800,259 shares authorized as of September 30, 2021 and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0" w:type="dxa"/>
            <w:vAlign w:val="bottom"/>
            <w:gridSpan w:val="2"/>
          </w:tcPr>
          <w:p>
            <w:pPr>
              <w:ind w:left="180"/>
              <w:spacing w:after="0" w:line="162" w:lineRule="exact"/>
              <w:rPr>
                <w:sz w:val="20"/>
                <w:szCs w:val="20"/>
                <w:color w:val="auto"/>
              </w:rPr>
            </w:pPr>
            <w:r>
              <w:rPr>
                <w:rFonts w:ascii="Arial" w:cs="Arial" w:eastAsia="Arial" w:hAnsi="Arial"/>
                <w:sz w:val="17"/>
                <w:szCs w:val="17"/>
                <w:color w:val="auto"/>
                <w:w w:val="92"/>
              </w:rPr>
              <w:t>December 31, 2020, respectively; 1,641,642,816 and 28,791,702 shares issued and outstanding as of September 30, 2021</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6"/>
        </w:trPr>
        <w:tc>
          <w:tcPr>
            <w:tcW w:w="8800" w:type="dxa"/>
            <w:vAlign w:val="bottom"/>
            <w:gridSpan w:val="2"/>
          </w:tcPr>
          <w:p>
            <w:pPr>
              <w:ind w:left="180"/>
              <w:spacing w:after="0"/>
              <w:rPr>
                <w:sz w:val="20"/>
                <w:szCs w:val="20"/>
                <w:color w:val="auto"/>
              </w:rPr>
            </w:pPr>
            <w:r>
              <w:rPr>
                <w:rFonts w:ascii="Arial" w:cs="Arial" w:eastAsia="Arial" w:hAnsi="Arial"/>
                <w:sz w:val="17"/>
                <w:szCs w:val="17"/>
                <w:color w:val="auto"/>
              </w:rPr>
              <w:t>and December 31, 2020, respectively</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9,865,186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38,113</w:t>
            </w:r>
          </w:p>
        </w:tc>
        <w:tc>
          <w:tcPr>
            <w:tcW w:w="0" w:type="dxa"/>
            <w:vAlign w:val="bottom"/>
          </w:tcPr>
          <w:p>
            <w:pPr>
              <w:spacing w:after="0"/>
              <w:rPr>
                <w:sz w:val="1"/>
                <w:szCs w:val="1"/>
                <w:color w:val="auto"/>
              </w:rPr>
            </w:pPr>
          </w:p>
        </w:tc>
      </w:tr>
      <w:tr>
        <w:trPr>
          <w:trHeight w:val="216"/>
        </w:trPr>
        <w:tc>
          <w:tcPr>
            <w:tcW w:w="8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Accumulated deficit</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(5,020,192)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(1,356,893)</w:t>
            </w:r>
          </w:p>
        </w:tc>
        <w:tc>
          <w:tcPr>
            <w:tcW w:w="0" w:type="dxa"/>
            <w:vAlign w:val="bottom"/>
          </w:tcPr>
          <w:p>
            <w:pPr>
              <w:spacing w:after="0"/>
              <w:rPr>
                <w:sz w:val="1"/>
                <w:szCs w:val="1"/>
                <w:color w:val="auto"/>
              </w:rPr>
            </w:pPr>
          </w:p>
        </w:tc>
      </w:tr>
      <w:tr>
        <w:trPr>
          <w:trHeight w:val="210"/>
        </w:trPr>
        <w:tc>
          <w:tcPr>
            <w:tcW w:w="8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Total stockholders' equity (deficit)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4,845,158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(1,318,777)</w:t>
            </w:r>
          </w:p>
        </w:tc>
        <w:tc>
          <w:tcPr>
            <w:tcW w:w="0" w:type="dxa"/>
            <w:vAlign w:val="bottom"/>
          </w:tcPr>
          <w:p>
            <w:pPr>
              <w:spacing w:after="0"/>
              <w:rPr>
                <w:sz w:val="1"/>
                <w:szCs w:val="1"/>
                <w:color w:val="auto"/>
              </w:rPr>
            </w:pPr>
          </w:p>
        </w:tc>
      </w:tr>
      <w:tr>
        <w:trPr>
          <w:trHeight w:val="210"/>
        </w:trPr>
        <w:tc>
          <w:tcPr>
            <w:tcW w:w="880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LIABILITIES, CONVERTIBLE PREFERRED STOCK AND STOCKHOLDERS’ EQUITY (DEFICIT)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6,139,184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1,402,681</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7"/>
                <w:szCs w:val="17"/>
                <w:color w:val="auto"/>
              </w:rPr>
            </w:pPr>
          </w:p>
        </w:tc>
        <w:tc>
          <w:tcPr>
            <w:tcW w:w="22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6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9"/>
                <w:szCs w:val="19"/>
                <w:color w:val="auto"/>
              </w:rPr>
            </w:pPr>
          </w:p>
        </w:tc>
        <w:tc>
          <w:tcPr>
            <w:tcW w:w="22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341,589</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251,554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455,478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57,719</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493,962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1,042,057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399,308</w:t>
            </w:r>
          </w:p>
        </w:tc>
        <w:tc>
          <w:tcPr>
            <w:tcW w:w="0" w:type="dxa"/>
            <w:vAlign w:val="bottom"/>
          </w:tcPr>
          <w:p>
            <w:pPr>
              <w:spacing w:after="0"/>
              <w:rPr>
                <w:sz w:val="1"/>
                <w:szCs w:val="1"/>
                <w:color w:val="auto"/>
              </w:rPr>
            </w:pPr>
          </w:p>
        </w:tc>
      </w:tr>
      <w:tr>
        <w:trPr>
          <w:trHeight w:val="223"/>
        </w:trPr>
        <w:tc>
          <w:tcPr>
            <w:tcW w:w="6300" w:type="dxa"/>
            <w:vAlign w:val="bottom"/>
          </w:tcPr>
          <w:p>
            <w:pPr>
              <w:ind w:left="46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(497,050)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(1,044,762)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(399,516)</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Change in fair value of forward contracts</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(454,546)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(8,719)</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Change in fair value of common stock warrant liability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expensed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(489,288)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before provision for (benefit from) income taxes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(1,534,050)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(408,350)</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and comprehensive loss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(1,534,081)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(408,105)</w:t>
            </w:r>
          </w:p>
        </w:tc>
        <w:tc>
          <w:tcPr>
            <w:tcW w:w="0" w:type="dxa"/>
            <w:vAlign w:val="bottom"/>
          </w:tcPr>
          <w:p>
            <w:pPr>
              <w:spacing w:after="0"/>
              <w:rPr>
                <w:sz w:val="1"/>
                <w:szCs w:val="1"/>
                <w:color w:val="auto"/>
              </w:rPr>
            </w:pP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w w:val="96"/>
              </w:rPr>
              <w:t>Deemed dividend related to the issuance of Series E convertible preferred stock</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(2,167,332)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(3,701,413)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(408,105)</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89"/>
              </w:rPr>
              <w:t>Weighted average shares outstanding used in computing net loss per share attributable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300" w:type="dxa"/>
            <w:vAlign w:val="bottom"/>
            <w:vMerge w:val="continue"/>
          </w:tcPr>
          <w:p>
            <w:pPr>
              <w:spacing w:after="0"/>
              <w:rPr>
                <w:sz w:val="10"/>
                <w:szCs w:val="10"/>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1,217,032,285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7"/>
              </w:rPr>
              <w:t>24,279,817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93"/>
              </w:rPr>
              <w:t>432,654,607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7"/>
              </w:rPr>
              <w:t>20,889,062</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 common stockholders, basic and diluted</w:t>
            </w:r>
          </w:p>
        </w:tc>
        <w:tc>
          <w:tcPr>
            <w:tcW w:w="118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877"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CONVERTIBLE PREFERRED STOCK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3"/>
          </w:tcPr>
          <w:p>
            <w:pPr>
              <w:jc w:val="center"/>
              <w:ind w:left="631"/>
              <w:spacing w:after="0"/>
              <w:rPr>
                <w:sz w:val="20"/>
                <w:szCs w:val="20"/>
                <w:color w:val="auto"/>
              </w:rPr>
            </w:pPr>
            <w:r>
              <w:rPr>
                <w:rFonts w:ascii="Arial" w:cs="Arial" w:eastAsia="Arial" w:hAnsi="Arial"/>
                <w:sz w:val="13"/>
                <w:szCs w:val="13"/>
                <w:b w:val="1"/>
                <w:bCs w:val="1"/>
                <w:color w:val="auto"/>
                <w:w w:val="89"/>
              </w:rPr>
              <w:t>Convertible</w:t>
            </w:r>
          </w:p>
        </w:tc>
        <w:tc>
          <w:tcPr>
            <w:tcW w:w="7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gridSpan w:val="5"/>
            <w:vMerge w:val="restart"/>
          </w:tcPr>
          <w:p>
            <w:pPr>
              <w:ind w:left="60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center"/>
              <w:ind w:right="52"/>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right w:val="single" w:sz="8" w:color="auto"/>
            </w:tcBorders>
            <w:gridSpan w:val="5"/>
          </w:tcPr>
          <w:p>
            <w:pPr>
              <w:jc w:val="center"/>
              <w:ind w:right="14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0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2021</w:t>
            </w: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94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4"/>
                <w:szCs w:val="4"/>
                <w:color w:val="auto"/>
              </w:rPr>
            </w:pPr>
          </w:p>
        </w:tc>
        <w:tc>
          <w:tcPr>
            <w:tcW w:w="880" w:type="dxa"/>
            <w:vAlign w:val="bottom"/>
            <w:vMerge w:val="restart"/>
          </w:tcPr>
          <w:p>
            <w:pPr>
              <w:jc w:val="center"/>
              <w:ind w:right="52"/>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37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260" w:type="dxa"/>
            <w:vAlign w:val="bottom"/>
          </w:tcPr>
          <w:p>
            <w:pPr>
              <w:spacing w:after="0" w:line="20" w:lineRule="exact"/>
              <w:rPr>
                <w:sz w:val="1"/>
                <w:szCs w:val="1"/>
                <w:color w:val="auto"/>
              </w:rPr>
            </w:pPr>
          </w:p>
        </w:tc>
        <w:tc>
          <w:tcPr>
            <w:tcW w:w="8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80" w:type="dxa"/>
            <w:vAlign w:val="bottom"/>
          </w:tcPr>
          <w:p>
            <w:pPr>
              <w:spacing w:after="0" w:line="20" w:lineRule="exact"/>
              <w:rPr>
                <w:sz w:val="1"/>
                <w:szCs w:val="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Deficit</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183"/>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1,155,909,367</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5,836,785</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36,799,150</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26,613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(4,495,789)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(4,469,172)</w:t>
            </w:r>
          </w:p>
        </w:tc>
        <w:tc>
          <w:tcPr>
            <w:tcW w:w="0" w:type="dxa"/>
            <w:vAlign w:val="bottom"/>
          </w:tcPr>
          <w:p>
            <w:pPr>
              <w:spacing w:after="0"/>
              <w:rPr>
                <w:sz w:val="1"/>
                <w:szCs w:val="1"/>
                <w:color w:val="auto"/>
              </w:rPr>
            </w:pPr>
          </w:p>
        </w:tc>
      </w:tr>
      <w:tr>
        <w:trPr>
          <w:trHeight w:val="186"/>
        </w:trPr>
        <w:tc>
          <w:tcPr>
            <w:tcW w:w="3720" w:type="dxa"/>
            <w:vAlign w:val="bottom"/>
            <w:gridSpan w:val="3"/>
          </w:tcPr>
          <w:p>
            <w:pPr>
              <w:ind w:left="140"/>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(524,403)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(524,403)</w:t>
            </w:r>
          </w:p>
        </w:tc>
        <w:tc>
          <w:tcPr>
            <w:tcW w:w="0" w:type="dxa"/>
            <w:vAlign w:val="bottom"/>
          </w:tcPr>
          <w:p>
            <w:pPr>
              <w:spacing w:after="0"/>
              <w:rPr>
                <w:sz w:val="1"/>
                <w:szCs w:val="1"/>
                <w:color w:val="auto"/>
              </w:rPr>
            </w:pPr>
          </w:p>
        </w:tc>
      </w:tr>
      <w:tr>
        <w:trPr>
          <w:trHeight w:val="138"/>
        </w:trPr>
        <w:tc>
          <w:tcPr>
            <w:tcW w:w="3720" w:type="dxa"/>
            <w:vAlign w:val="bottom"/>
            <w:gridSpan w:val="3"/>
            <w:shd w:val="clear" w:color="auto" w:fill="CCEEFF"/>
          </w:tcPr>
          <w:p>
            <w:pPr>
              <w:ind w:left="140"/>
              <w:spacing w:after="0" w:line="139" w:lineRule="exact"/>
              <w:rPr>
                <w:sz w:val="20"/>
                <w:szCs w:val="20"/>
                <w:color w:val="auto"/>
              </w:rPr>
            </w:pPr>
            <w:r>
              <w:rPr>
                <w:rFonts w:ascii="Arial" w:cs="Arial" w:eastAsia="Arial" w:hAnsi="Arial"/>
                <w:sz w:val="14"/>
                <w:szCs w:val="14"/>
                <w:color w:val="auto"/>
              </w:rPr>
              <w:t>Conversion of convertible preferred stock into common</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(1,155,909,367)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4"/>
              </w:rPr>
              <w:t>(5,836,785)</w:t>
            </w: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1,155,909,367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5,836,669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5,836,785</w:t>
            </w:r>
          </w:p>
        </w:tc>
        <w:tc>
          <w:tcPr>
            <w:tcW w:w="0" w:type="dxa"/>
            <w:vAlign w:val="bottom"/>
          </w:tcPr>
          <w:p>
            <w:pPr>
              <w:spacing w:after="0"/>
              <w:rPr>
                <w:sz w:val="1"/>
                <w:szCs w:val="1"/>
                <w:color w:val="auto"/>
              </w:rPr>
            </w:pPr>
          </w:p>
        </w:tc>
      </w:tr>
      <w:tr>
        <w:trPr>
          <w:trHeight w:val="189"/>
        </w:trPr>
        <w:tc>
          <w:tcPr>
            <w:tcW w:w="37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stock in connection with the reverse recapitalization</w:t>
            </w: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20" w:type="dxa"/>
            <w:vAlign w:val="bottom"/>
            <w:gridSpan w:val="3"/>
          </w:tcPr>
          <w:p>
            <w:pPr>
              <w:ind w:left="140"/>
              <w:spacing w:after="0" w:line="135" w:lineRule="exact"/>
              <w:rPr>
                <w:sz w:val="20"/>
                <w:szCs w:val="20"/>
                <w:color w:val="auto"/>
              </w:rPr>
            </w:pPr>
            <w:r>
              <w:rPr>
                <w:rFonts w:ascii="Arial" w:cs="Arial" w:eastAsia="Arial" w:hAnsi="Arial"/>
                <w:sz w:val="14"/>
                <w:szCs w:val="14"/>
                <w:color w:val="auto"/>
              </w:rPr>
              <w:t>Issuance of common stock and common stock warrants</w:t>
            </w:r>
          </w:p>
        </w:tc>
        <w:tc>
          <w:tcPr>
            <w:tcW w:w="2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425,395,023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3,590,914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3,590,956</w:t>
            </w:r>
          </w:p>
        </w:tc>
        <w:tc>
          <w:tcPr>
            <w:tcW w:w="0" w:type="dxa"/>
            <w:vAlign w:val="bottom"/>
          </w:tcPr>
          <w:p>
            <w:pPr>
              <w:spacing w:after="0"/>
              <w:rPr>
                <w:sz w:val="1"/>
                <w:szCs w:val="1"/>
                <w:color w:val="auto"/>
              </w:rPr>
            </w:pPr>
          </w:p>
        </w:tc>
      </w:tr>
      <w:tr>
        <w:trPr>
          <w:trHeight w:val="186"/>
        </w:trPr>
        <w:tc>
          <w:tcPr>
            <w:tcW w:w="3720" w:type="dxa"/>
            <w:vAlign w:val="bottom"/>
            <w:gridSpan w:val="3"/>
          </w:tcPr>
          <w:p>
            <w:pPr>
              <w:ind w:left="140"/>
              <w:spacing w:after="0"/>
              <w:rPr>
                <w:sz w:val="20"/>
                <w:szCs w:val="20"/>
                <w:color w:val="auto"/>
              </w:rPr>
            </w:pPr>
            <w:r>
              <w:rPr>
                <w:rFonts w:ascii="Arial" w:cs="Arial" w:eastAsia="Arial" w:hAnsi="Arial"/>
                <w:sz w:val="14"/>
                <w:szCs w:val="14"/>
                <w:color w:val="auto"/>
              </w:rPr>
              <w:t>upon the reverse recapitalization, net of issuance costs</w:t>
            </w:r>
          </w:p>
        </w:tc>
        <w:tc>
          <w:tcPr>
            <w:tcW w:w="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20" w:type="dxa"/>
            <w:vAlign w:val="bottom"/>
            <w:gridSpan w:val="3"/>
            <w:shd w:val="clear" w:color="auto" w:fill="CCEEFF"/>
          </w:tcPr>
          <w:p>
            <w:pPr>
              <w:ind w:left="140"/>
              <w:spacing w:after="0" w:line="139" w:lineRule="exact"/>
              <w:rPr>
                <w:sz w:val="20"/>
                <w:szCs w:val="20"/>
                <w:color w:val="auto"/>
              </w:rPr>
            </w:pPr>
            <w:r>
              <w:rPr>
                <w:rFonts w:ascii="Arial" w:cs="Arial" w:eastAsia="Arial" w:hAnsi="Arial"/>
                <w:sz w:val="14"/>
                <w:szCs w:val="14"/>
                <w:color w:val="auto"/>
                <w:w w:val="97"/>
              </w:rPr>
              <w:t>Issuance of common stock upon exercise of common stock</w:t>
            </w:r>
          </w:p>
        </w:tc>
        <w:tc>
          <w:tcPr>
            <w:tcW w:w="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22,651,424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173,271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173,273</w:t>
            </w:r>
          </w:p>
        </w:tc>
        <w:tc>
          <w:tcPr>
            <w:tcW w:w="0" w:type="dxa"/>
            <w:vAlign w:val="bottom"/>
          </w:tcPr>
          <w:p>
            <w:pPr>
              <w:spacing w:after="0"/>
              <w:rPr>
                <w:sz w:val="1"/>
                <w:szCs w:val="1"/>
                <w:color w:val="auto"/>
              </w:rPr>
            </w:pPr>
          </w:p>
        </w:tc>
      </w:tr>
      <w:tr>
        <w:trPr>
          <w:trHeight w:val="189"/>
        </w:trPr>
        <w:tc>
          <w:tcPr>
            <w:tcW w:w="37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warrants</w:t>
            </w:r>
          </w:p>
        </w:tc>
        <w:tc>
          <w:tcPr>
            <w:tcW w:w="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20" w:type="dxa"/>
            <w:vAlign w:val="bottom"/>
            <w:gridSpan w:val="3"/>
          </w:tcPr>
          <w:p>
            <w:pPr>
              <w:ind w:left="140"/>
              <w:spacing w:after="0"/>
              <w:rPr>
                <w:sz w:val="20"/>
                <w:szCs w:val="20"/>
                <w:color w:val="auto"/>
              </w:rPr>
            </w:pPr>
            <w:r>
              <w:rPr>
                <w:rFonts w:ascii="Arial" w:cs="Arial" w:eastAsia="Arial" w:hAnsi="Arial"/>
                <w:sz w:val="14"/>
                <w:szCs w:val="14"/>
                <w:color w:val="auto"/>
                <w:w w:val="99"/>
              </w:rPr>
              <w:t>Issuance of common stock upon exercise of stock options</w:t>
            </w:r>
          </w:p>
        </w:tc>
        <w:tc>
          <w:tcPr>
            <w:tcW w:w="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887,852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92"/>
        </w:trPr>
        <w:tc>
          <w:tcPr>
            <w:tcW w:w="37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236,957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236,957</w:t>
            </w:r>
          </w:p>
        </w:tc>
        <w:tc>
          <w:tcPr>
            <w:tcW w:w="0" w:type="dxa"/>
            <w:vAlign w:val="bottom"/>
          </w:tcPr>
          <w:p>
            <w:pPr>
              <w:spacing w:after="0"/>
              <w:rPr>
                <w:sz w:val="1"/>
                <w:szCs w:val="1"/>
                <w:color w:val="auto"/>
              </w:rPr>
            </w:pPr>
          </w:p>
        </w:tc>
      </w:tr>
      <w:tr>
        <w:trPr>
          <w:trHeight w:val="223"/>
        </w:trPr>
        <w:tc>
          <w:tcPr>
            <w:tcW w:w="372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as of September 30, 2021</w:t>
            </w:r>
          </w:p>
        </w:tc>
        <w:tc>
          <w:tcPr>
            <w:tcW w:w="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1,641,642,816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9,865,186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(5,020,192)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4,845,158</w:t>
            </w:r>
          </w:p>
        </w:tc>
        <w:tc>
          <w:tcPr>
            <w:tcW w:w="0" w:type="dxa"/>
            <w:vAlign w:val="bottom"/>
          </w:tcPr>
          <w:p>
            <w:pPr>
              <w:spacing w:after="0"/>
              <w:rPr>
                <w:sz w:val="1"/>
                <w:szCs w:val="1"/>
                <w:color w:val="auto"/>
              </w:rPr>
            </w:pPr>
          </w:p>
        </w:tc>
      </w:tr>
      <w:tr>
        <w:trPr>
          <w:trHeight w:val="561"/>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3"/>
            <w:vMerge w:val="restart"/>
          </w:tcPr>
          <w:p>
            <w:pPr>
              <w:jc w:val="center"/>
              <w:ind w:left="631"/>
              <w:spacing w:after="0"/>
              <w:rPr>
                <w:sz w:val="20"/>
                <w:szCs w:val="20"/>
                <w:color w:val="auto"/>
              </w:rPr>
            </w:pPr>
            <w:r>
              <w:rPr>
                <w:rFonts w:ascii="Arial" w:cs="Arial" w:eastAsia="Arial" w:hAnsi="Arial"/>
                <w:sz w:val="13"/>
                <w:szCs w:val="13"/>
                <w:b w:val="1"/>
                <w:bCs w:val="1"/>
                <w:color w:val="auto"/>
                <w:w w:val="89"/>
              </w:rPr>
              <w:t>Convertible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5"/>
            <w:vMerge w:val="restart"/>
          </w:tcPr>
          <w:p>
            <w:pPr>
              <w:ind w:left="60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24"/>
                <w:szCs w:val="2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center"/>
              <w:ind w:right="52"/>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right w:val="single" w:sz="8" w:color="auto"/>
            </w:tcBorders>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0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2020</w:t>
            </w:r>
          </w:p>
        </w:tc>
        <w:tc>
          <w:tcPr>
            <w:tcW w:w="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940" w:type="dxa"/>
            <w:vAlign w:val="bottom"/>
            <w:gridSpan w:val="2"/>
          </w:tcPr>
          <w:p>
            <w:pPr>
              <w:jc w:val="center"/>
              <w:ind w:right="180"/>
              <w:spacing w:after="0" w:line="54" w:lineRule="exact"/>
              <w:rPr>
                <w:sz w:val="20"/>
                <w:szCs w:val="20"/>
                <w:color w:val="auto"/>
              </w:rPr>
            </w:pPr>
            <w:r>
              <w:rPr>
                <w:rFonts w:ascii="Arial" w:cs="Arial" w:eastAsia="Arial" w:hAnsi="Arial"/>
                <w:sz w:val="6"/>
                <w:szCs w:val="6"/>
                <w:b w:val="1"/>
                <w:bCs w:val="1"/>
                <w:color w:val="auto"/>
              </w:rPr>
              <w:t>Accumulated</w:t>
            </w:r>
          </w:p>
        </w:tc>
        <w:tc>
          <w:tcPr>
            <w:tcW w:w="120" w:type="dxa"/>
            <w:vAlign w:val="bottom"/>
          </w:tcPr>
          <w:p>
            <w:pPr>
              <w:spacing w:after="0"/>
              <w:rPr>
                <w:sz w:val="4"/>
                <w:szCs w:val="4"/>
                <w:color w:val="auto"/>
              </w:rPr>
            </w:pPr>
          </w:p>
        </w:tc>
        <w:tc>
          <w:tcPr>
            <w:tcW w:w="880" w:type="dxa"/>
            <w:vAlign w:val="bottom"/>
          </w:tcPr>
          <w:p>
            <w:pPr>
              <w:jc w:val="center"/>
              <w:ind w:right="52"/>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3"/>
        </w:trPr>
        <w:tc>
          <w:tcPr>
            <w:tcW w:w="37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ind w:left="280"/>
              <w:spacing w:after="0" w:line="18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260" w:type="dxa"/>
            <w:vAlign w:val="bottom"/>
          </w:tcPr>
          <w:p>
            <w:pPr>
              <w:spacing w:after="0"/>
              <w:rPr>
                <w:sz w:val="15"/>
                <w:szCs w:val="15"/>
                <w:color w:val="auto"/>
              </w:rPr>
            </w:pPr>
          </w:p>
        </w:tc>
        <w:tc>
          <w:tcPr>
            <w:tcW w:w="82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ind w:left="260"/>
              <w:spacing w:after="0" w:line="18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Deficit</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183"/>
        </w:trPr>
        <w:tc>
          <w:tcPr>
            <w:tcW w:w="3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667,574,747</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1,513,573</w:t>
            </w:r>
          </w:p>
        </w:tc>
        <w:tc>
          <w:tcPr>
            <w:tcW w:w="120" w:type="dxa"/>
            <w:vAlign w:val="bottom"/>
            <w:tcBorders>
              <w:top w:val="single" w:sz="8" w:color="auto"/>
              <w:right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22,842,891</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18,736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(884,381)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(865,643)</w:t>
            </w:r>
          </w:p>
        </w:tc>
        <w:tc>
          <w:tcPr>
            <w:tcW w:w="0" w:type="dxa"/>
            <w:vAlign w:val="bottom"/>
          </w:tcPr>
          <w:p>
            <w:pPr>
              <w:spacing w:after="0"/>
              <w:rPr>
                <w:sz w:val="1"/>
                <w:szCs w:val="1"/>
                <w:color w:val="auto"/>
              </w:rPr>
            </w:pPr>
          </w:p>
        </w:tc>
      </w:tr>
      <w:tr>
        <w:trPr>
          <w:trHeight w:val="186"/>
        </w:trPr>
        <w:tc>
          <w:tcPr>
            <w:tcW w:w="3720" w:type="dxa"/>
            <w:vAlign w:val="bottom"/>
            <w:gridSpan w:val="3"/>
          </w:tcPr>
          <w:p>
            <w:pPr>
              <w:ind w:left="140"/>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(161,237)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(161,237)</w:t>
            </w:r>
          </w:p>
        </w:tc>
        <w:tc>
          <w:tcPr>
            <w:tcW w:w="0" w:type="dxa"/>
            <w:vAlign w:val="bottom"/>
          </w:tcPr>
          <w:p>
            <w:pPr>
              <w:spacing w:after="0"/>
              <w:rPr>
                <w:sz w:val="1"/>
                <w:szCs w:val="1"/>
                <w:color w:val="auto"/>
              </w:rPr>
            </w:pPr>
          </w:p>
        </w:tc>
      </w:tr>
      <w:tr>
        <w:trPr>
          <w:trHeight w:val="192"/>
        </w:trPr>
        <w:tc>
          <w:tcPr>
            <w:tcW w:w="37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Repurchase of Series C convertible preferred stock</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(9,656,589)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(20,398)</w:t>
            </w: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10,537</w:t>
            </w:r>
          </w:p>
        </w:tc>
        <w:tc>
          <w:tcPr>
            <w:tcW w:w="0" w:type="dxa"/>
            <w:vAlign w:val="bottom"/>
          </w:tcPr>
          <w:p>
            <w:pPr>
              <w:spacing w:after="0"/>
              <w:rPr>
                <w:sz w:val="1"/>
                <w:szCs w:val="1"/>
                <w:color w:val="auto"/>
              </w:rPr>
            </w:pPr>
          </w:p>
        </w:tc>
      </w:tr>
      <w:tr>
        <w:trPr>
          <w:trHeight w:val="186"/>
        </w:trPr>
        <w:tc>
          <w:tcPr>
            <w:tcW w:w="3720" w:type="dxa"/>
            <w:vAlign w:val="bottom"/>
            <w:gridSpan w:val="3"/>
          </w:tcPr>
          <w:p>
            <w:pPr>
              <w:ind w:left="140"/>
              <w:spacing w:after="0"/>
              <w:rPr>
                <w:sz w:val="20"/>
                <w:szCs w:val="20"/>
                <w:color w:val="auto"/>
              </w:rPr>
            </w:pPr>
            <w:r>
              <w:rPr>
                <w:rFonts w:ascii="Arial" w:cs="Arial" w:eastAsia="Arial" w:hAnsi="Arial"/>
                <w:sz w:val="14"/>
                <w:szCs w:val="14"/>
                <w:color w:val="auto"/>
              </w:rPr>
              <w:t>Issuance of Series E convertible preferred stock</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167,273,525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498,931</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7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w w:val="99"/>
              </w:rPr>
              <w:t>Issuance of common stock upon exercise of stock options</w:t>
            </w:r>
          </w:p>
        </w:tc>
        <w:tc>
          <w:tcPr>
            <w:tcW w:w="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4,989,779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2,563</w:t>
            </w:r>
          </w:p>
        </w:tc>
        <w:tc>
          <w:tcPr>
            <w:tcW w:w="0" w:type="dxa"/>
            <w:vAlign w:val="bottom"/>
          </w:tcPr>
          <w:p>
            <w:pPr>
              <w:spacing w:after="0"/>
              <w:rPr>
                <w:sz w:val="1"/>
                <w:szCs w:val="1"/>
                <w:color w:val="auto"/>
              </w:rPr>
            </w:pPr>
          </w:p>
        </w:tc>
      </w:tr>
      <w:tr>
        <w:trPr>
          <w:trHeight w:val="186"/>
        </w:trPr>
        <w:tc>
          <w:tcPr>
            <w:tcW w:w="3720" w:type="dxa"/>
            <w:vAlign w:val="bottom"/>
            <w:gridSpan w:val="3"/>
          </w:tcPr>
          <w:p>
            <w:pPr>
              <w:ind w:left="14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211"/>
        </w:trPr>
        <w:tc>
          <w:tcPr>
            <w:tcW w:w="37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825,191,683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1,992,106</w:t>
            </w:r>
          </w:p>
        </w:tc>
        <w:tc>
          <w:tcPr>
            <w:tcW w:w="120" w:type="dxa"/>
            <w:vAlign w:val="bottom"/>
            <w:tcBorders>
              <w:top w:val="single" w:sz="8" w:color="auto"/>
              <w:bottom w:val="single" w:sz="8" w:color="auto"/>
              <w:right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27,832,670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33,111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(1,045,618)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(1,012,504)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firstLine="8"/>
        <w:spacing w:after="0" w:line="300" w:lineRule="auto"/>
        <w:tabs>
          <w:tab w:leader="none" w:pos="132" w:val="left"/>
        </w:tabs>
        <w:numPr>
          <w:ilvl w:val="0"/>
          <w:numId w:val="4"/>
        </w:numPr>
        <w:rPr>
          <w:rFonts w:ascii="Arial" w:cs="Arial" w:eastAsia="Arial" w:hAnsi="Arial"/>
          <w:sz w:val="15"/>
          <w:szCs w:val="15"/>
          <w:color w:val="auto"/>
          <w:vertAlign w:val="superscript"/>
        </w:rPr>
      </w:pPr>
      <w:r>
        <w:rPr>
          <w:rFonts w:ascii="Arial" w:cs="Arial" w:eastAsia="Arial" w:hAnsi="Arial"/>
          <w:sz w:val="11"/>
          <w:szCs w:val="11"/>
          <w:color w:val="auto"/>
        </w:rPr>
        <w:t>The number of shares of convertible preferred stock and common stock issued and outstanding prior to the Merger have been retroactively adjusted by the Exchange Ratio to give effect to the reverse recapitalization treatment of the Merger. See Note 1 - Description of Business and Note 3 - Reverse Capitalization for more information.</w:t>
      </w:r>
    </w:p>
    <w:p>
      <w:pPr>
        <w:sectPr>
          <w:pgSz w:w="11900" w:h="16838" w:orient="portrait"/>
          <w:cols w:equalWidth="0" w:num="1">
            <w:col w:w="11220"/>
          </w:cols>
          <w:pgMar w:left="320" w:top="6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CONVERTIBLE PREFERRED STOCK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EQUITY (DEFICIT)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3"/>
          </w:tcPr>
          <w:p>
            <w:pPr>
              <w:jc w:val="center"/>
              <w:ind w:left="631"/>
              <w:spacing w:after="0"/>
              <w:rPr>
                <w:sz w:val="20"/>
                <w:szCs w:val="20"/>
                <w:color w:val="auto"/>
              </w:rPr>
            </w:pPr>
            <w:r>
              <w:rPr>
                <w:rFonts w:ascii="Arial" w:cs="Arial" w:eastAsia="Arial" w:hAnsi="Arial"/>
                <w:sz w:val="13"/>
                <w:szCs w:val="13"/>
                <w:b w:val="1"/>
                <w:bCs w:val="1"/>
                <w:color w:val="auto"/>
                <w:w w:val="89"/>
              </w:rPr>
              <w:t>Convertible</w:t>
            </w:r>
          </w:p>
        </w:tc>
        <w:tc>
          <w:tcPr>
            <w:tcW w:w="7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gridSpan w:val="5"/>
            <w:vMerge w:val="restart"/>
          </w:tcPr>
          <w:p>
            <w:pPr>
              <w:ind w:left="60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center"/>
              <w:ind w:right="5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right w:val="single" w:sz="8" w:color="auto"/>
            </w:tcBorders>
            <w:gridSpan w:val="5"/>
          </w:tcPr>
          <w:p>
            <w:pPr>
              <w:jc w:val="center"/>
              <w:ind w:right="14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0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94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4"/>
                <w:szCs w:val="4"/>
                <w:color w:val="auto"/>
              </w:rPr>
            </w:pPr>
          </w:p>
        </w:tc>
        <w:tc>
          <w:tcPr>
            <w:tcW w:w="880" w:type="dxa"/>
            <w:vAlign w:val="bottom"/>
            <w:vMerge w:val="restart"/>
          </w:tcPr>
          <w:p>
            <w:pPr>
              <w:jc w:val="center"/>
              <w:ind w:right="50"/>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37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260" w:type="dxa"/>
            <w:vAlign w:val="bottom"/>
          </w:tcPr>
          <w:p>
            <w:pPr>
              <w:spacing w:after="0" w:line="20" w:lineRule="exact"/>
              <w:rPr>
                <w:sz w:val="1"/>
                <w:szCs w:val="1"/>
                <w:color w:val="auto"/>
              </w:rPr>
            </w:pPr>
          </w:p>
        </w:tc>
        <w:tc>
          <w:tcPr>
            <w:tcW w:w="8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80" w:type="dxa"/>
            <w:vAlign w:val="bottom"/>
          </w:tcPr>
          <w:p>
            <w:pPr>
              <w:spacing w:after="0" w:line="20" w:lineRule="exact"/>
              <w:rPr>
                <w:sz w:val="1"/>
                <w:szCs w:val="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Deficit</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183"/>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957,159,704</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2,494,076</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28,791,702</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38,113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(1,356,893)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(1,318,777)</w:t>
            </w:r>
          </w:p>
        </w:tc>
        <w:tc>
          <w:tcPr>
            <w:tcW w:w="0" w:type="dxa"/>
            <w:vAlign w:val="bottom"/>
          </w:tcPr>
          <w:p>
            <w:pPr>
              <w:spacing w:after="0"/>
              <w:rPr>
                <w:sz w:val="1"/>
                <w:szCs w:val="1"/>
                <w:color w:val="auto"/>
              </w:rPr>
            </w:pPr>
          </w:p>
        </w:tc>
      </w:tr>
      <w:tr>
        <w:trPr>
          <w:trHeight w:val="186"/>
        </w:trPr>
        <w:tc>
          <w:tcPr>
            <w:tcW w:w="3720" w:type="dxa"/>
            <w:vAlign w:val="bottom"/>
            <w:gridSpan w:val="3"/>
          </w:tcPr>
          <w:p>
            <w:pPr>
              <w:ind w:left="140"/>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(1,534,081)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(1,534,081)</w:t>
            </w:r>
          </w:p>
        </w:tc>
        <w:tc>
          <w:tcPr>
            <w:tcW w:w="0" w:type="dxa"/>
            <w:vAlign w:val="bottom"/>
          </w:tcPr>
          <w:p>
            <w:pPr>
              <w:spacing w:after="0"/>
              <w:rPr>
                <w:sz w:val="1"/>
                <w:szCs w:val="1"/>
                <w:color w:val="auto"/>
              </w:rPr>
            </w:pPr>
          </w:p>
        </w:tc>
      </w:tr>
      <w:tr>
        <w:trPr>
          <w:trHeight w:val="192"/>
        </w:trPr>
        <w:tc>
          <w:tcPr>
            <w:tcW w:w="37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Repurchase of Series B convertible preferred shares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(3,525,365)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720" w:type="dxa"/>
            <w:vAlign w:val="bottom"/>
            <w:gridSpan w:val="3"/>
          </w:tcPr>
          <w:p>
            <w:pPr>
              <w:ind w:left="140"/>
              <w:spacing w:after="0" w:line="135" w:lineRule="exact"/>
              <w:rPr>
                <w:sz w:val="20"/>
                <w:szCs w:val="20"/>
                <w:color w:val="auto"/>
              </w:rPr>
            </w:pPr>
            <w:r>
              <w:rPr>
                <w:rFonts w:ascii="Arial" w:cs="Arial" w:eastAsia="Arial" w:hAnsi="Arial"/>
                <w:sz w:val="14"/>
                <w:szCs w:val="14"/>
                <w:color w:val="auto"/>
              </w:rPr>
              <w:t>Issuance of Series D convertible preferred stock upon</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1,546,799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12,936</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720" w:type="dxa"/>
            <w:vAlign w:val="bottom"/>
            <w:gridSpan w:val="3"/>
          </w:tcPr>
          <w:p>
            <w:pPr>
              <w:ind w:left="140"/>
              <w:spacing w:after="0"/>
              <w:rPr>
                <w:sz w:val="20"/>
                <w:szCs w:val="20"/>
                <w:color w:val="auto"/>
              </w:rPr>
            </w:pPr>
            <w:r>
              <w:rPr>
                <w:rFonts w:ascii="Arial" w:cs="Arial" w:eastAsia="Arial" w:hAnsi="Arial"/>
                <w:sz w:val="14"/>
                <w:szCs w:val="14"/>
                <w:color w:val="auto"/>
              </w:rPr>
              <w:t>exercise of warrants</w:t>
            </w:r>
          </w:p>
        </w:tc>
        <w:tc>
          <w:tcPr>
            <w:tcW w:w="10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Issuance of Series E convertible preferred stock</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200,728,229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3,206,159</w:t>
            </w: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(22,395)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(2,129,218)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(2,151,613)</w:t>
            </w:r>
          </w:p>
        </w:tc>
        <w:tc>
          <w:tcPr>
            <w:tcW w:w="0" w:type="dxa"/>
            <w:vAlign w:val="bottom"/>
          </w:tcPr>
          <w:p>
            <w:pPr>
              <w:spacing w:after="0"/>
              <w:rPr>
                <w:sz w:val="1"/>
                <w:szCs w:val="1"/>
                <w:color w:val="auto"/>
              </w:rPr>
            </w:pPr>
          </w:p>
        </w:tc>
      </w:tr>
      <w:tr>
        <w:trPr>
          <w:trHeight w:val="135"/>
        </w:trPr>
        <w:tc>
          <w:tcPr>
            <w:tcW w:w="3720" w:type="dxa"/>
            <w:vAlign w:val="bottom"/>
            <w:gridSpan w:val="3"/>
          </w:tcPr>
          <w:p>
            <w:pPr>
              <w:ind w:left="140"/>
              <w:spacing w:after="0" w:line="135" w:lineRule="exact"/>
              <w:rPr>
                <w:sz w:val="20"/>
                <w:szCs w:val="20"/>
                <w:color w:val="auto"/>
              </w:rPr>
            </w:pPr>
            <w:r>
              <w:rPr>
                <w:rFonts w:ascii="Arial" w:cs="Arial" w:eastAsia="Arial" w:hAnsi="Arial"/>
                <w:sz w:val="14"/>
                <w:szCs w:val="14"/>
                <w:color w:val="auto"/>
                <w:w w:val="98"/>
              </w:rPr>
              <w:t>Share-based compensation related to Series E convertible</w:t>
            </w:r>
          </w:p>
        </w:tc>
        <w:tc>
          <w:tcPr>
            <w:tcW w:w="2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123,614</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720" w:type="dxa"/>
            <w:vAlign w:val="bottom"/>
            <w:gridSpan w:val="3"/>
          </w:tcPr>
          <w:p>
            <w:pPr>
              <w:ind w:left="140"/>
              <w:spacing w:after="0"/>
              <w:rPr>
                <w:sz w:val="20"/>
                <w:szCs w:val="20"/>
                <w:color w:val="auto"/>
              </w:rPr>
            </w:pPr>
            <w:r>
              <w:rPr>
                <w:rFonts w:ascii="Arial" w:cs="Arial" w:eastAsia="Arial" w:hAnsi="Arial"/>
                <w:sz w:val="14"/>
                <w:szCs w:val="14"/>
                <w:color w:val="auto"/>
              </w:rPr>
              <w:t>preferred stock</w:t>
            </w:r>
          </w:p>
        </w:tc>
        <w:tc>
          <w:tcPr>
            <w:tcW w:w="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20" w:type="dxa"/>
            <w:vAlign w:val="bottom"/>
            <w:gridSpan w:val="3"/>
            <w:shd w:val="clear" w:color="auto" w:fill="CCEEFF"/>
          </w:tcPr>
          <w:p>
            <w:pPr>
              <w:ind w:left="140"/>
              <w:spacing w:after="0" w:line="139" w:lineRule="exact"/>
              <w:rPr>
                <w:sz w:val="20"/>
                <w:szCs w:val="20"/>
                <w:color w:val="auto"/>
              </w:rPr>
            </w:pPr>
            <w:r>
              <w:rPr>
                <w:rFonts w:ascii="Arial" w:cs="Arial" w:eastAsia="Arial" w:hAnsi="Arial"/>
                <w:sz w:val="14"/>
                <w:szCs w:val="14"/>
                <w:color w:val="auto"/>
              </w:rPr>
              <w:t>Conversion of convertible preferred stock into common</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(1,155,909,367)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4"/>
              </w:rPr>
              <w:t>(5,836,785)</w:t>
            </w: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1,155,909,367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5,836,669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5,836,785</w:t>
            </w:r>
          </w:p>
        </w:tc>
        <w:tc>
          <w:tcPr>
            <w:tcW w:w="0" w:type="dxa"/>
            <w:vAlign w:val="bottom"/>
          </w:tcPr>
          <w:p>
            <w:pPr>
              <w:spacing w:after="0"/>
              <w:rPr>
                <w:sz w:val="1"/>
                <w:szCs w:val="1"/>
                <w:color w:val="auto"/>
              </w:rPr>
            </w:pPr>
          </w:p>
        </w:tc>
      </w:tr>
      <w:tr>
        <w:trPr>
          <w:trHeight w:val="189"/>
        </w:trPr>
        <w:tc>
          <w:tcPr>
            <w:tcW w:w="37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stock in connection with the reverse recapitalization</w:t>
            </w: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20" w:type="dxa"/>
            <w:vAlign w:val="bottom"/>
            <w:gridSpan w:val="3"/>
          </w:tcPr>
          <w:p>
            <w:pPr>
              <w:ind w:left="140"/>
              <w:spacing w:after="0" w:line="135" w:lineRule="exact"/>
              <w:rPr>
                <w:sz w:val="20"/>
                <w:szCs w:val="20"/>
                <w:color w:val="auto"/>
              </w:rPr>
            </w:pPr>
            <w:r>
              <w:rPr>
                <w:rFonts w:ascii="Arial" w:cs="Arial" w:eastAsia="Arial" w:hAnsi="Arial"/>
                <w:sz w:val="14"/>
                <w:szCs w:val="14"/>
                <w:color w:val="auto"/>
              </w:rPr>
              <w:t>Issuance of common stock and common stock warrants</w:t>
            </w:r>
          </w:p>
        </w:tc>
        <w:tc>
          <w:tcPr>
            <w:tcW w:w="2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425,395,023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3,590,914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3,590,956</w:t>
            </w:r>
          </w:p>
        </w:tc>
        <w:tc>
          <w:tcPr>
            <w:tcW w:w="0" w:type="dxa"/>
            <w:vAlign w:val="bottom"/>
          </w:tcPr>
          <w:p>
            <w:pPr>
              <w:spacing w:after="0"/>
              <w:rPr>
                <w:sz w:val="1"/>
                <w:szCs w:val="1"/>
                <w:color w:val="auto"/>
              </w:rPr>
            </w:pPr>
          </w:p>
        </w:tc>
      </w:tr>
      <w:tr>
        <w:trPr>
          <w:trHeight w:val="186"/>
        </w:trPr>
        <w:tc>
          <w:tcPr>
            <w:tcW w:w="3720" w:type="dxa"/>
            <w:vAlign w:val="bottom"/>
            <w:gridSpan w:val="3"/>
          </w:tcPr>
          <w:p>
            <w:pPr>
              <w:ind w:left="140"/>
              <w:spacing w:after="0"/>
              <w:rPr>
                <w:sz w:val="20"/>
                <w:szCs w:val="20"/>
                <w:color w:val="auto"/>
              </w:rPr>
            </w:pPr>
            <w:r>
              <w:rPr>
                <w:rFonts w:ascii="Arial" w:cs="Arial" w:eastAsia="Arial" w:hAnsi="Arial"/>
                <w:sz w:val="14"/>
                <w:szCs w:val="14"/>
                <w:color w:val="auto"/>
              </w:rPr>
              <w:t>upon the reverse recapitalization, net of issuance costs</w:t>
            </w:r>
          </w:p>
        </w:tc>
        <w:tc>
          <w:tcPr>
            <w:tcW w:w="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20" w:type="dxa"/>
            <w:vAlign w:val="bottom"/>
            <w:gridSpan w:val="3"/>
            <w:shd w:val="clear" w:color="auto" w:fill="CCEEFF"/>
          </w:tcPr>
          <w:p>
            <w:pPr>
              <w:ind w:left="140"/>
              <w:spacing w:after="0" w:line="139" w:lineRule="exact"/>
              <w:rPr>
                <w:sz w:val="20"/>
                <w:szCs w:val="20"/>
                <w:color w:val="auto"/>
              </w:rPr>
            </w:pPr>
            <w:r>
              <w:rPr>
                <w:rFonts w:ascii="Arial" w:cs="Arial" w:eastAsia="Arial" w:hAnsi="Arial"/>
                <w:sz w:val="14"/>
                <w:szCs w:val="14"/>
                <w:color w:val="auto"/>
                <w:w w:val="97"/>
              </w:rPr>
              <w:t>Issuance of common stock upon exercise of common stock</w:t>
            </w:r>
          </w:p>
        </w:tc>
        <w:tc>
          <w:tcPr>
            <w:tcW w:w="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22,651,424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173,271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173,273</w:t>
            </w:r>
          </w:p>
        </w:tc>
        <w:tc>
          <w:tcPr>
            <w:tcW w:w="0" w:type="dxa"/>
            <w:vAlign w:val="bottom"/>
          </w:tcPr>
          <w:p>
            <w:pPr>
              <w:spacing w:after="0"/>
              <w:rPr>
                <w:sz w:val="1"/>
                <w:szCs w:val="1"/>
                <w:color w:val="auto"/>
              </w:rPr>
            </w:pPr>
          </w:p>
        </w:tc>
      </w:tr>
      <w:tr>
        <w:trPr>
          <w:trHeight w:val="189"/>
        </w:trPr>
        <w:tc>
          <w:tcPr>
            <w:tcW w:w="37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warrants</w:t>
            </w:r>
          </w:p>
        </w:tc>
        <w:tc>
          <w:tcPr>
            <w:tcW w:w="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20" w:type="dxa"/>
            <w:vAlign w:val="bottom"/>
            <w:gridSpan w:val="3"/>
          </w:tcPr>
          <w:p>
            <w:pPr>
              <w:ind w:left="140"/>
              <w:spacing w:after="0"/>
              <w:rPr>
                <w:sz w:val="20"/>
                <w:szCs w:val="20"/>
                <w:color w:val="auto"/>
              </w:rPr>
            </w:pPr>
            <w:r>
              <w:rPr>
                <w:rFonts w:ascii="Arial" w:cs="Arial" w:eastAsia="Arial" w:hAnsi="Arial"/>
                <w:sz w:val="14"/>
                <w:szCs w:val="14"/>
                <w:color w:val="auto"/>
                <w:w w:val="99"/>
              </w:rPr>
              <w:t>Issuance of common stock upon exercise of stock options</w:t>
            </w:r>
          </w:p>
        </w:tc>
        <w:tc>
          <w:tcPr>
            <w:tcW w:w="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8,895,300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6,029</w:t>
            </w:r>
          </w:p>
        </w:tc>
        <w:tc>
          <w:tcPr>
            <w:tcW w:w="0" w:type="dxa"/>
            <w:vAlign w:val="bottom"/>
          </w:tcPr>
          <w:p>
            <w:pPr>
              <w:spacing w:after="0"/>
              <w:rPr>
                <w:sz w:val="1"/>
                <w:szCs w:val="1"/>
                <w:color w:val="auto"/>
              </w:rPr>
            </w:pPr>
          </w:p>
        </w:tc>
      </w:tr>
      <w:tr>
        <w:trPr>
          <w:trHeight w:val="192"/>
        </w:trPr>
        <w:tc>
          <w:tcPr>
            <w:tcW w:w="37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242,586</w:t>
            </w:r>
          </w:p>
        </w:tc>
        <w:tc>
          <w:tcPr>
            <w:tcW w:w="0" w:type="dxa"/>
            <w:vAlign w:val="bottom"/>
          </w:tcPr>
          <w:p>
            <w:pPr>
              <w:spacing w:after="0"/>
              <w:rPr>
                <w:sz w:val="1"/>
                <w:szCs w:val="1"/>
                <w:color w:val="auto"/>
              </w:rPr>
            </w:pPr>
          </w:p>
        </w:tc>
      </w:tr>
      <w:tr>
        <w:trPr>
          <w:trHeight w:val="223"/>
        </w:trPr>
        <w:tc>
          <w:tcPr>
            <w:tcW w:w="372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as of September 30, 2021</w:t>
            </w:r>
          </w:p>
        </w:tc>
        <w:tc>
          <w:tcPr>
            <w:tcW w:w="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1,641,642,816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9,865,186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(5,020,192)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4,845,158</w:t>
            </w:r>
          </w:p>
        </w:tc>
        <w:tc>
          <w:tcPr>
            <w:tcW w:w="0" w:type="dxa"/>
            <w:vAlign w:val="bottom"/>
          </w:tcPr>
          <w:p>
            <w:pPr>
              <w:spacing w:after="0"/>
              <w:rPr>
                <w:sz w:val="1"/>
                <w:szCs w:val="1"/>
                <w:color w:val="auto"/>
              </w:rPr>
            </w:pPr>
          </w:p>
        </w:tc>
      </w:tr>
      <w:tr>
        <w:trPr>
          <w:trHeight w:val="561"/>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3"/>
            <w:vMerge w:val="restart"/>
          </w:tcPr>
          <w:p>
            <w:pPr>
              <w:jc w:val="center"/>
              <w:ind w:left="631"/>
              <w:spacing w:after="0"/>
              <w:rPr>
                <w:sz w:val="20"/>
                <w:szCs w:val="20"/>
                <w:color w:val="auto"/>
              </w:rPr>
            </w:pPr>
            <w:r>
              <w:rPr>
                <w:rFonts w:ascii="Arial" w:cs="Arial" w:eastAsia="Arial" w:hAnsi="Arial"/>
                <w:sz w:val="13"/>
                <w:szCs w:val="13"/>
                <w:b w:val="1"/>
                <w:bCs w:val="1"/>
                <w:color w:val="auto"/>
                <w:w w:val="89"/>
              </w:rPr>
              <w:t>Convertible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5"/>
            <w:vMerge w:val="restart"/>
          </w:tcPr>
          <w:p>
            <w:pPr>
              <w:ind w:left="60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24"/>
                <w:szCs w:val="2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center"/>
              <w:ind w:right="5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right w:val="single" w:sz="8" w:color="auto"/>
            </w:tcBorders>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0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94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4"/>
                <w:szCs w:val="4"/>
                <w:color w:val="auto"/>
              </w:rPr>
            </w:pPr>
          </w:p>
        </w:tc>
        <w:tc>
          <w:tcPr>
            <w:tcW w:w="880" w:type="dxa"/>
            <w:vAlign w:val="bottom"/>
            <w:vMerge w:val="restart"/>
          </w:tcPr>
          <w:p>
            <w:pPr>
              <w:jc w:val="center"/>
              <w:ind w:right="50"/>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37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260" w:type="dxa"/>
            <w:vAlign w:val="bottom"/>
          </w:tcPr>
          <w:p>
            <w:pPr>
              <w:spacing w:after="0" w:line="20" w:lineRule="exact"/>
              <w:rPr>
                <w:sz w:val="1"/>
                <w:szCs w:val="1"/>
                <w:color w:val="auto"/>
              </w:rPr>
            </w:pPr>
          </w:p>
        </w:tc>
        <w:tc>
          <w:tcPr>
            <w:tcW w:w="8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80" w:type="dxa"/>
            <w:vAlign w:val="bottom"/>
          </w:tcPr>
          <w:p>
            <w:pPr>
              <w:spacing w:after="0" w:line="20" w:lineRule="exact"/>
              <w:rPr>
                <w:sz w:val="1"/>
                <w:szCs w:val="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Deficit</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182"/>
        </w:trPr>
        <w:tc>
          <w:tcPr>
            <w:tcW w:w="3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502,582,534</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1,074,010</w:t>
            </w:r>
          </w:p>
        </w:tc>
        <w:tc>
          <w:tcPr>
            <w:tcW w:w="120" w:type="dxa"/>
            <w:vAlign w:val="bottom"/>
            <w:tcBorders>
              <w:top w:val="single" w:sz="8" w:color="auto"/>
              <w:right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21,288,741</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16,432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(637,513)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(621,079)</w:t>
            </w:r>
          </w:p>
        </w:tc>
        <w:tc>
          <w:tcPr>
            <w:tcW w:w="0" w:type="dxa"/>
            <w:vAlign w:val="bottom"/>
          </w:tcPr>
          <w:p>
            <w:pPr>
              <w:spacing w:after="0"/>
              <w:rPr>
                <w:sz w:val="1"/>
                <w:szCs w:val="1"/>
                <w:color w:val="auto"/>
              </w:rPr>
            </w:pPr>
          </w:p>
        </w:tc>
      </w:tr>
      <w:tr>
        <w:trPr>
          <w:trHeight w:val="186"/>
        </w:trPr>
        <w:tc>
          <w:tcPr>
            <w:tcW w:w="3720" w:type="dxa"/>
            <w:vAlign w:val="bottom"/>
            <w:gridSpan w:val="3"/>
          </w:tcPr>
          <w:p>
            <w:pPr>
              <w:ind w:left="140"/>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(408,105)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(408,105)</w:t>
            </w:r>
          </w:p>
        </w:tc>
        <w:tc>
          <w:tcPr>
            <w:tcW w:w="0" w:type="dxa"/>
            <w:vAlign w:val="bottom"/>
          </w:tcPr>
          <w:p>
            <w:pPr>
              <w:spacing w:after="0"/>
              <w:rPr>
                <w:sz w:val="1"/>
                <w:szCs w:val="1"/>
                <w:color w:val="auto"/>
              </w:rPr>
            </w:pPr>
          </w:p>
        </w:tc>
      </w:tr>
      <w:tr>
        <w:trPr>
          <w:trHeight w:val="192"/>
        </w:trPr>
        <w:tc>
          <w:tcPr>
            <w:tcW w:w="37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Issuance of Series D convertible preferred stock</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164,992,213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720" w:type="dxa"/>
            <w:vAlign w:val="bottom"/>
            <w:gridSpan w:val="3"/>
          </w:tcPr>
          <w:p>
            <w:pPr>
              <w:ind w:left="140"/>
              <w:spacing w:after="0"/>
              <w:rPr>
                <w:sz w:val="20"/>
                <w:szCs w:val="20"/>
                <w:color w:val="auto"/>
              </w:rPr>
            </w:pPr>
            <w:r>
              <w:rPr>
                <w:rFonts w:ascii="Arial" w:cs="Arial" w:eastAsia="Arial" w:hAnsi="Arial"/>
                <w:sz w:val="14"/>
                <w:szCs w:val="14"/>
                <w:color w:val="auto"/>
                <w:w w:val="99"/>
              </w:rPr>
              <w:t>Settlement of Series D contingent forward contract liability</w:t>
            </w:r>
          </w:p>
        </w:tc>
        <w:tc>
          <w:tcPr>
            <w:tcW w:w="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39,563</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7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Repurchase of Series C convertible preferred stock</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(9,656,589)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(20,398)</w:t>
            </w: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10,537</w:t>
            </w:r>
          </w:p>
        </w:tc>
        <w:tc>
          <w:tcPr>
            <w:tcW w:w="0" w:type="dxa"/>
            <w:vAlign w:val="bottom"/>
          </w:tcPr>
          <w:p>
            <w:pPr>
              <w:spacing w:after="0"/>
              <w:rPr>
                <w:sz w:val="1"/>
                <w:szCs w:val="1"/>
                <w:color w:val="auto"/>
              </w:rPr>
            </w:pPr>
          </w:p>
        </w:tc>
      </w:tr>
      <w:tr>
        <w:trPr>
          <w:trHeight w:val="186"/>
        </w:trPr>
        <w:tc>
          <w:tcPr>
            <w:tcW w:w="3720" w:type="dxa"/>
            <w:vAlign w:val="bottom"/>
            <w:gridSpan w:val="3"/>
          </w:tcPr>
          <w:p>
            <w:pPr>
              <w:ind w:left="140"/>
              <w:spacing w:after="0"/>
              <w:rPr>
                <w:sz w:val="20"/>
                <w:szCs w:val="20"/>
                <w:color w:val="auto"/>
              </w:rPr>
            </w:pPr>
            <w:r>
              <w:rPr>
                <w:rFonts w:ascii="Arial" w:cs="Arial" w:eastAsia="Arial" w:hAnsi="Arial"/>
                <w:sz w:val="14"/>
                <w:szCs w:val="14"/>
                <w:color w:val="auto"/>
              </w:rPr>
              <w:t>Issuance of Series E convertible preferred stock</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167,273,525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498,931</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7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w w:val="99"/>
              </w:rPr>
              <w:t>Issuance of common stock upon exercise of stock options</w:t>
            </w:r>
          </w:p>
        </w:tc>
        <w:tc>
          <w:tcPr>
            <w:tcW w:w="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6,543,929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2,886</w:t>
            </w:r>
          </w:p>
        </w:tc>
        <w:tc>
          <w:tcPr>
            <w:tcW w:w="0" w:type="dxa"/>
            <w:vAlign w:val="bottom"/>
          </w:tcPr>
          <w:p>
            <w:pPr>
              <w:spacing w:after="0"/>
              <w:rPr>
                <w:sz w:val="1"/>
                <w:szCs w:val="1"/>
                <w:color w:val="auto"/>
              </w:rPr>
            </w:pPr>
          </w:p>
        </w:tc>
      </w:tr>
      <w:tr>
        <w:trPr>
          <w:trHeight w:val="186"/>
        </w:trPr>
        <w:tc>
          <w:tcPr>
            <w:tcW w:w="3720" w:type="dxa"/>
            <w:vAlign w:val="bottom"/>
            <w:gridSpan w:val="3"/>
          </w:tcPr>
          <w:p>
            <w:pPr>
              <w:ind w:left="14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3,257</w:t>
            </w:r>
          </w:p>
        </w:tc>
        <w:tc>
          <w:tcPr>
            <w:tcW w:w="0" w:type="dxa"/>
            <w:vAlign w:val="bottom"/>
          </w:tcPr>
          <w:p>
            <w:pPr>
              <w:spacing w:after="0"/>
              <w:rPr>
                <w:sz w:val="1"/>
                <w:szCs w:val="1"/>
                <w:color w:val="auto"/>
              </w:rPr>
            </w:pPr>
          </w:p>
        </w:tc>
      </w:tr>
      <w:tr>
        <w:trPr>
          <w:trHeight w:val="211"/>
        </w:trPr>
        <w:tc>
          <w:tcPr>
            <w:tcW w:w="37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825,191,683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1,992,106</w:t>
            </w:r>
          </w:p>
        </w:tc>
        <w:tc>
          <w:tcPr>
            <w:tcW w:w="120" w:type="dxa"/>
            <w:vAlign w:val="bottom"/>
            <w:tcBorders>
              <w:top w:val="single" w:sz="8" w:color="auto"/>
              <w:bottom w:val="single" w:sz="8" w:color="auto"/>
              <w:right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27,832,670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33,111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(1,045,618)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(1,012,504)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100" w:firstLine="8"/>
        <w:spacing w:after="0" w:line="300" w:lineRule="auto"/>
        <w:tabs>
          <w:tab w:leader="none" w:pos="132" w:val="left"/>
        </w:tabs>
        <w:numPr>
          <w:ilvl w:val="0"/>
          <w:numId w:val="5"/>
        </w:numPr>
        <w:rPr>
          <w:rFonts w:ascii="Arial" w:cs="Arial" w:eastAsia="Arial" w:hAnsi="Arial"/>
          <w:sz w:val="15"/>
          <w:szCs w:val="15"/>
          <w:color w:val="auto"/>
          <w:vertAlign w:val="superscript"/>
        </w:rPr>
      </w:pPr>
      <w:r>
        <w:rPr>
          <w:rFonts w:ascii="Arial" w:cs="Arial" w:eastAsia="Arial" w:hAnsi="Arial"/>
          <w:sz w:val="11"/>
          <w:szCs w:val="11"/>
          <w:color w:val="auto"/>
        </w:rPr>
        <w:t>The number of shares of convertible preferred stock and common stock issued and outstanding prior to the Merger have been retroactively adjusted by the Exchange Ratio to give effect to the reverse recapitalization treatment of the Merger. See Note 1 - Description of Business and Note 3 - Reverse Capitalization for more information.</w:t>
      </w:r>
    </w:p>
    <w:p>
      <w:pPr>
        <w:sectPr>
          <w:pgSz w:w="11900" w:h="16838" w:orient="portrait"/>
          <w:cols w:equalWidth="0" w:num="1">
            <w:col w:w="11220"/>
          </w:cols>
          <w:pgMar w:left="320" w:top="6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5"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Nine Months Ended</w:t>
      </w:r>
    </w:p>
    <w:p>
      <w:pPr>
        <w:jc w:val="center"/>
        <w:ind w:left="880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8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r>
      <w:tr>
        <w:trPr>
          <w:trHeight w:val="199"/>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8800" w:type="dxa"/>
            <w:vAlign w:val="bottom"/>
          </w:tcPr>
          <w:p>
            <w:pPr>
              <w:ind w:left="20"/>
              <w:spacing w:after="0"/>
              <w:rPr>
                <w:sz w:val="20"/>
                <w:szCs w:val="20"/>
                <w:color w:val="auto"/>
              </w:rPr>
            </w:pPr>
            <w:r>
              <w:rPr>
                <w:rFonts w:ascii="Arial" w:cs="Arial" w:eastAsia="Arial" w:hAnsi="Arial"/>
                <w:sz w:val="17"/>
                <w:szCs w:val="17"/>
                <w:color w:val="auto"/>
              </w:rPr>
              <w:t>Net loss</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(1,534,081)</w:t>
            </w:r>
          </w:p>
        </w:tc>
        <w:tc>
          <w:tcPr>
            <w:tcW w:w="8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(408,105)</w:t>
            </w: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8800" w:type="dxa"/>
            <w:vAlign w:val="bottom"/>
          </w:tcPr>
          <w:p>
            <w:pPr>
              <w:ind w:left="24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26,621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5,447</w:t>
            </w:r>
          </w:p>
        </w:tc>
      </w:tr>
      <w:tr>
        <w:trPr>
          <w:trHeight w:val="216"/>
        </w:trPr>
        <w:tc>
          <w:tcPr>
            <w:tcW w:w="8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Amortization of insurance premium</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800" w:type="dxa"/>
            <w:vAlign w:val="bottom"/>
          </w:tcPr>
          <w:p>
            <w:pPr>
              <w:ind w:left="240"/>
              <w:spacing w:after="0"/>
              <w:rPr>
                <w:sz w:val="20"/>
                <w:szCs w:val="20"/>
                <w:color w:val="auto"/>
              </w:rPr>
            </w:pPr>
            <w:r>
              <w:rPr>
                <w:rFonts w:ascii="Arial" w:cs="Arial" w:eastAsia="Arial" w:hAnsi="Arial"/>
                <w:sz w:val="17"/>
                <w:szCs w:val="17"/>
                <w:color w:val="auto"/>
              </w:rPr>
              <w:t>Non-cash operating lease cost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8,629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366,200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3,257</w:t>
            </w:r>
          </w:p>
        </w:tc>
      </w:tr>
      <w:tr>
        <w:trPr>
          <w:trHeight w:val="216"/>
        </w:trPr>
        <w:tc>
          <w:tcPr>
            <w:tcW w:w="8800" w:type="dxa"/>
            <w:vAlign w:val="bottom"/>
          </w:tcPr>
          <w:p>
            <w:pPr>
              <w:ind w:left="240"/>
              <w:spacing w:after="0"/>
              <w:rPr>
                <w:sz w:val="20"/>
                <w:szCs w:val="20"/>
                <w:color w:val="auto"/>
              </w:rPr>
            </w:pPr>
            <w:r>
              <w:rPr>
                <w:rFonts w:ascii="Arial" w:cs="Arial" w:eastAsia="Arial" w:hAnsi="Arial"/>
                <w:sz w:val="17"/>
                <w:szCs w:val="17"/>
                <w:color w:val="auto"/>
              </w:rPr>
              <w:t>Loss on disposal of property and equipment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16"/>
        </w:trPr>
        <w:tc>
          <w:tcPr>
            <w:tcW w:w="8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Change in fair value of contingent forward contract liability</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8,719</w:t>
            </w:r>
          </w:p>
        </w:tc>
      </w:tr>
      <w:tr>
        <w:trPr>
          <w:trHeight w:val="216"/>
        </w:trPr>
        <w:tc>
          <w:tcPr>
            <w:tcW w:w="8800" w:type="dxa"/>
            <w:vAlign w:val="bottom"/>
          </w:tcPr>
          <w:p>
            <w:pPr>
              <w:ind w:left="240"/>
              <w:spacing w:after="0"/>
              <w:rPr>
                <w:sz w:val="20"/>
                <w:szCs w:val="20"/>
                <w:color w:val="auto"/>
              </w:rPr>
            </w:pPr>
            <w:r>
              <w:rPr>
                <w:rFonts w:ascii="Arial" w:cs="Arial" w:eastAsia="Arial" w:hAnsi="Arial"/>
                <w:sz w:val="17"/>
                <w:szCs w:val="17"/>
                <w:color w:val="auto"/>
              </w:rPr>
              <w:t>Change in fair value of preferred stock warrant liability</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6,976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30"/>
        </w:trPr>
        <w:tc>
          <w:tcPr>
            <w:tcW w:w="8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common stock warrant liability</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80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216"/>
        </w:trPr>
        <w:tc>
          <w:tcPr>
            <w:tcW w:w="8800" w:type="dxa"/>
            <w:vAlign w:val="bottom"/>
          </w:tcPr>
          <w:p>
            <w:pPr>
              <w:ind w:left="240"/>
              <w:spacing w:after="0"/>
              <w:rPr>
                <w:sz w:val="20"/>
                <w:szCs w:val="20"/>
                <w:color w:val="auto"/>
              </w:rPr>
            </w:pPr>
            <w:r>
              <w:rPr>
                <w:rFonts w:ascii="Arial" w:cs="Arial" w:eastAsia="Arial" w:hAnsi="Arial"/>
                <w:sz w:val="17"/>
                <w:szCs w:val="17"/>
                <w:color w:val="auto"/>
              </w:rPr>
              <w:t>Inventory</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(60,112)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(1,863)</w:t>
            </w:r>
          </w:p>
        </w:tc>
      </w:tr>
      <w:tr>
        <w:trPr>
          <w:trHeight w:val="230"/>
        </w:trPr>
        <w:tc>
          <w:tcPr>
            <w:tcW w:w="8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Financed insurance premium</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tcPr>
          <w:p>
            <w:pPr>
              <w:ind w:left="240"/>
              <w:spacing w:after="0"/>
              <w:rPr>
                <w:sz w:val="20"/>
                <w:szCs w:val="20"/>
                <w:color w:val="auto"/>
              </w:rPr>
            </w:pPr>
            <w:r>
              <w:rPr>
                <w:rFonts w:ascii="Arial" w:cs="Arial" w:eastAsia="Arial" w:hAnsi="Arial"/>
                <w:sz w:val="17"/>
                <w:szCs w:val="17"/>
                <w:color w:val="auto"/>
              </w:rPr>
              <w:t>Prepaid expenses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(23,762)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9,556</w:t>
            </w:r>
          </w:p>
        </w:tc>
      </w:tr>
      <w:tr>
        <w:trPr>
          <w:trHeight w:val="216"/>
        </w:trPr>
        <w:tc>
          <w:tcPr>
            <w:tcW w:w="8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current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3,254</w:t>
            </w:r>
          </w:p>
        </w:tc>
      </w:tr>
      <w:tr>
        <w:trPr>
          <w:trHeight w:val="216"/>
        </w:trPr>
        <w:tc>
          <w:tcPr>
            <w:tcW w:w="8800" w:type="dxa"/>
            <w:vAlign w:val="bottom"/>
          </w:tcPr>
          <w:p>
            <w:pPr>
              <w:ind w:left="240"/>
              <w:spacing w:after="0"/>
              <w:rPr>
                <w:sz w:val="20"/>
                <w:szCs w:val="20"/>
                <w:color w:val="auto"/>
              </w:rPr>
            </w:pPr>
            <w:r>
              <w:rPr>
                <w:rFonts w:ascii="Arial" w:cs="Arial" w:eastAsia="Arial" w:hAnsi="Arial"/>
                <w:sz w:val="17"/>
                <w:szCs w:val="17"/>
                <w:color w:val="auto"/>
              </w:rPr>
              <w:t>Other noncurrent assets and security deposit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(5,861)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(9,324)</w:t>
            </w:r>
          </w:p>
        </w:tc>
      </w:tr>
      <w:tr>
        <w:trPr>
          <w:trHeight w:val="216"/>
        </w:trPr>
        <w:tc>
          <w:tcPr>
            <w:tcW w:w="8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Accounts payable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(30,109)</w:t>
            </w:r>
          </w:p>
        </w:tc>
      </w:tr>
      <w:tr>
        <w:trPr>
          <w:trHeight w:val="216"/>
        </w:trPr>
        <w:tc>
          <w:tcPr>
            <w:tcW w:w="8800" w:type="dxa"/>
            <w:vAlign w:val="bottom"/>
          </w:tcPr>
          <w:p>
            <w:pPr>
              <w:ind w:left="240"/>
              <w:spacing w:after="0"/>
              <w:rPr>
                <w:sz w:val="20"/>
                <w:szCs w:val="20"/>
                <w:color w:val="auto"/>
              </w:rPr>
            </w:pPr>
            <w:r>
              <w:rPr>
                <w:rFonts w:ascii="Arial" w:cs="Arial" w:eastAsia="Arial" w:hAnsi="Arial"/>
                <w:sz w:val="17"/>
                <w:szCs w:val="17"/>
                <w:color w:val="auto"/>
              </w:rPr>
              <w:t>Accrued compensation</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12,752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8,880</w:t>
            </w:r>
          </w:p>
        </w:tc>
      </w:tr>
      <w:tr>
        <w:trPr>
          <w:trHeight w:val="216"/>
        </w:trPr>
        <w:tc>
          <w:tcPr>
            <w:tcW w:w="8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Operating lease liability</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8800" w:type="dxa"/>
            <w:vAlign w:val="bottom"/>
          </w:tcPr>
          <w:p>
            <w:pPr>
              <w:ind w:left="240"/>
              <w:spacing w:after="0"/>
              <w:rPr>
                <w:sz w:val="20"/>
                <w:szCs w:val="20"/>
                <w:color w:val="auto"/>
              </w:rPr>
            </w:pPr>
            <w:r>
              <w:rPr>
                <w:rFonts w:ascii="Arial" w:cs="Arial" w:eastAsia="Arial" w:hAnsi="Arial"/>
                <w:sz w:val="17"/>
                <w:szCs w:val="17"/>
                <w:color w:val="auto"/>
              </w:rPr>
              <w:t>Other liabilities and accrued liabilities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22,732</w:t>
            </w:r>
          </w:p>
        </w:tc>
      </w:tr>
      <w:tr>
        <w:trPr>
          <w:trHeight w:val="230"/>
        </w:trPr>
        <w:tc>
          <w:tcPr>
            <w:tcW w:w="8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w:t>
            </w:r>
          </w:p>
        </w:tc>
      </w:tr>
      <w:tr>
        <w:trPr>
          <w:trHeight w:val="223"/>
        </w:trPr>
        <w:tc>
          <w:tcPr>
            <w:tcW w:w="8800" w:type="dxa"/>
            <w:vAlign w:val="bottom"/>
            <w:tcBorders>
              <w:bottom w:val="single" w:sz="8" w:color="CCEEFF"/>
            </w:tcBorders>
          </w:tcPr>
          <w:p>
            <w:pPr>
              <w:ind w:left="560"/>
              <w:spacing w:after="0"/>
              <w:rPr>
                <w:sz w:val="20"/>
                <w:szCs w:val="20"/>
                <w:color w:val="auto"/>
              </w:rPr>
            </w:pPr>
            <w:r>
              <w:rPr>
                <w:rFonts w:ascii="Arial" w:cs="Arial" w:eastAsia="Arial" w:hAnsi="Arial"/>
                <w:sz w:val="17"/>
                <w:szCs w:val="17"/>
                <w:color w:val="auto"/>
              </w:rPr>
              <w:t>Net cash used in operating activities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(745,401)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(377,407)</w:t>
            </w:r>
          </w:p>
        </w:tc>
      </w:tr>
      <w:tr>
        <w:trPr>
          <w:trHeight w:val="196"/>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8800" w:type="dxa"/>
            <w:vAlign w:val="bottom"/>
          </w:tcPr>
          <w:p>
            <w:pPr>
              <w:ind w:left="240"/>
              <w:spacing w:after="0"/>
              <w:rPr>
                <w:sz w:val="20"/>
                <w:szCs w:val="20"/>
                <w:color w:val="auto"/>
              </w:rPr>
            </w:pPr>
            <w:r>
              <w:rPr>
                <w:rFonts w:ascii="Arial" w:cs="Arial" w:eastAsia="Arial" w:hAnsi="Arial"/>
                <w:sz w:val="17"/>
                <w:szCs w:val="17"/>
                <w:color w:val="auto"/>
              </w:rPr>
              <w:t>Purchases of property, equipment, and software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(299,313)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(355,860)</w:t>
            </w:r>
          </w:p>
        </w:tc>
      </w:tr>
      <w:tr>
        <w:trPr>
          <w:trHeight w:val="216"/>
        </w:trPr>
        <w:tc>
          <w:tcPr>
            <w:tcW w:w="8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Proceed from sale of property, equipment, and software</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800" w:type="dxa"/>
            <w:vAlign w:val="bottom"/>
          </w:tcPr>
          <w:p>
            <w:pPr>
              <w:ind w:left="560"/>
              <w:spacing w:after="0"/>
              <w:rPr>
                <w:sz w:val="20"/>
                <w:szCs w:val="20"/>
                <w:color w:val="auto"/>
              </w:rPr>
            </w:pPr>
            <w:r>
              <w:rPr>
                <w:rFonts w:ascii="Arial" w:cs="Arial" w:eastAsia="Arial" w:hAnsi="Arial"/>
                <w:sz w:val="17"/>
                <w:szCs w:val="17"/>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(299,294)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(355,860)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877" w:right="3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3"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Nine Months Ended</w:t>
      </w:r>
    </w:p>
    <w:p>
      <w:pPr>
        <w:jc w:val="center"/>
        <w:ind w:left="880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8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6"/>
        </w:trPr>
        <w:tc>
          <w:tcPr>
            <w:tcW w:w="8800" w:type="dxa"/>
            <w:vAlign w:val="bottom"/>
          </w:tcPr>
          <w:p>
            <w:pPr>
              <w:ind w:left="140"/>
              <w:spacing w:after="0"/>
              <w:rPr>
                <w:sz w:val="20"/>
                <w:szCs w:val="20"/>
                <w:color w:val="auto"/>
              </w:rPr>
            </w:pPr>
            <w:r>
              <w:rPr>
                <w:rFonts w:ascii="Arial" w:cs="Arial" w:eastAsia="Arial" w:hAnsi="Arial"/>
                <w:sz w:val="17"/>
                <w:szCs w:val="17"/>
                <w:color w:val="auto"/>
              </w:rPr>
              <w:t>Payment for short-term insurance financing note</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(16,819)</w:t>
            </w:r>
          </w:p>
        </w:tc>
        <w:tc>
          <w:tcPr>
            <w:tcW w:w="8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for capital lease liabilities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16"/>
        </w:trPr>
        <w:tc>
          <w:tcPr>
            <w:tcW w:w="8800" w:type="dxa"/>
            <w:vAlign w:val="bottom"/>
          </w:tcPr>
          <w:p>
            <w:pPr>
              <w:ind w:left="140"/>
              <w:spacing w:after="0"/>
              <w:rPr>
                <w:sz w:val="20"/>
                <w:szCs w:val="20"/>
                <w:color w:val="auto"/>
              </w:rPr>
            </w:pPr>
            <w:r>
              <w:rPr>
                <w:rFonts w:ascii="Arial" w:cs="Arial" w:eastAsia="Arial" w:hAnsi="Arial"/>
                <w:sz w:val="17"/>
                <w:szCs w:val="17"/>
                <w:color w:val="auto"/>
              </w:rPr>
              <w:t>Payment for finance lease liabilities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short-term insurance financing note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800" w:type="dxa"/>
            <w:vAlign w:val="bottom"/>
          </w:tcPr>
          <w:p>
            <w:pPr>
              <w:ind w:left="140"/>
              <w:spacing w:after="0"/>
              <w:rPr>
                <w:sz w:val="20"/>
                <w:szCs w:val="20"/>
                <w:color w:val="auto"/>
              </w:rPr>
            </w:pPr>
            <w:r>
              <w:rPr>
                <w:rFonts w:ascii="Arial" w:cs="Arial" w:eastAsia="Arial" w:hAnsi="Arial"/>
                <w:sz w:val="17"/>
                <w:szCs w:val="17"/>
                <w:color w:val="auto"/>
              </w:rPr>
              <w:t>Repurchase of Series B convertible preferred stock</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Repurchase of Series C convertible preferred stock</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(9,861)</w:t>
            </w:r>
          </w:p>
        </w:tc>
      </w:tr>
      <w:tr>
        <w:trPr>
          <w:trHeight w:val="216"/>
        </w:trPr>
        <w:tc>
          <w:tcPr>
            <w:tcW w:w="8800" w:type="dxa"/>
            <w:vAlign w:val="bottom"/>
          </w:tcPr>
          <w:p>
            <w:pPr>
              <w:ind w:left="140"/>
              <w:spacing w:after="0"/>
              <w:rPr>
                <w:sz w:val="20"/>
                <w:szCs w:val="20"/>
                <w:color w:val="auto"/>
              </w:rPr>
            </w:pPr>
            <w:r>
              <w:rPr>
                <w:rFonts w:ascii="Arial" w:cs="Arial" w:eastAsia="Arial" w:hAnsi="Arial"/>
                <w:sz w:val="17"/>
                <w:szCs w:val="17"/>
                <w:color w:val="auto"/>
              </w:rPr>
              <w:t>Proceeds from issuance of Series D convertible preferred stock</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400,000</w:t>
            </w:r>
          </w:p>
        </w:tc>
      </w:tr>
      <w:tr>
        <w:trPr>
          <w:trHeight w:val="216"/>
        </w:trPr>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issuance of Series E convertible preferred stock</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499,724</w:t>
            </w:r>
          </w:p>
        </w:tc>
      </w:tr>
      <w:tr>
        <w:trPr>
          <w:trHeight w:val="216"/>
        </w:trPr>
        <w:tc>
          <w:tcPr>
            <w:tcW w:w="8800" w:type="dxa"/>
            <w:vAlign w:val="bottom"/>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2,886</w:t>
            </w:r>
          </w:p>
        </w:tc>
      </w:tr>
      <w:tr>
        <w:trPr>
          <w:trHeight w:val="216"/>
        </w:trPr>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the exercise of public warrants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800" w:type="dxa"/>
            <w:vAlign w:val="bottom"/>
          </w:tcPr>
          <w:p>
            <w:pPr>
              <w:ind w:left="140"/>
              <w:spacing w:after="0"/>
              <w:rPr>
                <w:sz w:val="20"/>
                <w:szCs w:val="20"/>
                <w:color w:val="auto"/>
              </w:rPr>
            </w:pPr>
            <w:r>
              <w:rPr>
                <w:rFonts w:ascii="Arial" w:cs="Arial" w:eastAsia="Arial" w:hAnsi="Arial"/>
                <w:sz w:val="17"/>
                <w:szCs w:val="17"/>
                <w:color w:val="auto"/>
              </w:rPr>
              <w:t>Proceeds from the reverse recapitalization</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4,439,153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transaction costs related to the reverse recapitalization</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8800" w:type="dxa"/>
            <w:vAlign w:val="bottom"/>
            <w:tcBorders>
              <w:bottom w:val="single" w:sz="8" w:color="CCEEFF"/>
            </w:tcBorders>
          </w:tcPr>
          <w:p>
            <w:pPr>
              <w:ind w:left="560"/>
              <w:spacing w:after="0"/>
              <w:rPr>
                <w:sz w:val="20"/>
                <w:szCs w:val="20"/>
                <w:color w:val="auto"/>
              </w:rPr>
            </w:pPr>
            <w:r>
              <w:rPr>
                <w:rFonts w:ascii="Arial" w:cs="Arial" w:eastAsia="Arial" w:hAnsi="Arial"/>
                <w:sz w:val="17"/>
                <w:szCs w:val="17"/>
                <w:color w:val="auto"/>
              </w:rPr>
              <w:t>Net cash provided by financing activities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5,236,843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892,575</w:t>
            </w:r>
          </w:p>
        </w:tc>
      </w:tr>
      <w:tr>
        <w:trPr>
          <w:trHeight w:val="210"/>
        </w:trPr>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increase in cash, cash equivalents, and restricted cash</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4,192,148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159,308</w:t>
            </w:r>
          </w:p>
        </w:tc>
      </w:tr>
      <w:tr>
        <w:trPr>
          <w:trHeight w:val="216"/>
        </w:trPr>
        <w:tc>
          <w:tcPr>
            <w:tcW w:w="88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Beginning cash, cash equivalents, and restricted cash</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640,418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379,651</w:t>
            </w:r>
          </w:p>
        </w:tc>
      </w:tr>
      <w:tr>
        <w:trPr>
          <w:trHeight w:val="234"/>
        </w:trPr>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Ending cash, cash equivalents, and restricted cash</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4,832,566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538,959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8800" w:type="dxa"/>
            <w:vAlign w:val="bottom"/>
          </w:tcPr>
          <w:p>
            <w:pPr>
              <w:ind w:left="140"/>
              <w:spacing w:after="0"/>
              <w:rPr>
                <w:sz w:val="20"/>
                <w:szCs w:val="20"/>
                <w:color w:val="auto"/>
              </w:rPr>
            </w:pPr>
            <w:r>
              <w:rPr>
                <w:rFonts w:ascii="Arial" w:cs="Arial" w:eastAsia="Arial" w:hAnsi="Arial"/>
                <w:sz w:val="17"/>
                <w:szCs w:val="17"/>
                <w:color w:val="auto"/>
              </w:rPr>
              <w:t>Cash paid for interest</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324</w:t>
            </w:r>
          </w:p>
        </w:tc>
        <w:tc>
          <w:tcPr>
            <w:tcW w:w="8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non-cash investing and financing activity:</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8800" w:type="dxa"/>
            <w:vAlign w:val="bottom"/>
          </w:tcPr>
          <w:p>
            <w:pPr>
              <w:ind w:left="140"/>
              <w:spacing w:after="0"/>
              <w:rPr>
                <w:sz w:val="20"/>
                <w:szCs w:val="20"/>
                <w:color w:val="auto"/>
              </w:rPr>
            </w:pPr>
            <w:r>
              <w:rPr>
                <w:rFonts w:ascii="Arial" w:cs="Arial" w:eastAsia="Arial" w:hAnsi="Arial"/>
                <w:sz w:val="17"/>
                <w:szCs w:val="17"/>
                <w:color w:val="auto"/>
              </w:rPr>
              <w:t>Property and equipment included in accounts payable and accrued expense</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5,756</w:t>
            </w:r>
          </w:p>
        </w:tc>
        <w:tc>
          <w:tcPr>
            <w:tcW w:w="8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81,011</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 and right-of-use assets obtained through leases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tcPr>
          <w:p>
            <w:pPr>
              <w:ind w:left="140"/>
              <w:spacing w:after="0"/>
              <w:rPr>
                <w:sz w:val="20"/>
                <w:szCs w:val="20"/>
                <w:color w:val="auto"/>
              </w:rPr>
            </w:pPr>
            <w:r>
              <w:rPr>
                <w:rFonts w:ascii="Arial" w:cs="Arial" w:eastAsia="Arial" w:hAnsi="Arial"/>
                <w:sz w:val="17"/>
                <w:szCs w:val="17"/>
                <w:color w:val="auto"/>
              </w:rPr>
              <w:t>Issuance of Series D convertible preferred stock upon settlement of contingent forward contracts</w:t>
            </w: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39,563</w:t>
            </w:r>
          </w:p>
        </w:tc>
      </w:tr>
      <w:tr>
        <w:trPr>
          <w:trHeight w:val="216"/>
        </w:trPr>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Issuance of Series D convertible preferred stock upon exercise of preferred stock warrants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800" w:type="dxa"/>
            <w:vAlign w:val="bottom"/>
          </w:tcPr>
          <w:p>
            <w:pPr>
              <w:ind w:left="140"/>
              <w:spacing w:after="0"/>
              <w:rPr>
                <w:sz w:val="20"/>
                <w:szCs w:val="20"/>
                <w:color w:val="auto"/>
              </w:rPr>
            </w:pPr>
            <w:r>
              <w:rPr>
                <w:rFonts w:ascii="Arial" w:cs="Arial" w:eastAsia="Arial" w:hAnsi="Arial"/>
                <w:sz w:val="17"/>
                <w:szCs w:val="17"/>
                <w:color w:val="auto"/>
              </w:rPr>
              <w:t>Issuance of Series E convertible preferred stock contingent forward contracts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2,167,332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793</w:t>
            </w:r>
          </w:p>
        </w:tc>
      </w:tr>
      <w:tr>
        <w:trPr>
          <w:trHeight w:val="216"/>
        </w:trPr>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contribution upon forfeit of Series E awards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800" w:type="dxa"/>
            <w:vAlign w:val="bottom"/>
          </w:tcPr>
          <w:p>
            <w:pPr>
              <w:ind w:left="140"/>
              <w:spacing w:after="0"/>
              <w:rPr>
                <w:sz w:val="20"/>
                <w:szCs w:val="20"/>
                <w:color w:val="auto"/>
              </w:rPr>
            </w:pPr>
            <w:r>
              <w:rPr>
                <w:rFonts w:ascii="Arial" w:cs="Arial" w:eastAsia="Arial" w:hAnsi="Arial"/>
                <w:sz w:val="17"/>
                <w:szCs w:val="17"/>
                <w:color w:val="auto"/>
              </w:rPr>
              <w:t>Issuance of Series E convertible preferred stock upon settlement of contingent forward contracts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2,621,878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Issuance of common stock upon conversion of preferred stock in connection with the reverse recapitalization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5,836,785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8800" w:type="dxa"/>
            <w:vAlign w:val="bottom"/>
          </w:tcPr>
          <w:p>
            <w:pPr>
              <w:ind w:left="140"/>
              <w:spacing w:after="0"/>
              <w:rPr>
                <w:sz w:val="20"/>
                <w:szCs w:val="20"/>
                <w:color w:val="auto"/>
              </w:rPr>
            </w:pPr>
            <w:r>
              <w:rPr>
                <w:rFonts w:ascii="Arial" w:cs="Arial" w:eastAsia="Arial" w:hAnsi="Arial"/>
                <w:sz w:val="17"/>
                <w:szCs w:val="17"/>
                <w:color w:val="auto"/>
              </w:rPr>
              <w:t>Transaction costs related to the reverse recapitalization not yet paid</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34,054</w:t>
            </w:r>
          </w:p>
        </w:tc>
        <w:tc>
          <w:tcPr>
            <w:tcW w:w="8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985"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Lucid Group, Inc. (“Lucid”) is a vertically-integrated technology and automotive company focused on designing, developing, manufacturing, and selling the next generation of electric vehicle (“EV”), EV powertrains and battery systems.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Lucid was originally incorporated in Delaware on April 30, 2020 under the name Churchill Capital Corp IV (formerly known as Annetta Acquisition Corp) (“Churchill”) as a special purpose acquisition company with the purpose of effecting a merger with one or more operating businesses. On February 22, 2021, Churchill entered into a definitive merger agreement (the “Merger Agreement”) with Atieva, Inc. (“Legacy Lucid”) in which Legacy Lucid would become a wholly owned subsidiary of Churchill (the “Merger”). Upon the closing of the Merger on July 23, 2021 (the “Closing”), Churchill was immediately renamed to “Lucid Group, Inc.” The Merger between Churchill and Legacy Lucid was accounted for as a reverse recapitalization. See Note 3 – Reverse Recapitalization for more information.</w:t>
      </w:r>
    </w:p>
    <w:p>
      <w:pPr>
        <w:spacing w:after="0" w:line="18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Throughout the notes to the consolidated financial statements, unless otherwise noted, the “Company,” “we,” “us” or “our” and similar terms refer to Legacy Lucid and its subsidiaries prior to the consummation of the Merger, and Lucid and its subsidiaries after the consummation of the Merger.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devotes its efforts to business planning, research and development, recruiting of management and technical staff, acquiring operating assets, and raising capital.</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From inception through September 30, 2021, the Company has incurred operating losses and negative cash flows from operating activities. For the nine months ended September 30, 2021 and 2020, the Company has incurred operating losses, including net losses of $1.5 billion and $408.1 million, respectively. The Company has an accumulated deficit of $5.0 billion as of September 30, 2021.</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quarter ended June 30, 2021, the Company completed the first phase of the construction of its newly built manufacturing plant in Casa Grande, Arizona (the “Arizona plant”). The Company began commercial production of its first vehicle, the Lucid Air, in September 2021 and delivered its first vehicles in late October 2021. The Company continues to expand the Arizona plant and build-out of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are not identified and confirmed.</w:t>
      </w:r>
    </w:p>
    <w:p>
      <w:pPr>
        <w:spacing w:after="0" w:line="19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Company’s existing sources of liquidity include cash and cash equivalents. Prior to the Merger, the Company historically funded operations primarily with issuances of convertible preferred stock and convertible notes. Upon the completion of the Merger, the Company received $4,400.3 million in cash proceeds, net of transaction costs. The Company believes the Merger eliminated the substantial doubt about the Company’s ability to continue as a going concern within one year after the date of issuance of this quarterly report on Form 10-Q (the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Significant Risks and Uncertainties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its ability to access potential markets, and secure long-term financing.</w:t>
      </w:r>
    </w:p>
    <w:p>
      <w:pPr>
        <w:spacing w:after="0" w:line="19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Company participates in a dynamic high-technology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ectPr>
          <w:pgSz w:w="11900" w:h="16838" w:orient="portrait"/>
          <w:cols w:equalWidth="0" w:num="1">
            <w:col w:w="11200"/>
          </w:cols>
          <w:pgMar w:left="320" w:top="877" w:right="379" w:bottom="1440" w:gutter="0" w:footer="0" w:header="0"/>
        </w:sect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11" w:name="page12"/>
    <w:bookmarkEnd w:id="11"/>
    <w:p>
      <w:pPr>
        <w:ind w:right="200"/>
        <w:spacing w:after="0" w:line="272" w:lineRule="auto"/>
        <w:rPr>
          <w:sz w:val="20"/>
          <w:szCs w:val="20"/>
          <w:color w:val="auto"/>
        </w:rPr>
      </w:pPr>
      <w:r>
        <w:rPr>
          <w:rFonts w:ascii="Arial" w:cs="Arial" w:eastAsia="Arial" w:hAnsi="Arial"/>
          <w:sz w:val="17"/>
          <w:szCs w:val="17"/>
          <w:color w:val="auto"/>
        </w:rPr>
        <w:t>In late 2019, a novel strain of coronavirus (COVID-19) began to affect the population of China and expanded into a worldwide pandemic during 2020, leading to significant business and supply chain disruptions, as well as broad-based changes in supply and demand. The Company’s operations have experienced disruptions, such as temporary closure of its offices, and those of its customers and suppliers, and product research and development. The Company was able to proceed with the construction of the Arizona plant while still meeting all COVID-19 restrictions and required safety measures. The extent of the impact of COVID-19 on the Company’s operational and financial performance will depend on future developments, including the duration and spread of the outbreak. Nevertheless, COVID-19 presents a material uncertainty and risk with respect to the Company, its performance, and its financial results and could adversely affect the Company’s financial position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accompanying unaudited condensed consolidated financial statements included herein have been prepared in accordance with accounting principles generally accepted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w:t>
      </w:r>
      <w:r>
        <w:rPr>
          <w:rFonts w:ascii="Arial" w:cs="Arial" w:eastAsia="Arial" w:hAnsi="Arial"/>
          <w:sz w:val="18"/>
          <w:szCs w:val="18"/>
          <w:color w:val="212529"/>
        </w:rPr>
        <w:t>These unaudited condensed consolidated financial statements</w:t>
      </w:r>
      <w:r>
        <w:rPr>
          <w:rFonts w:ascii="Arial" w:cs="Arial" w:eastAsia="Arial" w:hAnsi="Arial"/>
          <w:sz w:val="18"/>
          <w:szCs w:val="18"/>
          <w:color w:val="auto"/>
        </w:rPr>
        <w:t xml:space="preserve"> </w:t>
      </w:r>
      <w:r>
        <w:rPr>
          <w:rFonts w:ascii="Arial" w:cs="Arial" w:eastAsia="Arial" w:hAnsi="Arial"/>
          <w:sz w:val="18"/>
          <w:szCs w:val="18"/>
          <w:color w:val="212529"/>
        </w:rPr>
        <w:t xml:space="preserve">should be read together with the Company’s audited consolidated financial statements </w:t>
      </w:r>
      <w:r>
        <w:rPr>
          <w:rFonts w:ascii="Arial" w:cs="Arial" w:eastAsia="Arial" w:hAnsi="Arial"/>
          <w:sz w:val="18"/>
          <w:szCs w:val="18"/>
          <w:color w:val="000000"/>
        </w:rPr>
        <w:t>and accompanying notes</w:t>
      </w:r>
      <w:r>
        <w:rPr>
          <w:rFonts w:ascii="Arial" w:cs="Arial" w:eastAsia="Arial" w:hAnsi="Arial"/>
          <w:sz w:val="18"/>
          <w:szCs w:val="18"/>
          <w:color w:val="212529"/>
        </w:rPr>
        <w:t xml:space="preserve"> as of and for the years ended December 31, 2020 and 2019 included in the final prospectus and definitive proxy statement filed on June 25, 2021 with the SEC pursuant to Rule 424(b)(3) under the Securities Act.</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September 30, 2021 and the results of operations for the three and nine months ended September 30, 2021 and 2020. The results of operations for the three and nine months ended September 30, 2021 are not necessarily indicative of the results to be expected for the full year ending December 31, 2021 or any other future interim or annual period.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the determination of the useful lives of property and equipment, fair value of preferred stock warrants, fair value of common stock warrants, fair value of contingent forward contracts liability, valuation of deferred income tax assets and uncertain tax positions, fair value of common stock and other assumptions used to measure stock-based compensation expense, and estimated incremental borrowing rates for assessing operating and financing lease liabilities.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with an original or remaining maturity at the date of purchase of three months or less to be cash equivalents.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cash in the other current assets is comprised primarily of customer reservation payments for electric vehicles and other escrow deposit for building of the Arizona plant. Restricted cash included in other non-current assets is primarily related to letters of credit issued to the landlord for the Company’s headquarter in Newark, California and retail locations, and escrow deposit required under the escrow agreement for the lease with Pinal county, Arizona, related to the Arizona plant.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provides a reconciliation of cash and restricted cash to amounts shown in the statements of cash flows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7"/>
                <w:szCs w:val="17"/>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30"/>
        </w:trPr>
        <w:tc>
          <w:tcPr>
            <w:tcW w:w="55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4,796,880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351,684</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19,767</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cash and restricted cash</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4,832,566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640,418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538,959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379,651</w:t>
            </w:r>
          </w:p>
        </w:tc>
      </w:tr>
      <w:tr>
        <w:trPr>
          <w:trHeight w:val="20"/>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short-term investments, and accounts receivable. The Company places its cash primarily with domestic financial institutions that are federally insured within statutory limits, but at times its deposits may exceed federally insured limits. Further, accounts receivable primarily consists of current trade receivables from a single customer as of September 30, 2021 and December 31, 2020, and the Company’s revenue is primarily from the same customer for each of the three and nine months ended September 30,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243" w:lineRule="exact"/>
        <w:rPr>
          <w:sz w:val="20"/>
          <w:szCs w:val="20"/>
          <w:color w:val="auto"/>
        </w:rPr>
      </w:pPr>
    </w:p>
    <w:p>
      <w:pPr>
        <w:ind w:right="340"/>
        <w:spacing w:after="0" w:line="242" w:lineRule="auto"/>
        <w:rPr>
          <w:sz w:val="20"/>
          <w:szCs w:val="20"/>
          <w:color w:val="auto"/>
        </w:rPr>
      </w:pPr>
      <w:r>
        <w:rPr>
          <w:rFonts w:ascii="Arial" w:cs="Arial" w:eastAsia="Arial" w:hAnsi="Arial"/>
          <w:sz w:val="17"/>
          <w:szCs w:val="17"/>
          <w:color w:val="auto"/>
        </w:rPr>
        <w:t>The Company accounts for warrants for shares of the Company’s common stock that are not indexed to its own stock as liabilities at fair value on the balance sheet. Liability-classified common stock warrants are subject to remeasurement to fair value as of any respective exercise date and as of each subsequent balance sheet date with changes in fair value recorded in the Company’s statement of operations. For issued or modified common stock warrants outstanding that meet all of the criteria for equity classification, the common stock warrants are recorded as a component of additional paid-in capital and are not remeasured to fair value in subsequent reporting periods.</w:t>
      </w:r>
    </w:p>
    <w:p>
      <w:pPr>
        <w:spacing w:after="0" w:line="202"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The Company’s publicly traded common stock warrants (the “public warrants”) are equity-classified instruments because they are deemed indexed to the Company’s own common stock and did not contain any provision that could require net cash settlement unless the holders of the underlying shares would also receive the same form of consideration as the holders of public warrants. The Company’s privately placed common stock warrants (the “private warrants”) are liability-classified instruments because they are not deemed indexed to the Company’s own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24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 xml:space="preserve">As of September 30, 2021, there were no material changes in the other significant accounting policies disclosed in Note 2 of the audited consolidated financial statements as of and for each of the years ended December 31, 2020 and 2019 included in Lucid’s </w:t>
      </w:r>
      <w:r>
        <w:rPr>
          <w:rFonts w:ascii="Arial" w:cs="Arial" w:eastAsia="Arial" w:hAnsi="Arial"/>
          <w:sz w:val="18"/>
          <w:szCs w:val="18"/>
          <w:color w:val="212529"/>
        </w:rPr>
        <w:t>final prospectus and definitive proxy statement</w:t>
      </w:r>
      <w:r>
        <w:rPr>
          <w:rFonts w:ascii="Arial" w:cs="Arial" w:eastAsia="Arial" w:hAnsi="Arial"/>
          <w:sz w:val="18"/>
          <w:szCs w:val="18"/>
          <w:color w:val="auto"/>
        </w:rPr>
        <w:t xml:space="preserve"> </w:t>
      </w:r>
      <w:r>
        <w:rPr>
          <w:rFonts w:ascii="Arial" w:cs="Arial" w:eastAsia="Arial" w:hAnsi="Arial"/>
          <w:sz w:val="18"/>
          <w:szCs w:val="18"/>
          <w:color w:val="212529"/>
        </w:rPr>
        <w:t>filed on June 25, 2021 with the SEC pursuant to Rule 424(b)(3) under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2016, the FASB issued ASU No. 2016-02 (“ASC 842”), Leases, to require lessees to recognize all leases, with certain exceptions, on the balance sheet, while recognition on the statement of operations will remain similar to current lease accounting. Subsequently, the FASB issued ASU No. 2018-10, Codification Improvements to Topic 842, Leases, ASU No. 2018-11, Targeted Improvements, ASU No. 2018-20, Narrow-Scope Improvements for Lessors, and ASU 2019-01, Codification Improvements, to clarify and amend the guidance in ASU No. 2016-02. ASC 842 eliminates real estate-specific provisions and modifies certain aspects of lessor accounting. This standard is effective for interim and annual periods beginning after December 15, 2018 for public business entities. Private companies are required to adopt the new leases standard for annual periods beginning after December 15, 2021 and interim periods in annual periods beginning after December 15, 2022. Early adoption is permitted for all entities. The Company adopted ASC 842 as of January 1, 2021 using the modified retrospective approach (“adoption of the new lease standard”). This approach allows entities to either apply the new lease standard to the beginning of the earliest period presented or only to the consolidated financial statements in the period of adoption without restating prior periods. The Company has elected to apply the new guidance at the date of adoption without restating prior periods. In addition, the Company elected the package of practical expedients permitted under the transition guidance within the new standard, which allowed the Company to carry forward the historical determination of contracts as leases, lease classification and not reassess initial direct costs for historical lease arrangements. Accordingly, previously reported financial statements, including footnote disclosures, have not been recast to reflect the application of the new standard to all comparative periods presented. The finance lease classification under ASC 842 includes leases previously classified as capital leases under ASC 840.</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lease agreements with lease and non-lease components, including embedded leases, and has elected not to utilize the practical expedient to account for lease and non-lease components together, rather the Company is accounting for the lease and non-lease components separately on the consolidated financial statements.</w:t>
      </w:r>
    </w:p>
    <w:p>
      <w:pPr>
        <w:sectPr>
          <w:pgSz w:w="11900" w:h="16838" w:orient="portrait"/>
          <w:cols w:equalWidth="0" w:num="1">
            <w:col w:w="11240"/>
          </w:cols>
          <w:pgMar w:left="320" w:top="989" w:right="33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Operating lease assets are included within operating lease right-of-use (“ROU”) assets. Finance lease assets are included within property, plant and equipment, net. The corresponding operating lease liabilities and finance lease liabilities are included within other current liabilities and other long-term liabilities on the Company’s consolidated balance sheet as of September 30, 2021.</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elected not to present short-term leases on the consolidated balance sheet as these leases have a lease term of 12 months or less at lease inception and do not contain purchase options or renewal terms that the Company is reasonably certain to exercise. All other lease assets and lease liabilities are recognized based on the present value of lease payments over the lease term at the later of ASC 842 adoption date or lease commencement date. Because most of the Company’s leases do not provide an implicit rate of return, the Company used the Company’s incremental borrowing rate based on the information available at adoption date or lease commencement date in determining the present value of lease payments.</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Adoption of the new lease standard on January 1, 2021 had a material impact on the Company’s interim unaudited condensed consolidated financial statements. The most significant impacts related to the (i) recording of ROU asset of $94.2 million, and (ii) recording lease liability of $126.0 million, as of January 1, 2021 on the consolidated balance sheets. The Company also reclassified prepaid expenses of $0.2 million and deferred rent balance, including tenant improvement allowances, and other liability balances of $31.8 million relating to the Company’s existing lease arrangements as of December 31, 2020, into the ROU asset balance as of January 1, 2021. ROU assets represent the Company’s right to use an underlying asset for the lease term and lease liabilities represent the Company’s obligation to make lease payments arising from the lease. The standard did not materially impact the Company’s consolidated statement of operations and consolidated statement of cash flows.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effect of the changes made to the Company’s consolidated balance sheet as of January 1, 2021 for the adoption of the new lease standard was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7"/>
              </w:rPr>
              <w:t>Balances at</w:t>
            </w:r>
          </w:p>
        </w:tc>
        <w:tc>
          <w:tcPr>
            <w:tcW w:w="160" w:type="dxa"/>
            <w:vAlign w:val="bottom"/>
          </w:tcPr>
          <w:p>
            <w:pPr>
              <w:spacing w:after="0"/>
              <w:rPr>
                <w:sz w:val="17"/>
                <w:szCs w:val="17"/>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from</w:t>
            </w:r>
          </w:p>
        </w:tc>
        <w:tc>
          <w:tcPr>
            <w:tcW w:w="180" w:type="dxa"/>
            <w:vAlign w:val="bottom"/>
          </w:tcPr>
          <w:p>
            <w:pPr>
              <w:spacing w:after="0"/>
              <w:rPr>
                <w:sz w:val="17"/>
                <w:szCs w:val="17"/>
                <w:color w:val="auto"/>
              </w:rPr>
            </w:pPr>
          </w:p>
        </w:tc>
        <w:tc>
          <w:tcPr>
            <w:tcW w:w="15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Balances at</w:t>
            </w: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9"/>
              </w:rPr>
              <w:t>Adoption of New Lease</w:t>
            </w:r>
          </w:p>
        </w:tc>
        <w:tc>
          <w:tcPr>
            <w:tcW w:w="18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 2020</w:t>
            </w:r>
          </w:p>
        </w:tc>
        <w:tc>
          <w:tcPr>
            <w:tcW w:w="160" w:type="dxa"/>
            <w:vAlign w:val="bottom"/>
          </w:tcPr>
          <w:p>
            <w:pPr>
              <w:spacing w:after="0"/>
              <w:rPr>
                <w:sz w:val="19"/>
                <w:szCs w:val="19"/>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Standard</w:t>
            </w:r>
          </w:p>
        </w:tc>
        <w:tc>
          <w:tcPr>
            <w:tcW w:w="180" w:type="dxa"/>
            <w:vAlign w:val="bottom"/>
          </w:tcPr>
          <w:p>
            <w:pPr>
              <w:spacing w:after="0"/>
              <w:rPr>
                <w:sz w:val="19"/>
                <w:szCs w:val="19"/>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January 1, 2021</w:t>
            </w: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21,840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716,511</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90,932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90,932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151,753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8,030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159,783</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125,291</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simplifies the accounting for income taxes by eliminating some exceptions to the general approach in Topic 740, Income Taxes in order to reduce cost and complexity of its application. For public business entities, the guidance is effective for fiscal years beginning after December 15, 2020 and interim periods within those fiscal years. For nonpublic entities, the guidance is effective for fiscal years beginning after December 15, 2021 and interim periods within fiscal years beginning after December 15, 2022. Early adoption is permitted if financial statements have not yet been issued (for public business entities) or have not yet been made available for issuance (for all other entities). The Company adopted this ASU starting on January 1, 2021. The adoption of this ASU did not have an immediate impact to the consolidated financial statements and related disclosure.</w:t>
      </w:r>
    </w:p>
    <w:p>
      <w:pPr>
        <w:spacing w:after="0" w:line="19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financial statements or notes thereto.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REVERSE RECAPITALIZATION</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On July 23, 2021, upon the consummation of the Merger, all holders of 451,295,965 issued and outstanding Legacy Lucid common stock received shares of Lucid common stock at a deemed value of $10.00 per share after giving effect to the exchange ratio of 2.644 (the “Exchange Ratio”) resulting in 1,193,226,511 shares of Lucid common stock issued and outstanding as of the Closing and all holders of 42,182,931 issued and outstanding Legacy Lucid equity awards received Lucid equity awards covering 111,531,080 shares of Lucid common stock at a deemed value of $10.00 per share after giving effect to the Exchange Ratio, based on the following events contemplated by the Merger Agreement:</w:t>
      </w:r>
    </w:p>
    <w:p>
      <w:pPr>
        <w:spacing w:after="0" w:line="176" w:lineRule="exact"/>
        <w:rPr>
          <w:sz w:val="20"/>
          <w:szCs w:val="20"/>
          <w:color w:val="auto"/>
        </w:rPr>
      </w:pPr>
    </w:p>
    <w:p>
      <w:pPr>
        <w:ind w:left="660" w:right="18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cancellation and conversion of all 437,182,072 issued and outstanding shares of Legacy Lucid preferred stock into 437,182,072 shares of Legacy Lucid common stock at the conversion rate as calculated pursuant to Legacy Lucid’s memorandum and articles of association at the date and time that the Merger became effective (“Effective Time”);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ind w:left="660" w:right="24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surrender and exchange of all 451,295,965 issued and outstanding shares of Legacy Lucid common stock (including Legacy Lucid common stock resulting from the conversion of the Legacy Lucid preferred stock) into 1,193,226,511 shares of Lucid common stock as adjusted by the Exchange Ratio;</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cancellation and exchange of all 25,764,610 granted and outstanding vested and unvested Legacy Lucid options, which became 68,121,210 Lucid options exercisable for shares of Lucid common stock with the same terms and vesting conditions except for the number of shares exercisable and the exercise price, each of which was adjusted by the Exchange Ratio; and</w:t>
      </w:r>
    </w:p>
    <w:p>
      <w:pPr>
        <w:spacing w:after="0" w:line="183"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cancellation and exchange of all 16,418,321 granted and outstanding vested and unvested Legacy Lucid RSUs, which became 43,409,870 Lucid RSUs for shares of Lucid common stock with the same terms and vesting conditions except for the number of shares, which was adjusted by the Exchange Ratio.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other related events that occurred in connection with the Closing are summarized below:</w:t>
      </w:r>
    </w:p>
    <w:p>
      <w:pPr>
        <w:spacing w:after="0" w:line="212" w:lineRule="exact"/>
        <w:rPr>
          <w:sz w:val="20"/>
          <w:szCs w:val="20"/>
          <w:color w:val="auto"/>
        </w:rPr>
      </w:pPr>
    </w:p>
    <w:p>
      <w:pPr>
        <w:ind w:left="660" w:right="1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Churchill entered into separate private placement subscription agreements (the “PIPE Investment”) contemporaneously with the execution of the Merger Agreement pursuant to which Churchill agreed to sell and issue an aggregate of 166,666,667 shares of common stock at a purchase price of $15.00 per share for an aggregate purchase price of $2,500.0 million. The PIPE Investment closed simultaneously with the Closing of the Merger;</w:t>
      </w:r>
    </w:p>
    <w:p>
      <w:pPr>
        <w:spacing w:after="0" w:line="186"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Churchill Sponsor IV LLC (the “Churchill Sponsor”) exercised its right to convert the outstanding and unpaid amount of $1.5 million under the working capital loan provided by the Churchill Sponsor to Churchill into an additional 1,500,000 private warrants at a price of $1.00 per warrant in satisfaction of such loan;</w:t>
      </w:r>
    </w:p>
    <w:p>
      <w:pPr>
        <w:spacing w:after="0" w:line="183" w:lineRule="exact"/>
        <w:rPr>
          <w:rFonts w:ascii="Arial" w:cs="Arial" w:eastAsia="Arial" w:hAnsi="Arial"/>
          <w:sz w:val="18"/>
          <w:szCs w:val="18"/>
          <w:color w:val="auto"/>
        </w:rPr>
      </w:pPr>
    </w:p>
    <w:p>
      <w:pPr>
        <w:ind w:left="660" w:right="80" w:hanging="328"/>
        <w:spacing w:after="0" w:line="272"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Churchill and the Churchill Sponsor entered into a letter agreement (the “Sponsor Agreement”), pursuant to which the Churchill Sponsor agreed that 17,250,000 shares of Churchill’s issued and outstanding common stock beneficially held by the Churchill Sponsor (the “Sponsor Earnback Shares”) and 14,783,333 private warrants beneficially held by the Churchill Sponsor (the “Sponsor Earnback Warrants”) to purchase shares of the Churchill’s common stock shall become subject to transfer restrictions and contingent forfeiture provisions upon the Closing of the Merger until Lucid’s stock price exceeded certain predetermined levels in the post-Merger period. Any such shares and warrants not released from these transfer restrictions during the earnback period, which expires on the fifth anniversary of the Closing, will be forfeited back to Lucid for no consideration. See Note 11 - Earnback Shares and Warrants for more information; and</w:t>
      </w:r>
    </w:p>
    <w:p>
      <w:pPr>
        <w:spacing w:after="0" w:line="177" w:lineRule="exact"/>
        <w:rPr>
          <w:rFonts w:ascii="Arial" w:cs="Arial" w:eastAsia="Arial" w:hAnsi="Arial"/>
          <w:sz w:val="17"/>
          <w:szCs w:val="17"/>
          <w:color w:val="auto"/>
        </w:rPr>
      </w:pPr>
    </w:p>
    <w:p>
      <w:pPr>
        <w:ind w:left="660" w:right="3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Churchill redeemed 21,644 public shares of Churchill’s Class A common stock at approximately $10.00 per share for an aggregate payment of $0.2 million.</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After giving effect to the Merger and the redemption of Churchill shares as described above, the number of shares of common stock issued and outstanding immediately following the consummation of the Merger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6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Shares</w:t>
            </w:r>
          </w:p>
        </w:tc>
      </w:tr>
      <w:tr>
        <w:trPr>
          <w:trHeight w:val="24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Churchill public shares, prior to redemptions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207,000,000</w:t>
            </w:r>
          </w:p>
        </w:tc>
      </w:tr>
      <w:tr>
        <w:trPr>
          <w:trHeight w:val="237"/>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redemption of Churchill shares</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(21,644)</w:t>
            </w:r>
          </w:p>
        </w:tc>
      </w:tr>
      <w:tr>
        <w:trPr>
          <w:trHeight w:val="24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Churchill public shares, net of redemptions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206,978,356</w:t>
            </w:r>
          </w:p>
        </w:tc>
      </w:tr>
      <w:tr>
        <w:trPr>
          <w:trHeight w:val="243"/>
        </w:trPr>
        <w:tc>
          <w:tcPr>
            <w:tcW w:w="9260" w:type="dxa"/>
            <w:vAlign w:val="bottom"/>
          </w:tcPr>
          <w:p>
            <w:pPr>
              <w:ind w:left="20"/>
              <w:spacing w:after="0" w:line="243" w:lineRule="exact"/>
              <w:rPr>
                <w:sz w:val="20"/>
                <w:szCs w:val="20"/>
                <w:color w:val="auto"/>
              </w:rPr>
            </w:pPr>
            <w:r>
              <w:rPr>
                <w:rFonts w:ascii="Arial" w:cs="Arial" w:eastAsia="Arial" w:hAnsi="Arial"/>
                <w:sz w:val="18"/>
                <w:szCs w:val="18"/>
                <w:color w:val="auto"/>
              </w:rPr>
              <w:t>Churchill Sponsor shares</w:t>
            </w:r>
            <w:r>
              <w:rPr>
                <w:rFonts w:ascii="Arial" w:cs="Arial" w:eastAsia="Arial" w:hAnsi="Arial"/>
                <w:sz w:val="23"/>
                <w:szCs w:val="23"/>
                <w:color w:val="auto"/>
                <w:vertAlign w:val="superscript"/>
              </w:rPr>
              <w:t>(1)</w:t>
            </w:r>
          </w:p>
        </w:tc>
        <w:tc>
          <w:tcPr>
            <w:tcW w:w="1980" w:type="dxa"/>
            <w:vAlign w:val="bottom"/>
          </w:tcPr>
          <w:p>
            <w:pPr>
              <w:jc w:val="right"/>
              <w:spacing w:after="0"/>
              <w:rPr>
                <w:sz w:val="20"/>
                <w:szCs w:val="20"/>
                <w:color w:val="auto"/>
              </w:rPr>
            </w:pPr>
            <w:r>
              <w:rPr>
                <w:rFonts w:ascii="Arial" w:cs="Arial" w:eastAsia="Arial" w:hAnsi="Arial"/>
                <w:sz w:val="18"/>
                <w:szCs w:val="18"/>
                <w:color w:val="auto"/>
              </w:rPr>
              <w:t>51,750,000</w:t>
            </w:r>
          </w:p>
        </w:tc>
      </w:tr>
      <w:tr>
        <w:trPr>
          <w:trHeight w:val="243"/>
        </w:trPr>
        <w:tc>
          <w:tcPr>
            <w:tcW w:w="926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PIPE shares</w:t>
            </w:r>
            <w:r>
              <w:rPr>
                <w:rFonts w:ascii="Arial" w:cs="Arial" w:eastAsia="Arial" w:hAnsi="Arial"/>
                <w:sz w:val="23"/>
                <w:szCs w:val="23"/>
                <w:color w:val="auto"/>
                <w:vertAlign w:val="superscript"/>
              </w:rPr>
              <w:t>(2)</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166,666,667</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Total shares of Churchill common stock outstanding immediately prior to the Merger</w:t>
            </w:r>
          </w:p>
        </w:tc>
        <w:tc>
          <w:tcPr>
            <w:tcW w:w="1980" w:type="dxa"/>
            <w:vAlign w:val="bottom"/>
          </w:tcPr>
          <w:p>
            <w:pPr>
              <w:jc w:val="right"/>
              <w:spacing w:after="0"/>
              <w:rPr>
                <w:sz w:val="20"/>
                <w:szCs w:val="20"/>
                <w:color w:val="auto"/>
              </w:rPr>
            </w:pPr>
            <w:r>
              <w:rPr>
                <w:rFonts w:ascii="Arial" w:cs="Arial" w:eastAsia="Arial" w:hAnsi="Arial"/>
                <w:sz w:val="18"/>
                <w:szCs w:val="18"/>
                <w:color w:val="auto"/>
              </w:rPr>
              <w:t>425,395,023</w:t>
            </w:r>
          </w:p>
        </w:tc>
      </w:tr>
      <w:tr>
        <w:trPr>
          <w:trHeight w:val="24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Lucid shares</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1,193,226,511</w:t>
            </w:r>
          </w:p>
        </w:tc>
      </w:tr>
      <w:tr>
        <w:trPr>
          <w:trHeight w:val="237"/>
        </w:trPr>
        <w:tc>
          <w:tcPr>
            <w:tcW w:w="9260" w:type="dxa"/>
            <w:vAlign w:val="bottom"/>
          </w:tcPr>
          <w:p>
            <w:pPr>
              <w:ind w:left="20"/>
              <w:spacing w:after="0" w:line="236" w:lineRule="exact"/>
              <w:rPr>
                <w:sz w:val="20"/>
                <w:szCs w:val="20"/>
                <w:color w:val="auto"/>
              </w:rPr>
            </w:pPr>
            <w:r>
              <w:rPr>
                <w:rFonts w:ascii="Arial" w:cs="Arial" w:eastAsia="Arial" w:hAnsi="Arial"/>
                <w:sz w:val="18"/>
                <w:szCs w:val="18"/>
                <w:color w:val="auto"/>
              </w:rPr>
              <w:t>Total shares of Lucid common stock outstanding immediately after the Merger</w:t>
            </w:r>
            <w:r>
              <w:rPr>
                <w:rFonts w:ascii="Arial" w:cs="Arial" w:eastAsia="Arial" w:hAnsi="Arial"/>
                <w:sz w:val="23"/>
                <w:szCs w:val="23"/>
                <w:color w:val="auto"/>
                <w:vertAlign w:val="superscript"/>
              </w:rPr>
              <w:t>(3)(4)</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1,618,621,534</w:t>
            </w:r>
          </w:p>
        </w:tc>
      </w:tr>
      <w:tr>
        <w:trPr>
          <w:trHeight w:val="20"/>
        </w:trPr>
        <w:tc>
          <w:tcPr>
            <w:tcW w:w="92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right="280" w:hanging="328"/>
        <w:spacing w:after="0" w:line="277" w:lineRule="auto"/>
        <w:tabs>
          <w:tab w:leader="none" w:pos="65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51,750,000 shares beneficially owned by the Churchill Sponsor as of the Closing of the Merger includes the 17,250,000 Sponsor Earnback Shares.</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the sale and issuance of 166,666,667 shares of common stock to the PIPE Investors at $15.00 per share.</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54"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111,531,080 shares of common stock as of the Closing of the Merger to be reserved for potential future issuance upon the exercise of Lucid options or settlement of Lucid RSUs.</w:t>
      </w:r>
    </w:p>
    <w:p>
      <w:pPr>
        <w:spacing w:after="0" w:line="170" w:lineRule="exact"/>
        <w:rPr>
          <w:rFonts w:ascii="Arial" w:cs="Arial" w:eastAsia="Arial" w:hAnsi="Arial"/>
          <w:sz w:val="18"/>
          <w:szCs w:val="18"/>
          <w:color w:val="auto"/>
        </w:rPr>
      </w:pPr>
    </w:p>
    <w:p>
      <w:pPr>
        <w:ind w:left="660" w:right="20" w:hanging="328"/>
        <w:spacing w:after="0" w:line="263" w:lineRule="auto"/>
        <w:tabs>
          <w:tab w:leader="none" w:pos="654"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the 85,750,000 warrants issued and outstanding as of the Closing of the Merger, which includes the 41,400,000 public warrants and the 44,350,000 private warrants held by the Churchill Sponsor. The 44,350,000 private warrants beneficially owned by the Churchill Sponsor as of the consummation of the Merger includes the 14,783,333 Sponsor Earnback Warrants.</w:t>
      </w:r>
    </w:p>
    <w:p>
      <w:pPr>
        <w:sectPr>
          <w:pgSz w:w="11900" w:h="16838" w:orient="portrait"/>
          <w:cols w:equalWidth="0" w:num="1">
            <w:col w:w="11240"/>
          </w:cols>
          <w:pgMar w:left="320" w:top="989" w:right="33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5" w:name="page16"/>
    <w:bookmarkEnd w:id="15"/>
    <w:p>
      <w:pPr>
        <w:ind w:right="60"/>
        <w:spacing w:after="0" w:line="270" w:lineRule="auto"/>
        <w:rPr>
          <w:sz w:val="20"/>
          <w:szCs w:val="20"/>
          <w:color w:val="auto"/>
        </w:rPr>
      </w:pPr>
      <w:r>
        <w:rPr>
          <w:rFonts w:ascii="Arial" w:cs="Arial" w:eastAsia="Arial" w:hAnsi="Arial"/>
          <w:sz w:val="17"/>
          <w:szCs w:val="17"/>
          <w:color w:val="auto"/>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and having the ability to nominate the majority of the members of the Lucid board of directors, senior management of Legacy Lucid comprise the senior management of Lucid, and the strategy and operations of Legacy Lucid prior to the Merger comprise the only ongoing strategy and operations of Lucid. Accordingly, for accounting purposes, the financial statements of Lucid represent a continuation of the financial statements of Legacy Lucid with the Merger 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periods prior to the Merger have been retrospectively adjusted using the Exchange Ratio for the equivalent number of shares outstanding immediately after the Closing to effect the reverse recapitalization.</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connection with the Closing of the Merger, the Company raised $4,439.2 million of gross proceeds, including the contribution of $2,070.1 million of cash held in Churchill’s trust account from its initial public offering along with $2,500.0 million of cash raised by Churchill in connection with the PIPE Investment and $0.4 million of cash held in the Churchill operating cash account. The gross proceeds were net of $0.2 million paid to redeem 21,644 shares of Churchill Class A common stock held by public stockholders and $131.4 million in costs incurred by Churchill prior to the Closing. The Company additionally incurred $38.9 million of transaction costs, consisting of banking, legal, and other professional fees, of which $36.2 million was recorded as a reduction to additional paid-in capital of proceeds and the remaining $2.7 million was expensed in the condensed consolidated statements of operations. The total net cash proceeds to the Company were $4,400.3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SHEETS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 as of September 30, 2021 and December 31, 2020 were as follows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30"/>
        </w:trPr>
        <w:tc>
          <w:tcPr>
            <w:tcW w:w="8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Inventory as of September 30, 2021 is primarily related to raw materials and work in progress related to the production of vehicles for sale. The inventory as of September 30, 2021 and December 31, 2020 also includes battery pack systems with its customers.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color w:val="auto"/>
                <w:w w:val="92"/>
              </w:rPr>
              <w:t>Property, plant, and equipment as of September 30, 2021 and December 31, 2020 were as follows (in thousands):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8"/>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29"/>
        </w:trPr>
        <w:tc>
          <w:tcPr>
            <w:tcW w:w="8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190,417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15,716</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47,187</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4,503</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208,331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636,851</w:t>
            </w:r>
          </w:p>
        </w:tc>
      </w:tr>
      <w:tr>
        <w:trPr>
          <w:trHeight w:val="223"/>
        </w:trPr>
        <w:tc>
          <w:tcPr>
            <w:tcW w:w="8440" w:type="dxa"/>
            <w:vAlign w:val="bottom"/>
          </w:tcPr>
          <w:p>
            <w:pPr>
              <w:ind w:left="680"/>
              <w:spacing w:after="0"/>
              <w:rPr>
                <w:sz w:val="20"/>
                <w:szCs w:val="20"/>
                <w:color w:val="auto"/>
              </w:rPr>
            </w:pPr>
            <w:r>
              <w:rPr>
                <w:rFonts w:ascii="Arial" w:cs="Arial" w:eastAsia="Arial" w:hAnsi="Arial"/>
                <w:sz w:val="18"/>
                <w:szCs w:val="18"/>
                <w:color w:val="auto"/>
              </w:rPr>
              <w:t>Total property, plant, and equipment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1,015,636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738,045</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(24,771)</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965,901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713,274</w:t>
            </w: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9" w:right="339"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7"/>
                <w:szCs w:val="17"/>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30"/>
        </w:trPr>
        <w:tc>
          <w:tcPr>
            <w:tcW w:w="8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Tooling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203,241</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Construction of Arizona plant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171,532</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50,790</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211,288</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construction in progress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636,851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and amortization expense for the three months ended September 30, 2021 and 2020, was approximately $14.9 million and $2.1 million, respectively, and for the nine months ended September 30, 2021 and 2020, was approximately $26.6 million and $5.4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AND LONG-TERM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and long-term liabilities as of September 30, 2021 and December 31, 2020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7"/>
                <w:szCs w:val="17"/>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30"/>
        </w:trPr>
        <w:tc>
          <w:tcPr>
            <w:tcW w:w="8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design, and testing accrual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42,518</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43,115</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leasehold improvements accrual</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Other professional services accrual</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9,083</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Tooling liability</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15,243</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Payroll tax liability</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32,728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convertible preferred stock repurchase liability</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Short-term insurance financing note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Transaction cost liability</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40,981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31,700</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other current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228,277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151,753</w:t>
            </w: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September 30, 2021, the Company accrued a non-income tax liability of $32.7 million as other liabilities primarily related to payroll tax associated with certain compensation related events. The Company also recorded a $27.4 million receivable from employees related to this non-income tax liability as other receivables on the condensed consolidated balance sheet as of September 30, 2021.</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Company financed insurance premiums of $41.9 million related to various commercial insurance policies. The insurance policies have various terms that are less than 2 years. The Company made down payments for the insurance premium finance notes of $9.4 million, and the total interest was $0.4 million</w:t>
      </w:r>
      <w:r>
        <w:rPr>
          <w:rFonts w:ascii="Arial" w:cs="Arial" w:eastAsia="Arial" w:hAnsi="Arial"/>
          <w:sz w:val="18"/>
          <w:szCs w:val="18"/>
          <w:color w:val="auto"/>
        </w:rPr>
        <w:t>,</w:t>
      </w:r>
      <w:r>
        <w:rPr>
          <w:rFonts w:ascii="Arial" w:cs="Arial" w:eastAsia="Arial" w:hAnsi="Arial"/>
          <w:sz w:val="17"/>
          <w:szCs w:val="17"/>
          <w:color w:val="auto"/>
        </w:rPr>
        <w:t xml:space="preserve"> representing annual interest primarily ranging from 2.65% to 2.86%. The Company will make monthly installments of $3.5 million for principal and interest from May 2021 to December 2022. The Company recorded the total insurance premium of $41.9 million as prepaid insurance and is amortizing it on a straight-line basis over the term of the insurance. The Company made $5.3 million of principal payments and $0.1 million of interest payments on the short-term insurance financing note during the three months ended September 30, 2021, and $7.2 million of principal payments and $0.1 million of interest payments during the nine months ended September 30, 2021. The remaining principal balance of $24.7 million is recorded as part of the Company’s other current liabilities as of September 30, 2021.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7"/>
                <w:szCs w:val="17"/>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30"/>
        </w:trPr>
        <w:tc>
          <w:tcPr>
            <w:tcW w:w="8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28,881</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8,028</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liabilities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leases liabilities, net of current portion</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169,433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other long-term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183,096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39,139</w:t>
            </w:r>
          </w:p>
        </w:tc>
      </w:tr>
      <w:tr>
        <w:trPr>
          <w:trHeight w:val="21"/>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spacing w:after="0" w:line="195"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(unadjusted) in active markets for identical assets or liabilities.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1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15"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—Inputs that are generally unobservable and typically reflect management’s estimates of assumptions that market participants would use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Level 1 investments consist solely of short-term and long-term restricted cash valued at amortized cost that approximates fair value. Level 2 investments consist solely of certificate of deposits. Level 3 liabilities consist of contingent forward contract liability, convertible preferred stock warrant liability and common stock warrant liability, in which the fair value was measured upon issuance and is remeasured at each reporting date. The valuation methodology and underlying assumptions are discussed further in Note 6 “Contingent Forward Contracts,” Note 7 “Convertible Preferred Stock Warrant Liability” and Note 8 “Common Stock Warrant Liability”.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Company’s financial assets subject to fair value measurements on a recurring basis by level within the fair value hierarchy as of September 30, 2021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Short-term investment—</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2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9"/>
        </w:trPr>
        <w:tc>
          <w:tcPr>
            <w:tcW w:w="39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35,686</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36,191</w:t>
            </w:r>
          </w:p>
        </w:tc>
        <w:tc>
          <w:tcPr>
            <w:tcW w:w="0" w:type="dxa"/>
            <w:vAlign w:val="bottom"/>
          </w:tcPr>
          <w:p>
            <w:pPr>
              <w:spacing w:after="0"/>
              <w:rPr>
                <w:sz w:val="1"/>
                <w:szCs w:val="1"/>
                <w:color w:val="auto"/>
              </w:rPr>
            </w:pPr>
          </w:p>
        </w:tc>
      </w:tr>
      <w:tr>
        <w:trPr>
          <w:trHeight w:val="256"/>
        </w:trPr>
        <w:tc>
          <w:tcPr>
            <w:tcW w:w="39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00"/>
              <w:spacing w:after="0"/>
              <w:rPr>
                <w:sz w:val="20"/>
                <w:szCs w:val="20"/>
                <w:color w:val="auto"/>
              </w:rPr>
            </w:pPr>
            <w:r>
              <w:rPr>
                <w:rFonts w:ascii="Arial" w:cs="Arial" w:eastAsia="Arial" w:hAnsi="Arial"/>
                <w:sz w:val="18"/>
                <w:szCs w:val="18"/>
                <w:color w:val="auto"/>
              </w:rPr>
              <w:t>Common stock warrant liability</w:t>
            </w:r>
          </w:p>
        </w:tc>
        <w:tc>
          <w:tcPr>
            <w:tcW w:w="2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836,835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836,835</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3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836,835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490"/>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9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subject to fair value measurements on a recurring basis by level within the fair value hierarchy as of December 31, 2020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09"/>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Short-term investment—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30"/>
        </w:trPr>
        <w:tc>
          <w:tcPr>
            <w:tcW w:w="630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26,006</w:t>
            </w:r>
          </w:p>
        </w:tc>
      </w:tr>
      <w:tr>
        <w:trPr>
          <w:trHeight w:val="248"/>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300" w:type="dxa"/>
            <w:vAlign w:val="bottom"/>
          </w:tcPr>
          <w:p>
            <w:pPr>
              <w:ind w:left="100"/>
              <w:spacing w:after="0"/>
              <w:rPr>
                <w:sz w:val="20"/>
                <w:szCs w:val="20"/>
                <w:color w:val="auto"/>
              </w:rPr>
            </w:pPr>
            <w:r>
              <w:rPr>
                <w:rFonts w:ascii="Arial" w:cs="Arial" w:eastAsia="Arial" w:hAnsi="Arial"/>
                <w:sz w:val="18"/>
                <w:szCs w:val="18"/>
                <w:color w:val="auto"/>
              </w:rPr>
              <w:t>Convertible preferred stock warrant liability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2,960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2,960</w:t>
            </w:r>
          </w:p>
        </w:tc>
      </w:tr>
      <w:tr>
        <w:trPr>
          <w:trHeight w:val="248"/>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contingent forward contract liability, convertible preferred stock warrant liability and common stock warrant liability measured and recorded at fair value on a recurring basis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5"/>
          </w:tcPr>
          <w:p>
            <w:pPr>
              <w:ind w:left="1160"/>
              <w:spacing w:after="0"/>
              <w:rPr>
                <w:sz w:val="20"/>
                <w:szCs w:val="20"/>
                <w:color w:val="auto"/>
              </w:rPr>
            </w:pPr>
            <w:r>
              <w:rPr>
                <w:rFonts w:ascii="Arial" w:cs="Arial" w:eastAsia="Arial" w:hAnsi="Arial"/>
                <w:sz w:val="18"/>
                <w:szCs w:val="18"/>
                <w:b w:val="1"/>
                <w:bCs w:val="1"/>
                <w:color w:val="auto"/>
                <w:w w:val="98"/>
              </w:rPr>
              <w:t>Nine Months Ended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5"/>
          </w:tcPr>
          <w:p>
            <w:pPr>
              <w:ind w:left="1180"/>
              <w:spacing w:after="0"/>
              <w:rPr>
                <w:sz w:val="20"/>
                <w:szCs w:val="20"/>
                <w:color w:val="auto"/>
              </w:rPr>
            </w:pPr>
            <w:r>
              <w:rPr>
                <w:rFonts w:ascii="Arial" w:cs="Arial" w:eastAsia="Arial" w:hAnsi="Arial"/>
                <w:sz w:val="18"/>
                <w:szCs w:val="18"/>
                <w:b w:val="1"/>
                <w:bCs w:val="1"/>
                <w:color w:val="auto"/>
                <w:w w:val="97"/>
              </w:rPr>
              <w:t>September 30, 2021</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 2020</w:t>
            </w: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0"/>
              </w:rPr>
              <w:t>Contingent</w:t>
            </w:r>
          </w:p>
        </w:tc>
        <w:tc>
          <w:tcPr>
            <w:tcW w:w="120" w:type="dxa"/>
            <w:vAlign w:val="bottom"/>
          </w:tcPr>
          <w:p>
            <w:pPr>
              <w:spacing w:after="0"/>
              <w:rPr>
                <w:sz w:val="14"/>
                <w:szCs w:val="14"/>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0"/>
              </w:rPr>
              <w:t>Convertible</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88"/>
              </w:rPr>
              <w:t>Contingent</w:t>
            </w:r>
          </w:p>
        </w:tc>
        <w:tc>
          <w:tcPr>
            <w:tcW w:w="120" w:type="dxa"/>
            <w:vAlign w:val="bottom"/>
          </w:tcPr>
          <w:p>
            <w:pPr>
              <w:spacing w:after="0"/>
              <w:rPr>
                <w:sz w:val="14"/>
                <w:szCs w:val="14"/>
                <w:color w:val="auto"/>
              </w:rPr>
            </w:pPr>
          </w:p>
        </w:tc>
        <w:tc>
          <w:tcPr>
            <w:tcW w:w="13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2"/>
              </w:rPr>
              <w:t>Convertible</w:t>
            </w: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5"/>
              </w:rPr>
              <w:t>Forward</w:t>
            </w: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5"/>
              </w:rPr>
              <w:t>Forward</w:t>
            </w:r>
          </w:p>
        </w:tc>
        <w:tc>
          <w:tcPr>
            <w:tcW w:w="1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1"/>
              </w:rPr>
              <w:t>Contract</w:t>
            </w:r>
          </w:p>
        </w:tc>
        <w:tc>
          <w:tcPr>
            <w:tcW w:w="120" w:type="dxa"/>
            <w:vAlign w:val="bottom"/>
          </w:tcPr>
          <w:p>
            <w:pPr>
              <w:spacing w:after="0"/>
              <w:rPr>
                <w:sz w:val="15"/>
                <w:szCs w:val="15"/>
                <w:color w:val="auto"/>
              </w:rPr>
            </w:pPr>
          </w:p>
        </w:tc>
        <w:tc>
          <w:tcPr>
            <w:tcW w:w="142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0"/>
              </w:rPr>
              <w:t>Preferred Stock</w:t>
            </w:r>
          </w:p>
        </w:tc>
        <w:tc>
          <w:tcPr>
            <w:tcW w:w="12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Stock Warrant</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1"/>
              </w:rPr>
              <w:t>Contract</w:t>
            </w:r>
          </w:p>
        </w:tc>
        <w:tc>
          <w:tcPr>
            <w:tcW w:w="120" w:type="dxa"/>
            <w:vAlign w:val="bottom"/>
          </w:tcPr>
          <w:p>
            <w:pPr>
              <w:spacing w:after="0"/>
              <w:rPr>
                <w:sz w:val="15"/>
                <w:szCs w:val="15"/>
                <w:color w:val="auto"/>
              </w:rPr>
            </w:pPr>
          </w:p>
        </w:tc>
        <w:tc>
          <w:tcPr>
            <w:tcW w:w="13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0"/>
              </w:rPr>
              <w:t>Preferred Stock</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Liability</w:t>
            </w: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rPr>
              <w:t>Warrant Liability</w:t>
            </w:r>
          </w:p>
        </w:tc>
        <w:tc>
          <w:tcPr>
            <w:tcW w:w="18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Liability</w:t>
            </w:r>
          </w:p>
        </w:tc>
        <w:tc>
          <w:tcPr>
            <w:tcW w:w="14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Liability</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Warrant Liability</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Arial" w:cs="Arial" w:eastAsia="Arial" w:hAnsi="Arial"/>
                <w:sz w:val="18"/>
                <w:szCs w:val="18"/>
                <w:color w:val="auto"/>
              </w:rPr>
              <w:t>Issuance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2,167,332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812,048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Arial" w:cs="Arial" w:eastAsia="Arial" w:hAnsi="Arial"/>
                <w:sz w:val="18"/>
                <w:szCs w:val="18"/>
                <w:color w:val="auto"/>
              </w:rPr>
              <w:t>Settlement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(2,621,878)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CONTINGENT FORWARD CONTRACTS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2018, the Company entered into a securities purchase agreement with PIF. Along with the execution of the securities purchase agreement, the Company granted PIF the right to purchase the Company’s Series D convertible preferred stock in future periods. The Company determined PIF’s right to participate in future Series D convertible preferred stock financing to be freestanding similar to a derivative in the form of contingent forward contracts and recorded the initial valuation of $18.6 million as a debt discount to the Convertible Notes issued in September 2018.</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2020, the Company received $200.0 million in exchange for 82,496,092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 liability into Series D convertible preferred stock. In June 2020, upon satisfaction of the second set of milestones (refer to Note 9 “Convertible Preferred Stock”), the Company received the remaining $200.0 million in exchange for 82,496,121 shares of Series D convertible preferred stock as final settlement of the Series D contingent forward contract liability and revalued the contingent forward contracts liability to the then fair value of $39.6 million and reclassified the liability into Series D convertible preferred stock. The Series D contingent forward contract liability incurred a total fair value loss of $8.7 million during the nine months ended September 30, 2020. Since the Series D contingent forward contract liability was fully settled in June 2020, there was no related outstanding contingent forward contract liability as of September 30, 2020.</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 9 “Convertible Preferred Stock”, in September 2020, along with the execution of the Securities Purchase Agreement, the Company granted Ayar Third Investment Company (“Ayar”) the right to purchase the Company’s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into contingent forward contract liabilities.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9" w:name="page20"/>
    <w:bookmarkEnd w:id="19"/>
    <w:p>
      <w:pPr>
        <w:jc w:val="both"/>
        <w:spacing w:after="0" w:line="279" w:lineRule="auto"/>
        <w:rPr>
          <w:sz w:val="20"/>
          <w:szCs w:val="20"/>
          <w:color w:val="auto"/>
        </w:rPr>
      </w:pPr>
      <w:r>
        <w:rPr>
          <w:rFonts w:ascii="Arial" w:cs="Arial" w:eastAsia="Arial" w:hAnsi="Arial"/>
          <w:sz w:val="17"/>
          <w:szCs w:val="17"/>
          <w:color w:val="auto"/>
        </w:rPr>
        <w:t>In December 2020, Ayar waived the Company’s remaining outstanding obligations, and the Company received $400.0 million for the issuance of Series E convertible preferred stock. Upon settlement, the Company revalued the Series E contingent forward contracts to the then fair value of $110.5 million and reclassified the contingent forward contract liability into Series E convertible preferred stock. The Company recorded a loss of $109.7 million related to fair value remeasurements of the Series E contingent forward contracts during the year ended December 31, 2020.</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2021, the Company and Ayar entered into Amendment No. 1 to the original Series E Preferred Stock Purchase Agreement (“Amendment No. 1”). Under the Amendment No. 1, Ayar and the Company agreed to enter into the third closing of additional 133,818,821 Series E convertible preferred stock at $2.99 per share, aggregating to $400.0 million. Upon the signing of the Amendment No. 1, the Company received the issuance proceeds of $400.0 million from Ayar in February 2021.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and Ayar. Refer to Note 9 - Convertible Preferred Stock.</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April 2021, the Company issued 66,909,408 Series E convertible preferred stock from the fourth closing at $2.99 per share for cash consideration of $200.0 million. The Company received $107.1 million of the total issuance proceeds in March 2021 and the remaining $92.9 million in April 2021. See Note 9 - Convertible Preferred Stock for more information.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determined the right to participate in future Series E convertible preferred share financing to be a freestanding financial instrument similar to a derivative in the form of contingent forward contracts and recorded the initial valuation of $1.4 billion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consolidated statements of operations.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included 535,275 shares offered to the CEO in April 2021. The offer to employees in the fourth closing to participate in future Series E convertible preferred stock financing represent a fully vested, equity classified award. The award’s full fair value on each recipient’s grant date was recorded as stock-based compensation, and the related contingent forward contract liability was derecognized. The Company revalued the contingent forward contract liability for the remaining participants and recorded $454.5 million fair value remeasurement loss related to the contingent forward contract liability for the nine months ended September 30, 2021. Final fair value of the contingent forward contract liability of $1.2 billion was reclassified into Series E convertible preferred stock upon the fourth closing in April 2021. There was no related outstanding contingent forward contract liability as of September 30, 2021.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Series E convertible preferred stock contingent forward contract liability for the third closing was determined using a forward payoff.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inputs used in determining the fair value on the issuance date and settlement date,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4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13.79</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4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100.00 %</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4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0.03 %</w:t>
            </w:r>
          </w:p>
        </w:tc>
      </w:tr>
    </w:tbl>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Series E convertible preferred stock contingent forward contract liability for the fourth closing was determined using a forward and an option payoff. The Company’s inputs used in determining the fair value on the issuance date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Series E convertible preferred share</w:t>
            </w:r>
          </w:p>
        </w:tc>
        <w:tc>
          <w:tcPr>
            <w:tcW w:w="3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13.79</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3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100.00 %</w:t>
            </w: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3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0.11</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3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0.03 %</w:t>
            </w:r>
          </w:p>
        </w:tc>
      </w:tr>
    </w:tbl>
    <w:p>
      <w:pPr>
        <w:spacing w:after="0" w:line="2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Series E convertible preferred stock contingent forward contract liability for the fourth closing was determined as the difference between the Series E convertible preferred stock fair value and the purchase price. The Company estimated the fair value of each of the Series E convertible preferred stock on the settlement date by taking the closing price of Churchill’s Class A common stock on April 1, 2021 of $23.78 multiplied by the expected exchange ratio at the time, and discounted for lack of marketability.</w:t>
      </w:r>
    </w:p>
    <w:p>
      <w:pPr>
        <w:sectPr>
          <w:pgSz w:w="11900" w:h="16838" w:orient="portrait"/>
          <w:cols w:equalWidth="0" w:num="1">
            <w:col w:w="11240"/>
          </w:cols>
          <w:pgMar w:left="320" w:top="989" w:right="33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7 - CONVERTIBLE PREFERRED STOCK WARRANT LIABILITY</w:t>
      </w:r>
    </w:p>
    <w:p>
      <w:pPr>
        <w:spacing w:after="0" w:line="21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March and September 2017, the Company issued two convertible preferred stock warrants to purchase a total of 1,546,799 shares of Series D convertible preferred stock, with an exercise price of $1.94 per share. The convertible preferred stock warrants had been recorded at fair value using a Monte-Carlo simulation at issuance and had been subsequently remeasured to fair value each reporting period with the changes recorded in the condensed consolidated statements of operations. As of December 31, 2020, 1,546,799 shares of the Warrants had been outstanding with a fair value of $1.94 per share, and aggregate fair value of $3.0 million.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Company’s assumptions used in determining the fair value of convertible preferred stock warrants on December 31, 2020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tcPr>
          <w:p>
            <w:pPr>
              <w:spacing w:after="0"/>
              <w:rPr>
                <w:sz w:val="17"/>
                <w:szCs w:val="17"/>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97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50.00 %</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20" w:type="dxa"/>
            <w:vAlign w:val="bottom"/>
          </w:tcPr>
          <w:p>
            <w:pPr>
              <w:jc w:val="right"/>
              <w:spacing w:after="0"/>
              <w:rPr>
                <w:sz w:val="20"/>
                <w:szCs w:val="20"/>
                <w:color w:val="auto"/>
              </w:rPr>
            </w:pPr>
            <w:r>
              <w:rPr>
                <w:rFonts w:ascii="Arial" w:cs="Arial" w:eastAsia="Arial" w:hAnsi="Arial"/>
                <w:sz w:val="18"/>
                <w:szCs w:val="18"/>
                <w:color w:val="auto"/>
              </w:rPr>
              <w:t>0.5 - 1.5</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 – 0.12%</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Expected dividend rate</w:t>
            </w:r>
          </w:p>
        </w:tc>
        <w:tc>
          <w:tcPr>
            <w:tcW w:w="1520" w:type="dxa"/>
            <w:vAlign w:val="bottom"/>
          </w:tcPr>
          <w:p>
            <w:pPr>
              <w:jc w:val="right"/>
              <w:spacing w:after="0"/>
              <w:rPr>
                <w:sz w:val="20"/>
                <w:szCs w:val="20"/>
                <w:color w:val="auto"/>
              </w:rPr>
            </w:pPr>
            <w:r>
              <w:rPr>
                <w:rFonts w:ascii="Arial" w:cs="Arial" w:eastAsia="Arial" w:hAnsi="Arial"/>
                <w:sz w:val="18"/>
                <w:szCs w:val="18"/>
                <w:color w:val="auto"/>
              </w:rPr>
              <w:t>0.00 %</w:t>
            </w:r>
          </w:p>
        </w:tc>
      </w:tr>
    </w:tbl>
    <w:p>
      <w:pPr>
        <w:spacing w:after="0" w:line="2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2021, all the outstanding warrants were settled in its entirety at an exercise price of $1.94 per share for an aggregate purchase price of $3.0 million. Upon final settlement, the Company converted the warrant into $12.9 million Series D convertible preferred stock, and recorded $7.0 million loss related to fair value remeasurements of the warrants in the condensed consolidated statements of operations for the nine months ended September 30, 2021. The Company recorded $0.1 million and $0.2 million loss related to fair value remeasurements of the warrants for the three and nine months ended September 30, 2020.</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fair value of the Series D preferred stock that was converted from warrant liability at settlement was estimated using the PWERM framework and considered the same three scenarios and probability for each of the three scenarios used to value our common stock: OPM scenario (20%), as-converted SPAC scenario (70%), and as-converted IPO scenario (10%). Under the OPM scenario, the fair value of Series D convertible preferred stock was a direct output of the model used for the equity valuation of the Company and reflected the present value. Under the as-converted SPAC scenario, the present value of the Series D convertible preferred stock was estimated using the pre-money equity value. Under the as-converted IPO scenario, the Company applied the market-based approach and determined the fair value based on the average revenue multiples derived from our peer group.</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COMMON STOCK WARRANT LIABILITY</w:t>
      </w:r>
    </w:p>
    <w:p>
      <w:pPr>
        <w:spacing w:after="0" w:line="21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44,350,000 private warrants to purchase shares of Lucid’s common stock. The private warrants were initially recognized as a liability with a fair value of $812.0 million. The private warrants remained unexercised and were remeasured to fair value as of September 30, 2021, resulting in a loss of $24.8 million for the three and nine months ended September 30, 2021, classified within change in fair value of common stock warrant liability in the condensed consolidated statements of operations.</w:t>
      </w:r>
    </w:p>
    <w:p>
      <w:pPr>
        <w:spacing w:after="0" w:line="17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44,350,000 private warrants include the 14,783,333 Sponsor Earnback Warrants subject to the contingent forfeiture provisions. The first earnback triggering event was satisfied on September 29, 2021. As a result, the first tranche of the Sponsor Earnback Warrants, or 4,927,778 private warrants, were vested and no longer subject to the transfer restrictions and contingent forfeiture provisions. See Note 11 - Earnback Shares and Warrants for more information.</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fair value of the private warrants that are not subject to the contingent forfeiture provisions was estimated using a Black-Scholes option pricing model that takes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valuation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2021</w:t>
            </w:r>
          </w:p>
        </w:tc>
        <w:tc>
          <w:tcPr>
            <w:tcW w:w="2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July 23, 2021</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private warrants per share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18.44</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75.00 %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80.00 %</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0.94 %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0.72 %</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1" w:name="page22"/>
    <w:bookmarkEnd w:id="21"/>
    <w:p>
      <w:pPr>
        <w:jc w:val="both"/>
        <w:spacing w:after="0" w:line="228" w:lineRule="auto"/>
        <w:rPr>
          <w:sz w:val="20"/>
          <w:szCs w:val="20"/>
          <w:color w:val="auto"/>
        </w:rPr>
      </w:pPr>
      <w:r>
        <w:rPr>
          <w:rFonts w:ascii="Arial" w:cs="Arial" w:eastAsia="Arial" w:hAnsi="Arial"/>
          <w:sz w:val="18"/>
          <w:szCs w:val="18"/>
          <w:color w:val="auto"/>
        </w:rPr>
        <w:t>The fair value of the private warrants that are subject to the contingent forfeiture provisions was estimated using a Monte-Carlo simulation, which involved random iterations of future stock-price paths over the contractual life of the private warrants, including the probability distribution of outcomes, the payoff to the holder was determined based on the achievement of the volume-weighted average trading sale price (the “VWAP”) thresholds within each simulation. The present value of the payoff in each simulation is calculated, and the fair value of the liability is determined by taking the average of all present values. The level 3 fair value inputs used in the valuation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2021</w:t>
            </w:r>
          </w:p>
        </w:tc>
        <w:tc>
          <w:tcPr>
            <w:tcW w:w="2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July 23, 2021</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Tranche 1 with $20.00 VWAP threshold per share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18.16</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Fair value of Tranche 2 with $25.00 VWAP threshold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130"/>
              <w:spacing w:after="0"/>
              <w:rPr>
                <w:sz w:val="20"/>
                <w:szCs w:val="20"/>
                <w:color w:val="auto"/>
              </w:rPr>
            </w:pPr>
            <w:r>
              <w:rPr>
                <w:rFonts w:ascii="Arial" w:cs="Arial" w:eastAsia="Arial" w:hAnsi="Arial"/>
                <w:sz w:val="18"/>
                <w:szCs w:val="18"/>
                <w:color w:val="auto"/>
              </w:rPr>
              <w:t>18.78</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18.07</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Tranche 3 with $30.00 VWAP threshold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18.60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17.92</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75.00 %</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80.00 %</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0.94 %</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0.72 %</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CONVERTIBLE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1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Upon the Closing of the Merger, all 1,155,909,367 shares of issued and outstanding convertible preferred stock were cancelled and converted into 1,155,909,367 shares of Lucid common stock based upon the conversion rate as calculated pursuant to Legacy Lucid’s memorandum and articles of association at the date and time that the Merger became effective. As of September 30, 2021, there were no issued and outstanding shares of convertible preferred stock.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through April 2021, the Company had issued Series A, Series B, Series C, and Series D and Series E convertible preferred stock (“Series A,” “Series B,” “Series C,” “Series D,” “Series E,” respectively) (collectively, the “Convertible Preferred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was carried at its issuance price, net of issuance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2018, concurrent with the execution of the Security Purchase Agreement with PIF, the Company entered into a Stock Repurchase Agreement (the “Repurchase Agreement”) with Blitz Technology Hong Kong Co. Limited and LeSoar Holdings, Limited (the “Sellers”) to repurchase Series C convertible preferred stock. From September 2018 to December 31, 2019, the Company repurchased in aggregate 11,331,430 shares of Series C convertible preferred stock with $60.0 million at a per share price of $5.30 from the first and second Company repurchase.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Company Repurchase (Series C - August 2020)</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2020, the Company entered into a Stock Repurchase Agreement with the Sellers. Pursuant to the Stock Repurchase Agreement, the Company agreed to repurchase 9,656,589 shares of Series C convertible preferred stock owned by the Sellers in August 2020 at a price of $1.02 per share for total of $9.9 million. The carrying value of the repurchased Series C convertible preferred stock is $20.4 million. As such, the Company recognized $10.5 million in additional paid-in capital under stockholder’s equity in the consolidated balance sheet as of December 31, 2020 related to the difference in fair value and carrying value of the Series C stock repurchased.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Company Repurchase (Series C - December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2020, the Company entered into a Stock Repurchase Agreement with Blitz Technology Hong Kong Co. Limited (“Blitz”).</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agreed to repurchase 1,850,800 Series C convertible preferred stock from Blitz at a price of $1.21 per share, aggregating to $2.2 million. As the carrying amount of each share of Series C was $2.42 aggregating to $4.5 million in September 2020, the Company recognized $2.2 million as additional paid-in capital under stockholders’ deficit in the condensed consolidated balance sheet as of December 31, 2020, related to the difference in fair value and carrying value of the Series C shares repurchased.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Fifth Company Repurchase (Series B - December 2020)</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22, 2020, the Company entered into an agreement with JAFCO Asia Technology Fund V (“JAFCO”) whereby the Company agreed to repurchase 3,525,332 Series B convertible preferred stock having a carrying value of $4.0 million, from JAFCO for a total consideration of $3.0 million. The agreement resulted in an extinguishment of the Series B convertible preferred stock and the Company recognized $1.0 million in additional paid-in capital being the difference in fair value of the consideration payable and the carrying value of the Series B convertible preferred stock. As of the date of extinguishment and as of December 31, 2020 the Series B convertible preferred stock subject to repurchase had been mandatorily redeemable within 45 days of the agreement and accordingly had been reclassified to other accrued liabilities on the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Stock Issuance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2018, the Security Purchase Agreement with PIF granted PIF rights to purchase the Company’s Series D convertible stock at various tranches. The first tranche of $200.0 million had been issuable upon the approval of the PIF’s equity investment into the Company by CFIUS (refer to Note 6 – Contingent Forward Contracts). The second and third tranches of $400.0 million each had been issuable upon the Company’s satisfaction of certain milestones related to further development and enhancement in marketing, product, and administrative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374,777,281 shares of Series D convertible preferred stock at a price of $2.33 per share, for net proceeds of approximately $872.0 million during the year ended December 31, 2019.</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2020, the Company received $200.0 million of the remaining $400.0 million in proceeds from PIF and issued 82,496,092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82,496,121 shares of Series D convertible preferred stock.</w:t>
      </w:r>
    </w:p>
    <w:p>
      <w:pPr>
        <w:sectPr>
          <w:pgSz w:w="11900" w:h="16838" w:orient="portrait"/>
          <w:cols w:equalWidth="0" w:num="1">
            <w:col w:w="11240"/>
          </w:cols>
          <w:pgMar w:left="320" w:top="989"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See activities related to the PIF Convertible Notes and Series D convertible preferred stock funding as below (in thousands):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Conversion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October 2019</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June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Contingent forward contract liability reclassified to Series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Conversion of preferred stock warrant to Series D in February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Reclassification of preferred stock warrant liability to Series D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proceeds of Series 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convertible preferred stock Issuance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86" w:hanging="686"/>
        <w:spacing w:after="0"/>
        <w:tabs>
          <w:tab w:leader="none" w:pos="686" w:val="left"/>
        </w:tabs>
        <w:numPr>
          <w:ilvl w:val="0"/>
          <w:numId w:val="11"/>
        </w:numPr>
        <w:rPr>
          <w:rFonts w:ascii="Arial" w:cs="Arial" w:eastAsia="Arial" w:hAnsi="Arial"/>
          <w:sz w:val="16"/>
          <w:szCs w:val="16"/>
          <w:color w:val="auto"/>
        </w:rPr>
      </w:pPr>
      <w:r>
        <w:rPr>
          <w:rFonts w:ascii="Arial" w:cs="Arial" w:eastAsia="Arial" w:hAnsi="Arial"/>
          <w:sz w:val="16"/>
          <w:szCs w:val="16"/>
          <w:color w:val="auto"/>
        </w:rPr>
        <w:t>271,985</w:t>
      </w:r>
    </w:p>
    <w:p>
      <w:pPr>
        <w:spacing w:after="0" w:line="46" w:lineRule="exact"/>
        <w:rPr>
          <w:rFonts w:ascii="Arial" w:cs="Arial" w:eastAsia="Arial" w:hAnsi="Arial"/>
          <w:sz w:val="16"/>
          <w:szCs w:val="16"/>
          <w:color w:val="auto"/>
        </w:rPr>
      </w:pPr>
    </w:p>
    <w:p>
      <w:pPr>
        <w:ind w:left="686"/>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45" w:lineRule="exact"/>
        <w:rPr>
          <w:rFonts w:ascii="Arial" w:cs="Arial" w:eastAsia="Arial" w:hAnsi="Arial"/>
          <w:sz w:val="16"/>
          <w:szCs w:val="16"/>
          <w:color w:val="auto"/>
        </w:rPr>
      </w:pPr>
    </w:p>
    <w:p>
      <w:pPr>
        <w:ind w:left="686"/>
        <w:spacing w:after="0"/>
        <w:rPr>
          <w:rFonts w:ascii="Arial" w:cs="Arial" w:eastAsia="Arial" w:hAnsi="Arial"/>
          <w:sz w:val="16"/>
          <w:szCs w:val="16"/>
          <w:color w:val="auto"/>
        </w:rPr>
      </w:pPr>
      <w:r>
        <w:rPr>
          <w:rFonts w:ascii="Arial" w:cs="Arial" w:eastAsia="Arial" w:hAnsi="Arial"/>
          <w:sz w:val="16"/>
          <w:szCs w:val="16"/>
          <w:color w:val="auto"/>
        </w:rPr>
        <w:t>400,000</w:t>
      </w:r>
    </w:p>
    <w:p>
      <w:pPr>
        <w:spacing w:after="0" w:line="45" w:lineRule="exact"/>
        <w:rPr>
          <w:rFonts w:ascii="Arial" w:cs="Arial" w:eastAsia="Arial" w:hAnsi="Arial"/>
          <w:sz w:val="16"/>
          <w:szCs w:val="16"/>
          <w:color w:val="auto"/>
        </w:rPr>
      </w:pPr>
    </w:p>
    <w:p>
      <w:pPr>
        <w:ind w:left="686"/>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45" w:lineRule="exact"/>
        <w:rPr>
          <w:rFonts w:ascii="Arial" w:cs="Arial" w:eastAsia="Arial" w:hAnsi="Arial"/>
          <w:sz w:val="16"/>
          <w:szCs w:val="16"/>
          <w:color w:val="auto"/>
        </w:rPr>
      </w:pPr>
    </w:p>
    <w:p>
      <w:pPr>
        <w:ind w:left="686"/>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45" w:lineRule="exact"/>
        <w:rPr>
          <w:rFonts w:ascii="Arial" w:cs="Arial" w:eastAsia="Arial" w:hAnsi="Arial"/>
          <w:sz w:val="16"/>
          <w:szCs w:val="16"/>
          <w:color w:val="auto"/>
        </w:rPr>
      </w:pPr>
    </w:p>
    <w:p>
      <w:pPr>
        <w:ind w:left="786"/>
        <w:spacing w:after="0"/>
        <w:rPr>
          <w:rFonts w:ascii="Arial" w:cs="Arial" w:eastAsia="Arial" w:hAnsi="Arial"/>
          <w:sz w:val="16"/>
          <w:szCs w:val="16"/>
          <w:color w:val="auto"/>
        </w:rPr>
      </w:pPr>
      <w:r>
        <w:rPr>
          <w:rFonts w:ascii="Arial" w:cs="Arial" w:eastAsia="Arial" w:hAnsi="Arial"/>
          <w:sz w:val="15"/>
          <w:szCs w:val="15"/>
          <w:color w:val="auto"/>
        </w:rPr>
        <w:t>39,564</w:t>
      </w:r>
    </w:p>
    <w:p>
      <w:pPr>
        <w:spacing w:after="0" w:line="57" w:lineRule="exact"/>
        <w:rPr>
          <w:rFonts w:ascii="Arial" w:cs="Arial" w:eastAsia="Arial" w:hAnsi="Arial"/>
          <w:sz w:val="16"/>
          <w:szCs w:val="16"/>
          <w:color w:val="auto"/>
        </w:rPr>
      </w:pPr>
    </w:p>
    <w:p>
      <w:pPr>
        <w:ind w:left="866"/>
        <w:spacing w:after="0"/>
        <w:rPr>
          <w:rFonts w:ascii="Arial" w:cs="Arial" w:eastAsia="Arial" w:hAnsi="Arial"/>
          <w:sz w:val="16"/>
          <w:szCs w:val="16"/>
          <w:color w:val="auto"/>
        </w:rPr>
      </w:pPr>
      <w:r>
        <w:rPr>
          <w:rFonts w:ascii="Arial" w:cs="Arial" w:eastAsia="Arial" w:hAnsi="Arial"/>
          <w:sz w:val="15"/>
          <w:szCs w:val="15"/>
          <w:color w:val="auto"/>
        </w:rPr>
        <w:t>3,000</w:t>
      </w:r>
    </w:p>
    <w:p>
      <w:pPr>
        <w:spacing w:after="0" w:line="57" w:lineRule="exact"/>
        <w:rPr>
          <w:rFonts w:ascii="Arial" w:cs="Arial" w:eastAsia="Arial" w:hAnsi="Arial"/>
          <w:sz w:val="16"/>
          <w:szCs w:val="16"/>
          <w:color w:val="auto"/>
        </w:rPr>
      </w:pPr>
    </w:p>
    <w:p>
      <w:pPr>
        <w:ind w:left="866"/>
        <w:spacing w:after="0"/>
        <w:rPr>
          <w:rFonts w:ascii="Arial" w:cs="Arial" w:eastAsia="Arial" w:hAnsi="Arial"/>
          <w:sz w:val="16"/>
          <w:szCs w:val="16"/>
          <w:color w:val="auto"/>
        </w:rPr>
      </w:pPr>
      <w:r>
        <w:rPr>
          <w:rFonts w:ascii="Arial" w:cs="Arial" w:eastAsia="Arial" w:hAnsi="Arial"/>
          <w:sz w:val="15"/>
          <w:szCs w:val="15"/>
          <w:color w:val="auto"/>
        </w:rPr>
        <w:t>9,936</w:t>
      </w:r>
    </w:p>
    <w:p>
      <w:pPr>
        <w:spacing w:after="0" w:line="70" w:lineRule="exact"/>
        <w:rPr>
          <w:sz w:val="20"/>
          <w:szCs w:val="20"/>
          <w:color w:val="auto"/>
        </w:rPr>
      </w:pPr>
    </w:p>
    <w:p>
      <w:pPr>
        <w:ind w:left="546" w:hanging="546"/>
        <w:spacing w:after="0"/>
        <w:tabs>
          <w:tab w:leader="none" w:pos="546" w:val="left"/>
        </w:tabs>
        <w:numPr>
          <w:ilvl w:val="0"/>
          <w:numId w:val="12"/>
        </w:numPr>
        <w:rPr>
          <w:rFonts w:ascii="Arial" w:cs="Arial" w:eastAsia="Arial" w:hAnsi="Arial"/>
          <w:sz w:val="16"/>
          <w:szCs w:val="16"/>
          <w:color w:val="auto"/>
        </w:rPr>
      </w:pPr>
      <w:r>
        <w:rPr>
          <w:rFonts w:ascii="Arial" w:cs="Arial" w:eastAsia="Arial" w:hAnsi="Arial"/>
          <w:sz w:val="16"/>
          <w:szCs w:val="16"/>
          <w:color w:val="auto"/>
        </w:rPr>
        <w:t>1,324,485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8655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803" w:lineRule="exact"/>
        <w:rPr>
          <w:sz w:val="20"/>
          <w:szCs w:val="20"/>
          <w:color w:val="auto"/>
        </w:rPr>
      </w:pPr>
    </w:p>
    <w:p>
      <w:pPr>
        <w:sectPr>
          <w:pgSz w:w="11900" w:h="16838" w:orient="portrait"/>
          <w:cols w:equalWidth="0" w:num="2">
            <w:col w:w="9174" w:space="720"/>
            <w:col w:w="1346"/>
          </w:cols>
          <w:pgMar w:left="320" w:top="989" w:right="339" w:bottom="1440" w:gutter="0" w:footer="0" w:header="0"/>
          <w:type w:val="continuous"/>
        </w:sectPr>
      </w:pPr>
    </w:p>
    <w:p>
      <w:pPr>
        <w:spacing w:after="0" w:line="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September 2020 the Company entered into an arrangement with Ayar to issue and sell Series E convertible preferred stock pursuant to a securities purchase agreement (the “SPAE”). Along with the execution of the SPAE, the Company granted Ayar the right to purchase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$2.99 per share of Series E convertible preferred stock. The Company needed to satisfy two sets of milestone conditions relating to further development and enhancement in marketing, product, and administrative activities for Ayar to provide funding under the SPAE.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3" w:name="page24"/>
    <w:bookmarkEnd w:id="23"/>
    <w:p>
      <w:pPr>
        <w:jc w:val="both"/>
        <w:spacing w:after="0" w:line="271" w:lineRule="auto"/>
        <w:rPr>
          <w:sz w:val="20"/>
          <w:szCs w:val="20"/>
          <w:color w:val="auto"/>
        </w:rPr>
      </w:pPr>
      <w:r>
        <w:rPr>
          <w:rFonts w:ascii="Arial" w:cs="Arial" w:eastAsia="Arial" w:hAnsi="Arial"/>
          <w:sz w:val="17"/>
          <w:szCs w:val="17"/>
          <w:color w:val="auto"/>
        </w:rPr>
        <w:t>Immediately upon closing of the SPAE, the Company received the full first tranche of $500.0 million in funding in exchange for 167,273,525 Series E convertible preferred stock as the requirement for the first milestones were met prior to execution of the purchase agreement. Subsequently, the Company successfully satisfied certain of the second set of milestones and received a waiver from PIF for the remaining milestones; and on December 24, 2020, the investor provided $400.0 million of funding in exchange for 133,818,821 shares as the final issuance of Series E convertible preferred stock related to the second milestones. Upon final settlement, the Company re-valued the liability associated with the contingent forward contract to the then fair value of $110.5 million from a contingent liability of $0.8 million and derecognized the liability as the contract was settled in its entirety. The Company recognized the increase in fair value of $109.7 million in the condensed consolidated statements of operations and reclassified the liability into convertible preferred stock on the Company’s consolidated balance sheets as of December 31, 2020.</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2021, the Company and Ayar entered into Amendment No. 1 to the original Series E Preferred Stock Purchase Agreement (“Amendment No. 1”). Under the Amendment No. 1, Ayar and the Company agreed to enter into the third closing of additional 133,818,821 shares of Series E convertible preferred stock at $2.99 per share, aggregating to $400.0 million. Upon the signing of the Amendment No. 1, the Company received the issuance proceeds of $400.0 million from Ayar in February 2021.</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The aggregate number of Series E Preferred Stock sold at the third closing and fourth closing would not exceed 200.7 million shares (“Extension Amount”). Ayar committed to purchase the entire Extension Amount to the extent not subscribed by Eligible Holders or Additional Purchasers.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2021, the Company issued 66,909,408 Series E convertible preferred stock from the fourth closing at $2.99 per share for cash consideration of $200.0 million. The Company received $107.1 million of the entire cash consideration in March 2021, and the remaining $92.9 million in April 2021. 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includes 535,275 shares offered to the CEO in April 2021. The offer to employees to participate in a future Series E convertible preferred stock financing represented a fully vested, equity classified award. The excess of the award’s fair value over the purchase price of $123.6 million on each recipient’s grant date during the nine months ended September 30, 2021 was recorded as stock-based compensation.</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Along with the execution of Amendment No. 1, the Company also increased the authorized number of common shares and convertible preferred stock to 1,316,758,889 and 1,155,909,398 stock, respectively.</w:t>
      </w:r>
    </w:p>
    <w:p>
      <w:pPr>
        <w:spacing w:after="0" w:line="197"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As of December 31, 2020, the Company had the following convertible preferred stock, par value of $0.0001 per share, authorized, and outstanding (in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40" w:type="dxa"/>
            <w:vAlign w:val="bottom"/>
            <w:tcBorders>
              <w:top w:val="single" w:sz="8" w:color="auto"/>
            </w:tcBorders>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2"/>
              </w:rPr>
              <w:t>Convertible</w:t>
            </w:r>
          </w:p>
        </w:tc>
        <w:tc>
          <w:tcPr>
            <w:tcW w:w="138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3"/>
              </w:rPr>
              <w:t>Shares</w:t>
            </w:r>
          </w:p>
        </w:tc>
        <w:tc>
          <w:tcPr>
            <w:tcW w:w="13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w w:val="92"/>
              </w:rPr>
              <w:t>Net Carrying</w:t>
            </w:r>
          </w:p>
        </w:tc>
        <w:tc>
          <w:tcPr>
            <w:tcW w:w="8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w w:val="93"/>
              </w:rPr>
              <w:t>Conversion Per Share</w:t>
            </w:r>
          </w:p>
        </w:tc>
        <w:tc>
          <w:tcPr>
            <w:tcW w:w="13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Liquidation Per</w:t>
            </w: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94"/>
              </w:rPr>
              <w:t>Liquidation</w:t>
            </w:r>
          </w:p>
        </w:tc>
        <w:tc>
          <w:tcPr>
            <w:tcW w:w="0" w:type="dxa"/>
            <w:vAlign w:val="bottom"/>
          </w:tcPr>
          <w:p>
            <w:pPr>
              <w:spacing w:after="0"/>
              <w:rPr>
                <w:sz w:val="1"/>
                <w:szCs w:val="1"/>
                <w:color w:val="auto"/>
              </w:rPr>
            </w:pPr>
          </w:p>
        </w:tc>
      </w:tr>
      <w:tr>
        <w:trPr>
          <w:trHeight w:val="175"/>
        </w:trPr>
        <w:tc>
          <w:tcPr>
            <w:tcW w:w="27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2"/>
              </w:rPr>
              <w:t>Preferred</w:t>
            </w:r>
          </w:p>
        </w:tc>
        <w:tc>
          <w:tcPr>
            <w:tcW w:w="138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Stock</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Authorized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rPr>
              <w:t>to Common Stock</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Share Amount</w:t>
            </w:r>
          </w:p>
        </w:tc>
        <w:tc>
          <w:tcPr>
            <w:tcW w:w="14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32,045,280</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32,045,280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229"/>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Series B*</w:t>
            </w:r>
          </w:p>
        </w:tc>
        <w:tc>
          <w:tcPr>
            <w:tcW w:w="1300" w:type="dxa"/>
            <w:vAlign w:val="bottom"/>
          </w:tcPr>
          <w:p>
            <w:pPr>
              <w:jc w:val="right"/>
              <w:spacing w:after="0"/>
              <w:rPr>
                <w:sz w:val="20"/>
                <w:szCs w:val="20"/>
                <w:color w:val="auto"/>
              </w:rPr>
            </w:pPr>
            <w:r>
              <w:rPr>
                <w:rFonts w:ascii="Arial" w:cs="Arial" w:eastAsia="Arial" w:hAnsi="Arial"/>
                <w:sz w:val="18"/>
                <w:szCs w:val="18"/>
                <w:color w:val="auto"/>
              </w:rPr>
              <w:t>24,677,332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24,677,332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82,414,075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59,575,253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144,432</w:t>
            </w:r>
          </w:p>
        </w:tc>
        <w:tc>
          <w:tcPr>
            <w:tcW w:w="0" w:type="dxa"/>
            <w:vAlign w:val="bottom"/>
          </w:tcPr>
          <w:p>
            <w:pPr>
              <w:spacing w:after="0"/>
              <w:rPr>
                <w:sz w:val="1"/>
                <w:szCs w:val="1"/>
                <w:color w:val="auto"/>
              </w:rPr>
            </w:pPr>
          </w:p>
        </w:tc>
      </w:tr>
      <w:tr>
        <w:trPr>
          <w:trHeight w:val="23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Series D</w:t>
            </w:r>
          </w:p>
        </w:tc>
        <w:tc>
          <w:tcPr>
            <w:tcW w:w="1300" w:type="dxa"/>
            <w:vAlign w:val="bottom"/>
          </w:tcPr>
          <w:p>
            <w:pPr>
              <w:jc w:val="right"/>
              <w:spacing w:after="0"/>
              <w:rPr>
                <w:sz w:val="20"/>
                <w:szCs w:val="20"/>
                <w:color w:val="auto"/>
              </w:rPr>
            </w:pPr>
            <w:r>
              <w:rPr>
                <w:rFonts w:ascii="Arial" w:cs="Arial" w:eastAsia="Arial" w:hAnsi="Arial"/>
                <w:sz w:val="18"/>
                <w:szCs w:val="18"/>
                <w:color w:val="auto"/>
              </w:rPr>
              <w:t>618,720,748</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539,769,493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1,311,548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1,963,912</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301,092,345</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301,092,346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1,349,449</w:t>
            </w:r>
          </w:p>
        </w:tc>
        <w:tc>
          <w:tcPr>
            <w:tcW w:w="0" w:type="dxa"/>
            <w:vAlign w:val="bottom"/>
          </w:tcPr>
          <w:p>
            <w:pPr>
              <w:spacing w:after="0"/>
              <w:rPr>
                <w:sz w:val="1"/>
                <w:szCs w:val="1"/>
                <w:color w:val="auto"/>
              </w:rPr>
            </w:pPr>
          </w:p>
        </w:tc>
      </w:tr>
      <w:tr>
        <w:trPr>
          <w:trHeight w:val="223"/>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1,058,949,780</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957,159,704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2,494,076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3,497,913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3,525,332 Series B convertible preferred stock at aggregate fair value of $3.0 million were extinguished and reclassified to other accrued liabilities, with cash settlement occurring in January 2021.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significant rights and preferences of the outstanding convertible preferred stock through the Closing of the Merger are as follows: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color w:val="auto"/>
        </w:rPr>
        <w:t>—Through the Closing Date, Holders of Series A, Series B, and Series C had been entitled to receive noncumulative dividends at an annual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$0.03, $0.09, $0.19 per share, respectively. Holders of Series D and Series E had been entitled to receive noncumulative dividends at the rate of 8% of the Series D and Series E Original Issue Price (as adjusted for any Stock Split Change) per annum on each outstanding share of Series D and Series E through the Closing Date. Such dividends had been payable when and if declared by the Company’s board of directors (the “Board of Directors”). No other dividends would have been paid on any common or convertible preferred stock until such dividends on Series A, Series B, Series C, Series D and Series E had been paid or declared by the Board of Directors. Through the Closing Date, no dividends had been declared.</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Liquidation Preference</w:t>
      </w:r>
      <w:r>
        <w:rPr>
          <w:rFonts w:ascii="Arial" w:cs="Arial" w:eastAsia="Arial" w:hAnsi="Arial"/>
          <w:sz w:val="17"/>
          <w:szCs w:val="17"/>
          <w:color w:val="auto"/>
        </w:rPr>
        <w:t>—Until the Closing Date, in the event of any liquidation, dissolution, or winding-up of the Company, whether voluntary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involuntary (a Liquidation Event), before any distribution or payment would have been made to holders of common stock, each holder of convertible preferred stock then outstanding would have been entitled to be paid, pro rata, out of the assets of the Company available for distribution to members, whether from capital, surplus, or earnings, in the sequence of Series E, Series D, Series C, Series B and Series A, an amount equal to one and one-half times (1.5x), one and one-half times (1.5x), one time (1x), one time (1x), one time (1x) of the Series E, Series D, Series C, Series B, and Series A original issue price per share (as adjusted for Share Split Changes), plus all declared and unpaid distributions thereon.</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—Until the Closing Date, the holders of Series A, Series B, Series C, Series D and Series E convertible preferred stock had been entitled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number of votes equal to the number of common stock into which such convertible preferred stock had been convertible, and with respect to such vote, such holder had been to full voting rights and powers equal to the voting rights and powers of the holders of common stock, and had been entitled, notwithstanding any provision hereof, to notice of any shareholders’ meeting in accordance with our bylaws. The holders of convertible preferred stock and the holders of common stock had been entitled to vote together and not as separate classes.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Conversion</w:t>
      </w:r>
      <w:r>
        <w:rPr>
          <w:rFonts w:ascii="Arial" w:cs="Arial" w:eastAsia="Arial" w:hAnsi="Arial"/>
          <w:sz w:val="17"/>
          <w:szCs w:val="17"/>
          <w:color w:val="auto"/>
        </w:rPr>
        <w:t>—Until the Closing Date, each Series A, Series B, Series C, Series D and Series E convertible preferred stock had been convertible, 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of the holder, into one fully paid nonassessable common stock. The conversion formula had been adjusted for such events as dilutive issuances, stock splits, or business combinations. Each share of Series A, Series B, Series C, Series D and Series E convertible preferred stock had been automatically converted into one share of common stock at the applicable conversion price upon the earlier of (1) vote or written consent of the holders of at least 66.67% of the outstanding Series A, Series B, Series C, Series D or 50% for Series E convertible preferred stock, as applicable (each calculated on an as-converted basis), voting as a class, or (2) immediately before the closing of the Company’s sale of its common stock in a firm commitment underwritten public offering on a U.S. national securities exchange or other internationally recognized securities exchange, which had been reflected a pre-offering market capitalization in excess of $2.5 billion and which had resulted in gross proceeds to the Company of at least $200.0 million (before payment of underwriters’ discounts, commissions and offering expenses) (such transaction, a “Qualified IPO”).</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Antidilution Adjustment</w:t>
      </w:r>
      <w:r>
        <w:rPr>
          <w:rFonts w:ascii="Arial" w:cs="Arial" w:eastAsia="Arial" w:hAnsi="Arial"/>
          <w:sz w:val="17"/>
          <w:szCs w:val="17"/>
          <w:color w:val="auto"/>
        </w:rPr>
        <w:t>—Until the Closing Date, subject to certain exceptions, if the Company had issued additional common stock without consideration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for a consideration per share, less than the conversion price with respect to such series of the convertible preferred stock in effect immediately before the issuance of such additional shares, the conversion price of such series of convertible preferred stock in effect immediately before each such issuance had been automatically adjusted. The new conversion price for such series of convertible preferred stock had been determined by multiplying the conversion price for such series of convertible preferred stock then in effect by a fraction, the numerator of which had been the number of common stock outstanding immediately before such issuance, plus the number of shares that the aggregate consideration received by the Company for such issuance would purchase at such conversion price then in effect, and the denominator of which had been the number of common stock outstanding immediately before such issuance, plus the number of such additional common stock to be issued.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 (DEFICIT)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authorized the issuance of 10,000,000 shares of undesignated preferred stock with a par value of $0.0001 per share with rights and preferences, including voting rights, designated from time to time by the board of directors. As of September 30, 2021, there were no issued and outstanding shares of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425,395,023 new shares of common stock upon the Closing. The Company also converted all 1,155,909,367 shares of its issued and outstanding convertible preferred stock into 1,155,909,367 new shares of common stock as of the Closing of the Merger based upon the conversion rate as calculated pursuant to Legacy Lucid’s memorandum and articles of association. Immediately following the Merger, there were 1,618,621,534 shares of common stock outstanding with a par value of $0.0001. The holder of each share of common stock is entitled to one vote.</w:t>
      </w:r>
    </w:p>
    <w:p>
      <w:pPr>
        <w:sectPr>
          <w:pgSz w:w="11900" w:h="16838" w:orient="portrait"/>
          <w:cols w:equalWidth="0" w:num="1">
            <w:col w:w="11240"/>
          </w:cols>
          <w:pgMar w:left="320" w:top="989" w:right="339" w:bottom="1440"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Common Stock Warrants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41,400,000 publicly-traded warrants to purchase shares of its common stock. Each whole warrant entitles the holder to purchase one share of the Company’s common stock at a price of $11.50 per share. The public warrants were exercisable as of August 22, 2021 and expire on July 23, 2026, if not yet exercised by the holder or redeemed by the Company.</w:t>
      </w:r>
    </w:p>
    <w:p>
      <w:pPr>
        <w:spacing w:after="0" w:line="21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three and nine months ended September 30, 2021, an aggregate of 32,082,532 public warrants were exercised, of which 17,015,311 were exercised on a cashless basis. The aggregate cash proceeds received from the exercise of these public warrants were $173.3 million. A summary of activity of the Company’s issued and outstanding public warrants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80" w:type="dxa"/>
            <w:vAlign w:val="bottom"/>
          </w:tcPr>
          <w:p>
            <w:pPr>
              <w:spacing w:after="0"/>
              <w:rPr>
                <w:sz w:val="17"/>
                <w:szCs w:val="17"/>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September 30,</w:t>
            </w:r>
          </w:p>
        </w:tc>
      </w:tr>
      <w:tr>
        <w:trPr>
          <w:trHeight w:val="229"/>
        </w:trPr>
        <w:tc>
          <w:tcPr>
            <w:tcW w:w="98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 issued in connection with Merger on July 23, 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41,400,000</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Number of public warrants exercised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(32,082,532)</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Issued and outstanding public warrants as of September 30,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9,317,468</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8, 2021 the Company issued a redemption notice to the holders of the public warrants pursuant to which the Company would redeem any remaining issued and outstanding warrants at a price of $0.01 per warrant at the scheduled redemption date. Upon the redemption notification, holders of the public warrants only had the right to exercise their outstanding warrants prior to the scheduled redemption date on a cashless basis. On October 14, 2021, the Company extended the redemption date to October 29, 2021. Subsequent to September 30, 2021 and prior to the conclusion of the redemption notice period on October 29, 2021, an aggregate of 8,951,665 public warrants were exercised on a cashless basis. At the conclusion of the redemption notice period on October 29, 2021, the remaining 365,803 public warrants issued and outstanding were redeemed at price of $0.01 per warrant.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Reserved for Issuance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reserved for future issuances as of September 30, 2021 and December 31, 2020,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84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957,159,704</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Convertible preferred stock warrant (on an as-converted basis)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1,546,799</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warrants to purchase common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44,350,000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Public warrants to purchase common stock</w:t>
            </w:r>
          </w:p>
        </w:tc>
        <w:tc>
          <w:tcPr>
            <w:tcW w:w="1360" w:type="dxa"/>
            <w:vAlign w:val="bottom"/>
          </w:tcPr>
          <w:p>
            <w:pPr>
              <w:jc w:val="right"/>
              <w:spacing w:after="0"/>
              <w:rPr>
                <w:sz w:val="20"/>
                <w:szCs w:val="20"/>
                <w:color w:val="auto"/>
              </w:rPr>
            </w:pPr>
            <w:r>
              <w:rPr>
                <w:rFonts w:ascii="Arial" w:cs="Arial" w:eastAsia="Arial" w:hAnsi="Arial"/>
                <w:sz w:val="18"/>
                <w:szCs w:val="18"/>
                <w:color w:val="auto"/>
              </w:rPr>
              <w:t>9,317,468</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outstanding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67,013,622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70,675,318</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Restricted stock units outstanding</w:t>
            </w:r>
          </w:p>
        </w:tc>
        <w:tc>
          <w:tcPr>
            <w:tcW w:w="1360" w:type="dxa"/>
            <w:vAlign w:val="bottom"/>
          </w:tcPr>
          <w:p>
            <w:pPr>
              <w:jc w:val="right"/>
              <w:spacing w:after="0"/>
              <w:rPr>
                <w:sz w:val="20"/>
                <w:szCs w:val="20"/>
                <w:color w:val="auto"/>
              </w:rPr>
            </w:pPr>
            <w:r>
              <w:rPr>
                <w:rFonts w:ascii="Arial" w:cs="Arial" w:eastAsia="Arial" w:hAnsi="Arial"/>
                <w:sz w:val="18"/>
                <w:szCs w:val="18"/>
                <w:color w:val="auto"/>
              </w:rPr>
              <w:t>43,183,277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future grants under equity plans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12,894,374</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10,526,235</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shares of common stock reserved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176,758,741</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1,039,908,056</w:t>
            </w:r>
          </w:p>
        </w:tc>
      </w:tr>
      <w:tr>
        <w:trPr>
          <w:trHeight w:val="21"/>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EARNBACK SHARES AND WARRANTS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period between the Closing and the five-year anniversary of the Closing, the Churchill Sponsor has subjected the 17,250,000 Sponsor Earnback Shares of issued and outstanding common stock and 14,783,333 Sponsor Earnback Warrants of issued and outstanding private warrants to potential forfeiture to Lucid for no consideration until the occurrence of each tranche’s respective earnback triggering event. The 17,250,000 Sponsor Earnback Shares are comprised of three separate tranches of 5,750,000 shares per tranche. The 14,783,333 Sponsor Earnback Warrants are comprised of three separate tranches of (i) 4,927,778 warrants, (ii) 4,927,778 warrants, and (iii) 4,927,777 warrants. The earnback triggering events for the three respective tranches of the Sponsor Earnback Shares and Sponsor Earnback Warrants will be met upon the earlier of (i) the date on which the volume-weighted average trading sale price of one share of our common stock quoted on Nasdaq is greater than or equal to $20.00, $25.00, and $30.00, respectively, for any 40 trading days within any 60 consecutive trading day period or (ii) a</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change in control of Lucid pursuant to which stockholders of Lucid have the right to receive consideration implying a value per share greater than or equal to $20.00, $25.00, and $30.00,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earnback triggering events were determined to be indexed to the Company’s common stock as the earnback triggering events are measured on a dilutive basis.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first earnback triggering event related to achieving a volume-weighted average trading sale price greater than or equal to $20.00 for any 40 trading days within any 60 consecutive trading day period was satisfied on September 29, 2021. As a result, the first tranche of the Sponsor Earnback Shares and Sponsor Earnback Warrants, or 5,750,000 shares of common stock and 4,927,778 private warrants respectively, were vested and no longer subject to the transfer restrictions and contingent forfeiture provisions.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Lucid 2021 Stock Incentive Plan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2021, the Company’s board of directors adopted and the stockholders approved the 2021 Stock Incentive Plan (the “2021 Plan”). The 2021 Plan replaced the Company’s 2014 Plan. The 10,526,235 shares reserved for future issuance under the 2014 Plan were removed and added to the share reserve under the 2021 Plan. The 2021 Plan provided for the grant of incentive stock options, non-statutory stock options, restricted shares, restricted stock units (“RSU”), share appreciation rights, performance based awards and cash based awards to the Company’s employees, directors, and consultants.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Lucid 2021 Stock Incentive Plan and ESPP Addendum</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July 2021, the Company’s board of directors adopted and the stockholders approved the 2021 Incentive Plan (the “2021 Incentive Plan”), which includes an employee stock purchase plan as an addendum (the “</w:t>
      </w:r>
      <w:r>
        <w:rPr>
          <w:rFonts w:ascii="Arial" w:cs="Arial" w:eastAsia="Arial" w:hAnsi="Arial"/>
          <w:sz w:val="18"/>
          <w:szCs w:val="18"/>
          <w:i w:val="1"/>
          <w:iCs w:val="1"/>
          <w:color w:val="auto"/>
        </w:rPr>
        <w:t>ESPP Addendum</w:t>
      </w:r>
      <w:r>
        <w:rPr>
          <w:rFonts w:ascii="Arial" w:cs="Arial" w:eastAsia="Arial" w:hAnsi="Arial"/>
          <w:sz w:val="18"/>
          <w:szCs w:val="18"/>
          <w:color w:val="auto"/>
        </w:rPr>
        <w:t>”). The 2021 Incentive Plan replaced the 2021 Plan. The 2021 Incentive Plan provides for the grant of restricted shares, non-qualified stock options, incentive stock options, unrestricted shares, stock appreciation rights, restricted stock units and cash awards. Shares of common stock underlying awards that are forfeited or cancelled generally are returned to the pool of shares available for issuance under the 2021 Incentive Plan.</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ESPP Addendum authorizes the issuance of shares of common stock pursuant to purchase rights granted to employees. The purchase price for each share purchased during an offering period will be the lesser of 85% of the fair market value of the share on the purchase date or 85% of the fair market value of the share on the offering date. The offering dates and purchase dates for the ESPP Addendum are determined at the discretion of the Company’s board of directors. As of September 30, 2021, the Company had not yet launched its ESPP Addendum.</w:t>
      </w:r>
    </w:p>
    <w:p>
      <w:pPr>
        <w:spacing w:after="0" w:line="17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number of shares of common stock that remain available for issuance under the 2021 Incentive Plan, including the ESPP Addendum, was 12,894,374 as of September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outstanding stock options generally expire 10 years from the date of grant and are exercisable when the options vest. Incentive stock options and non-statutory options generally vest over four years, the majority of which vest at a rate of 25% on the first anniversary of the grant date, with the remainder vesting ratably each month over the next three years. A summary of stock option activity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Outstanding Options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84"/>
        </w:trPr>
        <w:tc>
          <w:tcPr>
            <w:tcW w:w="5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40"/>
              <w:spacing w:after="0" w:line="184" w:lineRule="exact"/>
              <w:rPr>
                <w:sz w:val="20"/>
                <w:szCs w:val="20"/>
                <w:color w:val="auto"/>
              </w:rPr>
            </w:pPr>
            <w:r>
              <w:rPr>
                <w:rFonts w:ascii="Arial" w:cs="Arial" w:eastAsia="Arial" w:hAnsi="Arial"/>
                <w:sz w:val="18"/>
                <w:szCs w:val="18"/>
                <w:b w:val="1"/>
                <w:bCs w:val="1"/>
                <w:color w:val="auto"/>
                <w:w w:val="88"/>
              </w:rPr>
              <w:t>Weighted</w:t>
            </w:r>
          </w:p>
        </w:tc>
        <w:tc>
          <w:tcPr>
            <w:tcW w:w="1940" w:type="dxa"/>
            <w:vAlign w:val="bottom"/>
            <w:gridSpan w:val="2"/>
          </w:tcPr>
          <w:p>
            <w:pPr>
              <w:jc w:val="center"/>
              <w:ind w:right="80"/>
              <w:spacing w:after="0" w:line="184" w:lineRule="exact"/>
              <w:rPr>
                <w:sz w:val="20"/>
                <w:szCs w:val="20"/>
                <w:color w:val="auto"/>
              </w:rPr>
            </w:pPr>
            <w:r>
              <w:rPr>
                <w:rFonts w:ascii="Arial" w:cs="Arial" w:eastAsia="Arial" w:hAnsi="Arial"/>
                <w:sz w:val="18"/>
                <w:szCs w:val="18"/>
                <w:b w:val="1"/>
                <w:bCs w:val="1"/>
                <w:color w:val="auto"/>
                <w:w w:val="89"/>
              </w:rPr>
              <w:t>Weighted-Average</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40" w:type="dxa"/>
            <w:vAlign w:val="bottom"/>
          </w:tcPr>
          <w:p>
            <w:pPr>
              <w:spacing w:after="0"/>
              <w:rPr>
                <w:sz w:val="16"/>
                <w:szCs w:val="16"/>
                <w:color w:val="auto"/>
              </w:rPr>
            </w:pPr>
          </w:p>
        </w:tc>
        <w:tc>
          <w:tcPr>
            <w:tcW w:w="116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87"/>
              </w:rPr>
              <w:t>Average</w:t>
            </w:r>
          </w:p>
        </w:tc>
        <w:tc>
          <w:tcPr>
            <w:tcW w:w="1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w w:val="92"/>
              </w:rPr>
              <w:t>Remaining Contractual</w:t>
            </w:r>
          </w:p>
        </w:tc>
        <w:tc>
          <w:tcPr>
            <w:tcW w:w="156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w w:val="97"/>
              </w:rPr>
              <w:t>Intrinsic Value (in</w:t>
            </w:r>
          </w:p>
        </w:tc>
      </w:tr>
      <w:tr>
        <w:trPr>
          <w:trHeight w:val="241"/>
        </w:trPr>
        <w:tc>
          <w:tcPr>
            <w:tcW w:w="524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Exercise Price</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Term</w:t>
            </w:r>
          </w:p>
        </w:tc>
        <w:tc>
          <w:tcPr>
            <w:tcW w:w="240" w:type="dxa"/>
            <w:vAlign w:val="bottom"/>
          </w:tcPr>
          <w:p>
            <w:pPr>
              <w:spacing w:after="0"/>
              <w:rPr>
                <w:sz w:val="20"/>
                <w:szCs w:val="20"/>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thousands)</w:t>
            </w:r>
          </w:p>
        </w:tc>
      </w:tr>
      <w:tr>
        <w:trPr>
          <w:trHeight w:val="24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70,675,318</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80" w:type="dxa"/>
            <w:vAlign w:val="bottom"/>
            <w:tcBorders>
              <w:top w:val="single" w:sz="8" w:color="CCEEFF"/>
            </w:tcBorders>
            <w:shd w:val="clear" w:color="auto" w:fill="CCEEFF"/>
          </w:tcPr>
          <w:p>
            <w:pPr>
              <w:spacing w:after="0"/>
              <w:rPr>
                <w:sz w:val="21"/>
                <w:szCs w:val="21"/>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647,218</w:t>
            </w:r>
          </w:p>
        </w:tc>
      </w:tr>
      <w:tr>
        <w:trPr>
          <w:trHeight w:val="237"/>
        </w:trPr>
        <w:tc>
          <w:tcPr>
            <w:tcW w:w="524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8,402,925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(8,966,272)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7"/>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(3,098,349)</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1.68</w:t>
            </w:r>
          </w:p>
        </w:tc>
        <w:tc>
          <w:tcPr>
            <w:tcW w:w="8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r>
      <w:tr>
        <w:trPr>
          <w:trHeight w:val="26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2021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67,013,622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1,628,923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17"/>
        </w:trPr>
        <w:tc>
          <w:tcPr>
            <w:tcW w:w="5240" w:type="dxa"/>
            <w:vAlign w:val="bottom"/>
          </w:tcPr>
          <w:p>
            <w:pPr>
              <w:ind w:left="20"/>
              <w:spacing w:after="0"/>
              <w:rPr>
                <w:sz w:val="20"/>
                <w:szCs w:val="20"/>
                <w:color w:val="auto"/>
              </w:rPr>
            </w:pPr>
            <w:r>
              <w:rPr>
                <w:rFonts w:ascii="Arial" w:cs="Arial" w:eastAsia="Arial" w:hAnsi="Arial"/>
                <w:sz w:val="18"/>
                <w:szCs w:val="18"/>
                <w:color w:val="auto"/>
              </w:rPr>
              <w:t>Options vested and exercisable September 30, 2021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41,932,824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0.75</w:t>
            </w: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1,032,660</w:t>
            </w:r>
          </w:p>
        </w:tc>
      </w:tr>
      <w:tr>
        <w:trPr>
          <w:trHeight w:val="21"/>
        </w:trPr>
        <w:tc>
          <w:tcPr>
            <w:tcW w:w="5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Aggregate intrinsic value represents the difference between the exercise price of the options and the fair value of common shares. The aggregate intrinsic value of options exercised was approximately $152.8 million for the nine months ended September 30, 2021, and $3.4 million for the nine months ended September 30, 2020.</w:t>
      </w:r>
    </w:p>
    <w:p>
      <w:pPr>
        <w:sectPr>
          <w:pgSz w:w="11900" w:h="16838" w:orient="portrait"/>
          <w:cols w:equalWidth="0" w:num="1">
            <w:col w:w="11240"/>
          </w:cols>
          <w:pgMar w:left="320" w:top="773" w:right="33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The total fair value of stock options granted during the nine months ended September 30, 2021 and 2020, was approximately $24.0 million and $16.1 million, respectively, which is recognized over the respective vesting periods. The total fair value of stock options vested during the nine months ended September 30, 2021 and 2020, was approximately $4.7 million and $3.1 million, respectively.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estimates the fair value of the options utilizing the Black-Scholes option pricing model, which is dependent upon several variables, including expected option term, expected volatility of the Company’s share price over the expected term, expected risk-free interest rate over the expected option term, and expected dividend yield rate over the expected option term, and actual forfeiture rates. A summary of the assumptions the Company utilized to record compensation expense for stock options granted during the three and nine months ended September 30, 2021 and 2020,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740" w:type="dxa"/>
            <w:vAlign w:val="bottom"/>
            <w:gridSpan w:val="7"/>
          </w:tcPr>
          <w:p>
            <w:pPr>
              <w:jc w:val="right"/>
              <w:ind w:right="3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32"/>
        </w:trPr>
        <w:tc>
          <w:tcPr>
            <w:tcW w:w="4540" w:type="dxa"/>
            <w:vAlign w:val="bottom"/>
            <w:tcBorders>
              <w:bottom w:val="single" w:sz="8" w:color="CFF0FC"/>
            </w:tcBorders>
          </w:tcPr>
          <w:p>
            <w:pPr>
              <w:spacing w:after="0"/>
              <w:rPr>
                <w:sz w:val="20"/>
                <w:szCs w:val="20"/>
                <w:color w:val="auto"/>
              </w:rPr>
            </w:pPr>
          </w:p>
        </w:tc>
        <w:tc>
          <w:tcPr>
            <w:tcW w:w="15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8"/>
                <w:szCs w:val="18"/>
                <w:b w:val="1"/>
                <w:bCs w:val="1"/>
                <w:color w:val="auto"/>
                <w:w w:val="89"/>
              </w:rPr>
              <w:t>2020</w:t>
            </w:r>
          </w:p>
        </w:tc>
        <w:tc>
          <w:tcPr>
            <w:tcW w:w="11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41"/>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volatility</w:t>
            </w:r>
          </w:p>
        </w:tc>
        <w:tc>
          <w:tcPr>
            <w:tcW w:w="15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90"/>
              </w:rPr>
              <w:t>50.4%</w:t>
            </w:r>
          </w:p>
        </w:tc>
        <w:tc>
          <w:tcPr>
            <w:tcW w:w="1160" w:type="dxa"/>
            <w:vAlign w:val="bottom"/>
            <w:gridSpan w:val="3"/>
            <w:shd w:val="clear" w:color="auto" w:fill="CCEEFF"/>
          </w:tcPr>
          <w:p>
            <w:pPr>
              <w:jc w:val="center"/>
              <w:ind w:left="530"/>
              <w:spacing w:after="0"/>
              <w:rPr>
                <w:sz w:val="20"/>
                <w:szCs w:val="20"/>
                <w:color w:val="auto"/>
              </w:rPr>
            </w:pPr>
            <w:r>
              <w:rPr>
                <w:rFonts w:ascii="Arial" w:cs="Arial" w:eastAsia="Arial" w:hAnsi="Arial"/>
                <w:sz w:val="18"/>
                <w:szCs w:val="18"/>
                <w:color w:val="auto"/>
                <w:w w:val="90"/>
              </w:rPr>
              <w:t>41.9%</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0"/>
              </w:rPr>
              <w:t>65.2%</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87"/>
              </w:rPr>
              <w:t>0.0</w:t>
            </w:r>
          </w:p>
        </w:tc>
        <w:tc>
          <w:tcPr>
            <w:tcW w:w="80" w:type="dxa"/>
            <w:vAlign w:val="bottom"/>
          </w:tcPr>
          <w:p>
            <w:pPr>
              <w:spacing w:after="0"/>
              <w:rPr>
                <w:sz w:val="20"/>
                <w:szCs w:val="20"/>
                <w:color w:val="auto"/>
              </w:rPr>
            </w:pPr>
          </w:p>
        </w:tc>
        <w:tc>
          <w:tcPr>
            <w:tcW w:w="860" w:type="dxa"/>
            <w:vAlign w:val="bottom"/>
            <w:gridSpan w:val="3"/>
          </w:tcPr>
          <w:p>
            <w:pPr>
              <w:jc w:val="center"/>
              <w:ind w:left="230"/>
              <w:spacing w:after="0"/>
              <w:rPr>
                <w:sz w:val="20"/>
                <w:szCs w:val="20"/>
                <w:color w:val="auto"/>
              </w:rPr>
            </w:pPr>
            <w:r>
              <w:rPr>
                <w:rFonts w:ascii="Arial" w:cs="Arial" w:eastAsia="Arial" w:hAnsi="Arial"/>
                <w:sz w:val="18"/>
                <w:szCs w:val="18"/>
                <w:color w:val="auto"/>
                <w:w w:val="87"/>
              </w:rPr>
              <w:t>5.8</w:t>
            </w:r>
          </w:p>
        </w:tc>
        <w:tc>
          <w:tcPr>
            <w:tcW w:w="1020" w:type="dxa"/>
            <w:vAlign w:val="bottom"/>
            <w:gridSpan w:val="2"/>
          </w:tcPr>
          <w:p>
            <w:pPr>
              <w:jc w:val="center"/>
              <w:ind w:left="670"/>
              <w:spacing w:after="0"/>
              <w:rPr>
                <w:sz w:val="20"/>
                <w:szCs w:val="20"/>
                <w:color w:val="auto"/>
              </w:rPr>
            </w:pPr>
            <w:r>
              <w:rPr>
                <w:rFonts w:ascii="Arial" w:cs="Arial" w:eastAsia="Arial" w:hAnsi="Arial"/>
                <w:sz w:val="18"/>
                <w:szCs w:val="18"/>
                <w:color w:val="auto"/>
                <w:w w:val="87"/>
              </w:rPr>
              <w:t>5.9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87"/>
              </w:rPr>
              <w:t>5.9</w:t>
            </w:r>
          </w:p>
        </w:tc>
        <w:tc>
          <w:tcPr>
            <w:tcW w:w="0" w:type="dxa"/>
            <w:vAlign w:val="bottom"/>
          </w:tcPr>
          <w:p>
            <w:pPr>
              <w:spacing w:after="0"/>
              <w:rPr>
                <w:sz w:val="1"/>
                <w:szCs w:val="1"/>
                <w:color w:val="auto"/>
              </w:rPr>
            </w:pPr>
          </w:p>
        </w:tc>
      </w:tr>
      <w:tr>
        <w:trPr>
          <w:trHeight w:val="249"/>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5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92"/>
              </w:rPr>
              <w:t>1.6%</w:t>
            </w:r>
          </w:p>
        </w:tc>
        <w:tc>
          <w:tcPr>
            <w:tcW w:w="1160" w:type="dxa"/>
            <w:vAlign w:val="bottom"/>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87"/>
              </w:rPr>
              <w:t>0.6%</w:t>
            </w: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2"/>
              </w:rPr>
              <w:t>0.9%</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9"/>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Unit</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A summary of RSU award activity is as follows:</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454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Restricted Stock Units</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8"/>
                <w:szCs w:val="18"/>
                <w:b w:val="1"/>
                <w:bCs w:val="1"/>
                <w:color w:val="auto"/>
              </w:rPr>
              <w:t>Performance-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center"/>
              <w:ind w:right="30"/>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16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88"/>
              </w:rPr>
              <w:t>Time-Based Shares</w:t>
            </w:r>
          </w:p>
        </w:tc>
        <w:tc>
          <w:tcPr>
            <w:tcW w:w="15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vMerge w:val="restart"/>
          </w:tcPr>
          <w:p>
            <w:pPr>
              <w:jc w:val="right"/>
              <w:ind w:right="270"/>
              <w:spacing w:after="0"/>
              <w:rPr>
                <w:sz w:val="20"/>
                <w:szCs w:val="20"/>
                <w:color w:val="auto"/>
              </w:rPr>
            </w:pPr>
            <w:r>
              <w:rPr>
                <w:rFonts w:ascii="Arial" w:cs="Arial" w:eastAsia="Arial" w:hAnsi="Arial"/>
                <w:sz w:val="18"/>
                <w:szCs w:val="18"/>
                <w:b w:val="1"/>
                <w:bCs w:val="1"/>
                <w:color w:val="auto"/>
              </w:rPr>
              <w:t>Total 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4"/>
          </w:tcPr>
          <w:p>
            <w:pPr>
              <w:jc w:val="center"/>
              <w:ind w:right="30"/>
              <w:spacing w:after="0" w:line="176" w:lineRule="exact"/>
              <w:rPr>
                <w:sz w:val="20"/>
                <w:szCs w:val="20"/>
                <w:color w:val="auto"/>
              </w:rPr>
            </w:pPr>
            <w:r>
              <w:rPr>
                <w:rFonts w:ascii="Arial" w:cs="Arial" w:eastAsia="Arial" w:hAnsi="Arial"/>
                <w:sz w:val="18"/>
                <w:szCs w:val="18"/>
                <w:b w:val="1"/>
                <w:bCs w:val="1"/>
                <w:color w:val="auto"/>
                <w:w w:val="96"/>
              </w:rPr>
              <w:t>Grant-Date Fair</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Based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balance as of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27,500,001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16,024,411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43,524,412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(341,135)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(341,135)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Nonvested balance as of September 30,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27,158,866</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16,024,411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43,183,277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Time-based RSUs vest based on a performance condition and a service condition. The performance condition was satisfied upon the Closing of the Merger, and the service condition will be met generally over 4.0 years. The Company granted 13,834,748 shares of the time-based RSUs to the CEO that will vest in sixteen equal quarterly installments beginning on December 5, 2021, subject to continuous employment. The service condition for 25% of the Company’s non-CEO RSUs will be satisfied 375 days after the Closing. The remaining RSUs will be satisfied in equal quarterly installments thereafter, subject to continuous employment. The fair value of these time-based RSUs was measured using the fair</w:t>
      </w:r>
    </w:p>
    <w:p>
      <w:pPr>
        <w:spacing w:after="0" w:line="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value of the Company’s common stock on the date of the grant, as based on the market price of Churchill’s stock adjusted for the expected exchange ratio at the time, and discounted for lack of marketability.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performance-based RSUs are granted to the CEO. The CEO performance RSUs will vest subject to the performance and market conditions. The performance condition was satisfied upon the Closing. The market conditions will be satisfied and vest in five tranches based on the achievement of market capitalization goals applicable to each tranche over a six-month period subject to the CEO’s continuous employment through the applicable vesting date. Any CEO performance RSUs that have not vested within five years after the Closing will be forfeited. As of September 30, 2021, none of the market capitalization goals had been achieved. The fair value of these performance-based RSUs was measured on the grant date, March 27, 2021, using a Monte Carlo simulation model, with the following assumptions: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volatility</w:t>
            </w:r>
          </w:p>
        </w:tc>
        <w:tc>
          <w:tcPr>
            <w:tcW w:w="5340" w:type="dxa"/>
            <w:vAlign w:val="bottom"/>
            <w:shd w:val="clear" w:color="auto" w:fill="CFF0FC"/>
          </w:tcPr>
          <w:p>
            <w:pPr>
              <w:jc w:val="center"/>
              <w:ind w:left="2830"/>
              <w:spacing w:after="0"/>
              <w:rPr>
                <w:sz w:val="20"/>
                <w:szCs w:val="20"/>
                <w:color w:val="auto"/>
              </w:rPr>
            </w:pPr>
            <w:r>
              <w:rPr>
                <w:rFonts w:ascii="Arial" w:cs="Arial" w:eastAsia="Arial" w:hAnsi="Arial"/>
                <w:sz w:val="18"/>
                <w:szCs w:val="18"/>
                <w:color w:val="auto"/>
                <w:w w:val="90"/>
              </w:rPr>
              <w:t>60.0%</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5340" w:type="dxa"/>
            <w:vAlign w:val="bottom"/>
          </w:tcPr>
          <w:p>
            <w:pPr>
              <w:jc w:val="center"/>
              <w:ind w:left="2830"/>
              <w:spacing w:after="0"/>
              <w:rPr>
                <w:sz w:val="20"/>
                <w:szCs w:val="20"/>
                <w:color w:val="auto"/>
              </w:rPr>
            </w:pPr>
            <w:r>
              <w:rPr>
                <w:rFonts w:ascii="Arial" w:cs="Arial" w:eastAsia="Arial" w:hAnsi="Arial"/>
                <w:sz w:val="18"/>
                <w:szCs w:val="18"/>
                <w:color w:val="auto"/>
                <w:w w:val="87"/>
              </w:rPr>
              <w:t>5.0</w:t>
            </w:r>
          </w:p>
        </w:tc>
      </w:tr>
      <w:tr>
        <w:trPr>
          <w:trHeight w:val="230"/>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5340" w:type="dxa"/>
            <w:vAlign w:val="bottom"/>
            <w:shd w:val="clear" w:color="auto" w:fill="CFF0FC"/>
          </w:tcPr>
          <w:p>
            <w:pPr>
              <w:jc w:val="center"/>
              <w:ind w:left="2830"/>
              <w:spacing w:after="0"/>
              <w:rPr>
                <w:sz w:val="20"/>
                <w:szCs w:val="20"/>
                <w:color w:val="auto"/>
              </w:rPr>
            </w:pPr>
            <w:r>
              <w:rPr>
                <w:rFonts w:ascii="Arial" w:cs="Arial" w:eastAsia="Arial" w:hAnsi="Arial"/>
                <w:sz w:val="18"/>
                <w:szCs w:val="18"/>
                <w:color w:val="auto"/>
                <w:w w:val="92"/>
              </w:rPr>
              <w:t>0.9%</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5340" w:type="dxa"/>
            <w:vAlign w:val="bottom"/>
          </w:tcPr>
          <w:p>
            <w:pPr>
              <w:jc w:val="center"/>
              <w:ind w:left="2830"/>
              <w:spacing w:after="0"/>
              <w:rPr>
                <w:sz w:val="20"/>
                <w:szCs w:val="20"/>
                <w:color w:val="auto"/>
              </w:rPr>
            </w:pPr>
            <w:r>
              <w:rPr>
                <w:rFonts w:ascii="Arial" w:cs="Arial" w:eastAsia="Arial" w:hAnsi="Arial"/>
                <w:sz w:val="18"/>
                <w:szCs w:val="18"/>
                <w:color w:val="auto"/>
                <w:w w:val="99"/>
              </w:rPr>
              <w:t>—</w:t>
            </w:r>
          </w:p>
        </w:tc>
      </w:tr>
    </w:tbl>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compensation expense on a graded vesting schedule over the requisite vesting period for the time-based awards and over the derived service period for the CEO performance RSUs. Stock-based compensation expense is recognized when the relevant performance condition is considered probable of achievement for the performance-based award.</w:t>
      </w:r>
    </w:p>
    <w:p>
      <w:pPr>
        <w:sectPr>
          <w:pgSz w:w="11900" w:h="16838" w:orient="portrait"/>
          <w:cols w:equalWidth="0" w:num="1">
            <w:col w:w="11240"/>
          </w:cols>
          <w:pgMar w:left="320" w:top="989" w:right="33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employee and nonemployee stock-based compensation expense for the three and nine months ended September 30, 2021 and 2020, is classified in the consolidated statements of operations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9"/>
                <w:szCs w:val="19"/>
                <w:color w:val="auto"/>
              </w:rPr>
            </w:pPr>
          </w:p>
        </w:tc>
        <w:tc>
          <w:tcPr>
            <w:tcW w:w="23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r>
      <w:tr>
        <w:trPr>
          <w:trHeight w:val="22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280,301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stock-based compensation expense for the three and nine months ended September 30, 2021 includes $235.6 million stock-based compensation expense related to the RSUs. The nine months ended September 30, 2021 also includes $123.6 million stock-based compensation expense related to the Series E convertible preferred stock issuances in March 2021 and April 2021. Refer to Note 6 “Contingent Forward Contracts” and Note 9 “Convertible Preferred Stock” for more information.</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unamortized share-based compensation related to awards that are not vested was $732.2 million as of September 30, 2021, and weighted average remaining amortization period as of September 30, 2021 was 2.7 years.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entered into various non-cancellable operating and finance lease agreements for certain of the Company’s offices, manufacturing and warehouse facilities, retail and service locations, equipment, vehicles, and solar energy systems, worldwide. The Company has determined if an arrangement is a lease, or contains a lease, including embedded leases, at inception and records the leases in the Company’s financial statements upon later of ASC 842 adoption date of January 1, 2021, or lease commencement, which is the date when the underlying asset is made available for use by the lessor.</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Lease expense for operating lease payments is recognized on a straight-line basis over the lease term. Our assessed lease terms may include options to extend or terminate the lease when it is reasonably certain that we will exercise that option. Certain operating leases provide for annual increases to lease payments based on an index or rate. The Company estimates the annual increase in lease payments based on the index or rate at the lease commencement date, for both the Company’s historical leases and for new leases commencing after January 1, 2021. Differences between the estimated lease payment and actual payment are expensed as incurred. Lease expense for finance lease payments is recognized as amortization expense of the finance lease ROU asset and interest expense on the finance lease liability over the lease term.</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balances for the operating and finance leases where the Company is the lessee are presented as follows within the Company’s consolidated balance sheet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As of September 30, 2021</w:t>
            </w:r>
          </w:p>
        </w:tc>
      </w:tr>
      <w:tr>
        <w:trPr>
          <w:trHeight w:val="216"/>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r>
      <w:tr>
        <w:trPr>
          <w:trHeight w:val="229"/>
        </w:trPr>
        <w:tc>
          <w:tcPr>
            <w:tcW w:w="936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143,782</w:t>
            </w:r>
          </w:p>
        </w:tc>
      </w:tr>
      <w:tr>
        <w:trPr>
          <w:trHeight w:val="270"/>
        </w:trPr>
        <w:tc>
          <w:tcPr>
            <w:tcW w:w="936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740" w:type="dxa"/>
            <w:vAlign w:val="bottom"/>
            <w:shd w:val="clear" w:color="auto" w:fill="CFF0FC"/>
          </w:tcPr>
          <w:p>
            <w:pPr>
              <w:spacing w:after="0"/>
              <w:rPr>
                <w:sz w:val="23"/>
                <w:szCs w:val="23"/>
                <w:color w:val="auto"/>
              </w:rPr>
            </w:pPr>
          </w:p>
        </w:tc>
      </w:tr>
      <w:tr>
        <w:trPr>
          <w:trHeight w:val="230"/>
        </w:trPr>
        <w:tc>
          <w:tcPr>
            <w:tcW w:w="936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14,611</w:t>
            </w:r>
          </w:p>
        </w:tc>
      </w:tr>
      <w:tr>
        <w:trPr>
          <w:trHeight w:val="230"/>
        </w:trPr>
        <w:tc>
          <w:tcPr>
            <w:tcW w:w="9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169,433</w:t>
            </w:r>
          </w:p>
        </w:tc>
      </w:tr>
      <w:tr>
        <w:trPr>
          <w:trHeight w:val="223"/>
        </w:trPr>
        <w:tc>
          <w:tcPr>
            <w:tcW w:w="936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184,044</w:t>
            </w:r>
          </w:p>
        </w:tc>
      </w:tr>
      <w:tr>
        <w:trPr>
          <w:trHeight w:val="20"/>
        </w:trPr>
        <w:tc>
          <w:tcPr>
            <w:tcW w:w="93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7"/>
        </w:trPr>
        <w:tc>
          <w:tcPr>
            <w:tcW w:w="9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r>
      <w:tr>
        <w:trPr>
          <w:trHeight w:val="230"/>
        </w:trPr>
        <w:tc>
          <w:tcPr>
            <w:tcW w:w="936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9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7,825</w:t>
            </w:r>
          </w:p>
        </w:tc>
      </w:tr>
      <w:tr>
        <w:trPr>
          <w:trHeight w:val="223"/>
        </w:trPr>
        <w:tc>
          <w:tcPr>
            <w:tcW w:w="9360" w:type="dxa"/>
            <w:vAlign w:val="bottom"/>
          </w:tcPr>
          <w:p>
            <w:pPr>
              <w:ind w:left="240"/>
              <w:spacing w:after="0"/>
              <w:rPr>
                <w:sz w:val="20"/>
                <w:szCs w:val="20"/>
                <w:color w:val="auto"/>
              </w:rPr>
            </w:pPr>
            <w:r>
              <w:rPr>
                <w:rFonts w:ascii="Arial" w:cs="Arial" w:eastAsia="Arial" w:hAnsi="Arial"/>
                <w:sz w:val="18"/>
                <w:szCs w:val="18"/>
                <w:color w:val="auto"/>
              </w:rPr>
              <w:t>Total finance lease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7,825</w:t>
            </w:r>
          </w:p>
        </w:tc>
      </w:tr>
      <w:tr>
        <w:trPr>
          <w:trHeight w:val="20"/>
        </w:trPr>
        <w:tc>
          <w:tcPr>
            <w:tcW w:w="93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7"/>
        </w:trPr>
        <w:tc>
          <w:tcPr>
            <w:tcW w:w="9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r>
      <w:tr>
        <w:trPr>
          <w:trHeight w:val="229"/>
        </w:trPr>
        <w:tc>
          <w:tcPr>
            <w:tcW w:w="9360" w:type="dxa"/>
            <w:vAlign w:val="bottom"/>
          </w:tcPr>
          <w:p>
            <w:pPr>
              <w:ind w:left="240"/>
              <w:spacing w:after="0"/>
              <w:rPr>
                <w:sz w:val="20"/>
                <w:szCs w:val="20"/>
                <w:color w:val="auto"/>
              </w:rPr>
            </w:pPr>
            <w:r>
              <w:rPr>
                <w:rFonts w:ascii="Arial" w:cs="Arial" w:eastAsia="Arial" w:hAnsi="Arial"/>
                <w:sz w:val="18"/>
                <w:szCs w:val="18"/>
                <w:color w:val="auto"/>
              </w:rPr>
              <w:t>Finance lease liabilities, current portion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3,268</w:t>
            </w:r>
          </w:p>
        </w:tc>
      </w:tr>
      <w:tr>
        <w:trPr>
          <w:trHeight w:val="230"/>
        </w:trPr>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 liabilities, net of current portion</w:t>
            </w: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4,687</w:t>
            </w:r>
          </w:p>
        </w:tc>
      </w:tr>
      <w:tr>
        <w:trPr>
          <w:trHeight w:val="223"/>
        </w:trPr>
        <w:tc>
          <w:tcPr>
            <w:tcW w:w="9360" w:type="dxa"/>
            <w:vAlign w:val="bottom"/>
          </w:tcPr>
          <w:p>
            <w:pPr>
              <w:ind w:left="240"/>
              <w:spacing w:after="0"/>
              <w:rPr>
                <w:sz w:val="20"/>
                <w:szCs w:val="20"/>
                <w:color w:val="auto"/>
              </w:rPr>
            </w:pPr>
            <w:r>
              <w:rPr>
                <w:rFonts w:ascii="Arial" w:cs="Arial" w:eastAsia="Arial" w:hAnsi="Arial"/>
                <w:sz w:val="18"/>
                <w:szCs w:val="18"/>
                <w:color w:val="auto"/>
              </w:rPr>
              <w:t>Total finance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7,955</w:t>
            </w:r>
          </w:p>
        </w:tc>
      </w:tr>
      <w:tr>
        <w:trPr>
          <w:trHeight w:val="20"/>
        </w:trPr>
        <w:tc>
          <w:tcPr>
            <w:tcW w:w="9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9" w:right="339"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auto"/>
        </w:rPr>
        <w:t>The components of lease expense are as follows within the Company’s consolidated statement of operations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6"/>
              </w:rPr>
              <w:t>September 30, 2021</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97"/>
              </w:rPr>
              <w:t>September 30, 2021</w:t>
            </w:r>
          </w:p>
        </w:tc>
        <w:tc>
          <w:tcPr>
            <w:tcW w:w="0" w:type="dxa"/>
            <w:vAlign w:val="bottom"/>
          </w:tcPr>
          <w:p>
            <w:pPr>
              <w:spacing w:after="0"/>
              <w:rPr>
                <w:sz w:val="1"/>
                <w:szCs w:val="1"/>
                <w:color w:val="auto"/>
              </w:rPr>
            </w:pPr>
          </w:p>
        </w:tc>
      </w:tr>
      <w:tr>
        <w:trPr>
          <w:trHeight w:val="211"/>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lease expense:</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line="230" w:lineRule="exact"/>
              <w:rPr>
                <w:sz w:val="20"/>
                <w:szCs w:val="20"/>
                <w:color w:val="auto"/>
              </w:rPr>
            </w:pPr>
            <w:r>
              <w:rPr>
                <w:rFonts w:ascii="Arial" w:cs="Arial" w:eastAsia="Arial" w:hAnsi="Arial"/>
                <w:sz w:val="18"/>
                <w:szCs w:val="18"/>
                <w:color w:val="auto"/>
              </w:rPr>
              <w:t>Operating lease expense</w:t>
            </w:r>
            <w:r>
              <w:rPr>
                <w:rFonts w:ascii="Arial" w:cs="Arial" w:eastAsia="Arial" w:hAnsi="Arial"/>
                <w:sz w:val="23"/>
                <w:szCs w:val="23"/>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8,261</w:t>
            </w:r>
          </w:p>
        </w:tc>
        <w:tc>
          <w:tcPr>
            <w:tcW w:w="360" w:type="dxa"/>
            <w:vAlign w:val="bottom"/>
            <w:gridSpan w:val="4"/>
          </w:tcPr>
          <w:p>
            <w:pPr>
              <w:jc w:val="right"/>
              <w:ind w:right="2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21,811</w:t>
            </w:r>
          </w:p>
        </w:tc>
        <w:tc>
          <w:tcPr>
            <w:tcW w:w="0" w:type="dxa"/>
            <w:vAlign w:val="bottom"/>
          </w:tcPr>
          <w:p>
            <w:pPr>
              <w:spacing w:after="0"/>
              <w:rPr>
                <w:sz w:val="1"/>
                <w:szCs w:val="1"/>
                <w:color w:val="auto"/>
              </w:rPr>
            </w:pPr>
          </w:p>
        </w:tc>
      </w:tr>
      <w:tr>
        <w:trPr>
          <w:trHeight w:val="229"/>
        </w:trPr>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Variable lease expense</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Finance lease expense:</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Amortization of leased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360" w:type="dxa"/>
            <w:vAlign w:val="bottom"/>
            <w:gridSpan w:val="4"/>
          </w:tcPr>
          <w:p>
            <w:pPr>
              <w:jc w:val="right"/>
              <w:ind w:right="2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30"/>
        </w:trPr>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on lease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finance lease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(1) Includes short-term leases, which are immaterial.</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20" w:type="dxa"/>
            <w:vAlign w:val="bottom"/>
          </w:tcPr>
          <w:p>
            <w:pPr>
              <w:spacing w:after="0"/>
              <w:rPr>
                <w:sz w:val="20"/>
                <w:szCs w:val="20"/>
                <w:color w:val="auto"/>
              </w:rPr>
            </w:pPr>
            <w:r>
              <w:rPr>
                <w:rFonts w:ascii="Arial" w:cs="Arial" w:eastAsia="Arial" w:hAnsi="Arial"/>
                <w:sz w:val="18"/>
                <w:szCs w:val="18"/>
                <w:color w:val="auto"/>
              </w:rPr>
              <w:t>Other information related to leases where the Company is the lessee is as follows: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0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2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4"/>
                <w:szCs w:val="14"/>
                <w:b w:val="1"/>
                <w:bCs w:val="1"/>
                <w:color w:val="auto"/>
                <w:w w:val="91"/>
              </w:rPr>
              <w:t>As of September 30, 2021</w:t>
            </w:r>
          </w:p>
        </w:tc>
        <w:tc>
          <w:tcPr>
            <w:tcW w:w="0" w:type="dxa"/>
            <w:vAlign w:val="bottom"/>
          </w:tcPr>
          <w:p>
            <w:pPr>
              <w:spacing w:after="0"/>
              <w:rPr>
                <w:sz w:val="1"/>
                <w:szCs w:val="1"/>
                <w:color w:val="auto"/>
              </w:rPr>
            </w:pPr>
          </w:p>
        </w:tc>
      </w:tr>
      <w:tr>
        <w:trPr>
          <w:trHeight w:val="216"/>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leases</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11.20 %</w:t>
            </w:r>
          </w:p>
        </w:tc>
        <w:tc>
          <w:tcPr>
            <w:tcW w:w="0" w:type="dxa"/>
            <w:vAlign w:val="bottom"/>
          </w:tcPr>
          <w:p>
            <w:pPr>
              <w:spacing w:after="0"/>
              <w:rPr>
                <w:sz w:val="1"/>
                <w:szCs w:val="1"/>
                <w:color w:val="auto"/>
              </w:rPr>
            </w:pPr>
          </w:p>
        </w:tc>
      </w:tr>
      <w:tr>
        <w:trPr>
          <w:trHeight w:val="230"/>
        </w:trPr>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leases</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6.10 %</w:t>
            </w:r>
          </w:p>
        </w:tc>
        <w:tc>
          <w:tcPr>
            <w:tcW w:w="0" w:type="dxa"/>
            <w:vAlign w:val="bottom"/>
          </w:tcPr>
          <w:p>
            <w:pPr>
              <w:spacing w:after="0"/>
              <w:rPr>
                <w:sz w:val="1"/>
                <w:szCs w:val="1"/>
                <w:color w:val="auto"/>
              </w:rPr>
            </w:pPr>
          </w:p>
        </w:tc>
      </w:tr>
      <w:tr>
        <w:trPr>
          <w:trHeight w:val="513"/>
        </w:trPr>
        <w:tc>
          <w:tcPr>
            <w:tcW w:w="9520" w:type="dxa"/>
            <w:vAlign w:val="bottom"/>
            <w:gridSpan w:val="4"/>
          </w:tcPr>
          <w:p>
            <w:pPr>
              <w:spacing w:after="0"/>
              <w:rPr>
                <w:sz w:val="20"/>
                <w:szCs w:val="20"/>
                <w:color w:val="auto"/>
              </w:rPr>
            </w:pPr>
            <w:r>
              <w:rPr>
                <w:rFonts w:ascii="Arial" w:cs="Arial" w:eastAsia="Arial" w:hAnsi="Arial"/>
                <w:sz w:val="18"/>
                <w:szCs w:val="18"/>
                <w:color w:val="auto"/>
              </w:rPr>
              <w:t>Supplemental cash flow information related to leases where the Company is the lessee is as follows (in thousands):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52"/>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31"/>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3"/>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30"/>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cash flows from finance leases (interest payments)</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Financing cash flows from finance leases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29"/>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61,497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70,756</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the maturities of the Company’s operating and finance lease liabilities (excluding short-term leases) were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Finance Leases</w:t>
            </w:r>
          </w:p>
        </w:tc>
      </w:tr>
      <w:tr>
        <w:trPr>
          <w:trHeight w:val="229"/>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ending September 30, 2021</w:t>
            </w:r>
          </w:p>
        </w:tc>
        <w:tc>
          <w:tcPr>
            <w:tcW w:w="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8,969</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3,586</w:t>
            </w:r>
          </w:p>
        </w:tc>
      </w:tr>
      <w:tr>
        <w:trPr>
          <w:trHeight w:val="229"/>
        </w:trPr>
        <w:tc>
          <w:tcPr>
            <w:tcW w:w="8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30"/>
        </w:trPr>
        <w:tc>
          <w:tcPr>
            <w:tcW w:w="8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132,938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282,373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8,528</w:t>
            </w:r>
          </w:p>
        </w:tc>
      </w:tr>
      <w:tr>
        <w:trPr>
          <w:trHeight w:val="229"/>
        </w:trPr>
        <w:tc>
          <w:tcPr>
            <w:tcW w:w="86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Interest</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(98,329)</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r>
      <w:tr>
        <w:trPr>
          <w:trHeight w:val="223"/>
        </w:trPr>
        <w:tc>
          <w:tcPr>
            <w:tcW w:w="8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lease obligations</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184,044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7,955</w:t>
            </w:r>
          </w:p>
        </w:tc>
      </w:tr>
      <w:tr>
        <w:trPr>
          <w:trHeight w:val="230"/>
        </w:trPr>
        <w:tc>
          <w:tcPr>
            <w:tcW w:w="86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Current portion</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14,611</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w:t>
            </w:r>
          </w:p>
        </w:tc>
      </w:tr>
      <w:tr>
        <w:trPr>
          <w:trHeight w:val="248"/>
        </w:trPr>
        <w:tc>
          <w:tcPr>
            <w:tcW w:w="8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portion of lease obligations</w:t>
            </w:r>
          </w:p>
        </w:tc>
        <w:tc>
          <w:tcPr>
            <w:tcW w:w="3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169,433</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4,687</w:t>
            </w:r>
          </w:p>
        </w:tc>
      </w:tr>
      <w:tr>
        <w:trPr>
          <w:trHeight w:val="20"/>
        </w:trPr>
        <w:tc>
          <w:tcPr>
            <w:tcW w:w="86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9" w:right="33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30" w:name="page31"/>
    <w:bookmarkEnd w:id="30"/>
    <w:p>
      <w:pPr>
        <w:jc w:val="both"/>
        <w:spacing w:after="0" w:line="308" w:lineRule="auto"/>
        <w:rPr>
          <w:sz w:val="20"/>
          <w:szCs w:val="20"/>
          <w:color w:val="auto"/>
        </w:rPr>
      </w:pPr>
      <w:r>
        <w:rPr>
          <w:rFonts w:ascii="Arial" w:cs="Arial" w:eastAsia="Arial" w:hAnsi="Arial"/>
          <w:sz w:val="17"/>
          <w:szCs w:val="17"/>
          <w:color w:val="auto"/>
        </w:rPr>
        <w:t>As previously reported in the Company’s audited financial statements for the year ended December 31, 2020 and under legacy lease accounting (ASC 840), future minimum lease payments under non-cancellable leases as of December 31, 2020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6"/>
                <w:szCs w:val="16"/>
                <w:color w:val="auto"/>
              </w:rPr>
            </w:pPr>
          </w:p>
        </w:tc>
        <w:tc>
          <w:tcPr>
            <w:tcW w:w="1280" w:type="dxa"/>
            <w:vAlign w:val="bottom"/>
          </w:tcPr>
          <w:p>
            <w:pPr>
              <w:jc w:val="right"/>
              <w:ind w:right="192"/>
              <w:spacing w:after="0"/>
              <w:rPr>
                <w:sz w:val="20"/>
                <w:szCs w:val="20"/>
                <w:color w:val="auto"/>
              </w:rPr>
            </w:pPr>
            <w:r>
              <w:rPr>
                <w:rFonts w:ascii="Arial" w:cs="Arial" w:eastAsia="Arial" w:hAnsi="Arial"/>
                <w:sz w:val="14"/>
                <w:szCs w:val="14"/>
                <w:b w:val="1"/>
                <w:bCs w:val="1"/>
                <w:color w:val="auto"/>
                <w:w w:val="93"/>
              </w:rPr>
              <w:t>Finance Leases</w:t>
            </w:r>
          </w:p>
        </w:tc>
        <w:tc>
          <w:tcPr>
            <w:tcW w:w="0" w:type="dxa"/>
            <w:vAlign w:val="bottom"/>
          </w:tcPr>
          <w:p>
            <w:pPr>
              <w:spacing w:after="0"/>
              <w:rPr>
                <w:sz w:val="1"/>
                <w:szCs w:val="1"/>
                <w:color w:val="auto"/>
              </w:rPr>
            </w:pPr>
          </w:p>
        </w:tc>
      </w:tr>
      <w:tr>
        <w:trPr>
          <w:trHeight w:val="229"/>
        </w:trPr>
        <w:tc>
          <w:tcPr>
            <w:tcW w:w="82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25,490</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28,837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116,155</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253,796</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4,459</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Less: Interest</w:t>
            </w: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line="20" w:lineRule="exact"/>
              <w:rPr>
                <w:sz w:val="1"/>
                <w:szCs w:val="1"/>
                <w:color w:val="auto"/>
              </w:rPr>
            </w:pPr>
          </w:p>
        </w:tc>
      </w:tr>
      <w:tr>
        <w:trPr>
          <w:trHeight w:val="176"/>
        </w:trPr>
        <w:tc>
          <w:tcPr>
            <w:tcW w:w="8220" w:type="dxa"/>
            <w:vAlign w:val="bottom"/>
            <w:tcBorders>
              <w:bottom w:val="single" w:sz="8" w:color="CFF0FC"/>
            </w:tcBorders>
            <w:vMerge w:val="continue"/>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3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lease obligations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portion of lease obligations</w:t>
            </w: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and December 31, 2020, the Company had $363.0 million and $406.1 million in commitments related to the Arizona manufacturing plant and equipment. This represents future expected payments on open purchase orders entered into as of September 30, 2021, and December 31, 2020.</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he Company entered into a non-cancellable purchase commitment to purchase battery cells over the next 3 years with various vendors. Battery cell costs</w:t>
      </w:r>
      <w:r>
        <w:rPr>
          <w:rFonts w:ascii="Arial" w:cs="Arial" w:eastAsia="Arial" w:hAnsi="Arial"/>
          <w:sz w:val="20"/>
          <w:szCs w:val="20"/>
          <w:color w:val="auto"/>
        </w:rPr>
        <w:t xml:space="preserve"> </w:t>
      </w:r>
      <w:r>
        <w:rPr>
          <w:rFonts w:ascii="Arial" w:cs="Arial" w:eastAsia="Arial" w:hAnsi="Arial"/>
          <w:sz w:val="17"/>
          <w:szCs w:val="17"/>
          <w:color w:val="auto"/>
        </w:rPr>
        <w:t>can fluctuate from time to time based on, among other things, supply and demand, costs of raw materials, and purchase volumes. The estimated purchase commitment as of September 30, 2021 is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Minimum</w:t>
            </w:r>
          </w:p>
        </w:tc>
        <w:tc>
          <w:tcPr>
            <w:tcW w:w="0" w:type="dxa"/>
            <w:vAlign w:val="bottom"/>
          </w:tcPr>
          <w:p>
            <w:pPr>
              <w:spacing w:after="0"/>
              <w:rPr>
                <w:sz w:val="1"/>
                <w:szCs w:val="1"/>
                <w:color w:val="auto"/>
              </w:rPr>
            </w:pPr>
          </w:p>
        </w:tc>
      </w:tr>
      <w:tr>
        <w:trPr>
          <w:trHeight w:val="175"/>
        </w:trPr>
        <w:tc>
          <w:tcPr>
            <w:tcW w:w="9920" w:type="dxa"/>
            <w:vAlign w:val="bottom"/>
            <w:vMerge w:val="restart"/>
          </w:tcPr>
          <w:p>
            <w:pPr>
              <w:ind w:left="20"/>
              <w:spacing w:after="0"/>
              <w:rPr>
                <w:sz w:val="20"/>
                <w:szCs w:val="20"/>
                <w:color w:val="auto"/>
              </w:rPr>
            </w:pPr>
            <w:r>
              <w:rPr>
                <w:rFonts w:ascii="Arial" w:cs="Arial" w:eastAsia="Arial" w:hAnsi="Arial"/>
                <w:sz w:val="18"/>
                <w:szCs w:val="18"/>
                <w:color w:val="auto"/>
              </w:rPr>
              <w:t>Years ended December 31,</w:t>
            </w:r>
          </w:p>
        </w:tc>
        <w:tc>
          <w:tcPr>
            <w:tcW w:w="120" w:type="dxa"/>
            <w:vAlign w:val="bottom"/>
          </w:tcPr>
          <w:p>
            <w:pPr>
              <w:spacing w:after="0"/>
              <w:rPr>
                <w:sz w:val="15"/>
                <w:szCs w:val="15"/>
                <w:color w:val="auto"/>
              </w:rPr>
            </w:pPr>
          </w:p>
        </w:tc>
        <w:tc>
          <w:tcPr>
            <w:tcW w:w="120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Purchase</w:t>
            </w:r>
          </w:p>
        </w:tc>
        <w:tc>
          <w:tcPr>
            <w:tcW w:w="0" w:type="dxa"/>
            <w:vAlign w:val="bottom"/>
          </w:tcPr>
          <w:p>
            <w:pPr>
              <w:spacing w:after="0"/>
              <w:rPr>
                <w:sz w:val="1"/>
                <w:szCs w:val="1"/>
                <w:color w:val="auto"/>
              </w:rPr>
            </w:pPr>
          </w:p>
        </w:tc>
      </w:tr>
      <w:tr>
        <w:trPr>
          <w:trHeight w:val="230"/>
        </w:trPr>
        <w:tc>
          <w:tcPr>
            <w:tcW w:w="9920" w:type="dxa"/>
            <w:vAlign w:val="bottom"/>
            <w:tcBorders>
              <w:bottom w:val="single" w:sz="8" w:color="CFF0FC"/>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Commitment</w:t>
            </w:r>
          </w:p>
        </w:tc>
        <w:tc>
          <w:tcPr>
            <w:tcW w:w="0" w:type="dxa"/>
            <w:vAlign w:val="bottom"/>
          </w:tcPr>
          <w:p>
            <w:pPr>
              <w:spacing w:after="0"/>
              <w:rPr>
                <w:sz w:val="1"/>
                <w:szCs w:val="1"/>
                <w:color w:val="auto"/>
              </w:rPr>
            </w:pPr>
          </w:p>
        </w:tc>
      </w:tr>
      <w:tr>
        <w:trPr>
          <w:trHeight w:val="223"/>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(remainder of the year)</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104,370</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202,400</w:t>
            </w:r>
          </w:p>
        </w:tc>
        <w:tc>
          <w:tcPr>
            <w:tcW w:w="0" w:type="dxa"/>
            <w:vAlign w:val="bottom"/>
          </w:tcPr>
          <w:p>
            <w:pPr>
              <w:spacing w:after="0"/>
              <w:rPr>
                <w:sz w:val="1"/>
                <w:szCs w:val="1"/>
                <w:color w:val="auto"/>
              </w:rPr>
            </w:pPr>
          </w:p>
        </w:tc>
      </w:tr>
      <w:tr>
        <w:trPr>
          <w:trHeight w:val="230"/>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202,400</w:t>
            </w:r>
          </w:p>
        </w:tc>
        <w:tc>
          <w:tcPr>
            <w:tcW w:w="0" w:type="dxa"/>
            <w:vAlign w:val="bottom"/>
          </w:tcPr>
          <w:p>
            <w:pPr>
              <w:spacing w:after="0"/>
              <w:rPr>
                <w:sz w:val="1"/>
                <w:szCs w:val="1"/>
                <w:color w:val="auto"/>
              </w:rPr>
            </w:pPr>
          </w:p>
        </w:tc>
      </w:tr>
      <w:tr>
        <w:trPr>
          <w:trHeight w:val="223"/>
        </w:trPr>
        <w:tc>
          <w:tcPr>
            <w:tcW w:w="99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509,170</w:t>
            </w:r>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recognition of the CEO’s efforts on the Merger, the board of directors approved a $2 million transaction bonus payable to the CEO subject to certain conditions. The transaction bonus was paid to the CEO during the three months ended September 30,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the Company may be involved in litigation relating to claims arising out of the Company’s operations in the normal course of business. Management is not currently aware of any matters that could have a material adverse effect on the financial position, results of operations, or cash flows of the Company. However, the Company may be subject to various legal proceedings and claims that arise in the ordinary course of its business activities. There is no material pending or threatened litigation against the Company that remains outstanding as of September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and utilities infrastructure in the amount of $29.9 million</w:t>
      </w:r>
    </w:p>
    <w:p>
      <w:pPr>
        <w:sectPr>
          <w:pgSz w:w="11900" w:h="16838" w:orient="portrait"/>
          <w:cols w:equalWidth="0" w:num="1">
            <w:col w:w="11240"/>
          </w:cols>
          <w:pgMar w:left="320" w:top="989" w:right="339" w:bottom="144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31" w:name="page32"/>
    <w:bookmarkEnd w:id="31"/>
    <w:p>
      <w:pPr>
        <w:ind w:right="20"/>
        <w:spacing w:after="0" w:line="277" w:lineRule="auto"/>
        <w:rPr>
          <w:sz w:val="20"/>
          <w:szCs w:val="20"/>
          <w:color w:val="auto"/>
        </w:rPr>
      </w:pPr>
      <w:r>
        <w:rPr>
          <w:rFonts w:ascii="Arial" w:cs="Arial" w:eastAsia="Arial" w:hAnsi="Arial"/>
          <w:sz w:val="18"/>
          <w:szCs w:val="18"/>
          <w:color w:val="auto"/>
        </w:rPr>
        <w:t>and $15.5 million as of September 30, 2021 and December 31, 2020, respectively, for which no liabilities are recorded on the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231F20"/>
        </w:rPr>
        <w:t xml:space="preserve">The Company's provision from income taxes for interim periods is determined using an estimate of its annual effective tax rate, adjusted for discrete items, if any, </w:t>
      </w:r>
      <w:r>
        <w:rPr>
          <w:rFonts w:ascii="Arial" w:cs="Arial" w:eastAsia="Arial" w:hAnsi="Arial"/>
          <w:sz w:val="18"/>
          <w:szCs w:val="18"/>
          <w:color w:val="000000"/>
        </w:rPr>
        <w:t>that arise during the period. Each quarter, the Company updates its estimate of the annual effective tax rate, and if the estimated annual effective tax</w:t>
      </w:r>
      <w:r>
        <w:rPr>
          <w:rFonts w:ascii="Arial" w:cs="Arial" w:eastAsia="Arial" w:hAnsi="Arial"/>
          <w:sz w:val="18"/>
          <w:szCs w:val="18"/>
          <w:color w:val="231F20"/>
        </w:rPr>
        <w:t xml:space="preserve"> </w:t>
      </w:r>
      <w:r>
        <w:rPr>
          <w:rFonts w:ascii="Arial" w:cs="Arial" w:eastAsia="Arial" w:hAnsi="Arial"/>
          <w:sz w:val="18"/>
          <w:szCs w:val="18"/>
          <w:color w:val="000000"/>
        </w:rPr>
        <w:t>rate changes, the Company makes a cumulative adjustment in such period.</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because the entity is in a year-to-date and forecasted loss position; therefore, any taxes reported are due to foreign income taxes and state minimum taxes.</w:t>
      </w:r>
    </w:p>
    <w:p>
      <w:pPr>
        <w:spacing w:after="0" w:line="18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Company recorded an income tax provision of $0.0 million for the three and nine months ended September 30, 2021, as compared to an income tax benefit of $0.1 million and $0.2 million for the same periods in the prior year. This resulted in an effective tax rate of 0.0% for the three and nine months ended September 30, 2021, and the same periods prior year.</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231F20"/>
        </w:rPr>
        <w:t xml:space="preserve">As of September 30, 2021, and December 31, 2020, the Company had unrecognized tax benefits of $65.6 million and $42.9 million, of which $2.6 million, if recognized for both periods, would </w:t>
      </w:r>
      <w:r>
        <w:rPr>
          <w:rFonts w:ascii="Arial" w:cs="Arial" w:eastAsia="Arial" w:hAnsi="Arial"/>
          <w:sz w:val="18"/>
          <w:szCs w:val="18"/>
          <w:color w:val="000000"/>
        </w:rPr>
        <w:t>favorably impact the Company's effective tax rate. The Company does not anticipate a material change in its</w:t>
      </w:r>
      <w:r>
        <w:rPr>
          <w:rFonts w:ascii="Arial" w:cs="Arial" w:eastAsia="Arial" w:hAnsi="Arial"/>
          <w:sz w:val="18"/>
          <w:szCs w:val="18"/>
          <w:color w:val="231F20"/>
        </w:rPr>
        <w:t xml:space="preserve"> </w:t>
      </w:r>
      <w:r>
        <w:rPr>
          <w:rFonts w:ascii="Arial" w:cs="Arial" w:eastAsia="Arial" w:hAnsi="Arial"/>
          <w:sz w:val="18"/>
          <w:szCs w:val="18"/>
          <w:color w:val="000000"/>
        </w:rPr>
        <w:t>unrecognized tax benefits in the next 12 months.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June 29, 2020, the California governor signed into law the 2020 Budget Act, which temporarily suspends the utilization of net operating losses and limits the utilization of the research credit to $5.0 million annually for 2020, 2021 and 2022. The Company is continuing to assess the 2020 Budget Act, but currently does not expect any material impact to the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NET LOSS PER SHARE</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weighted-average number of shares of common stock outstanding prior to the Merger have been retroactively adjusted by the Exchange Ratio to give effect to the reverse recapitalization treatment of the Merger. Shares of common stock issued as a result of the conversion of Legacy Lucid convertible preferred stock in connection with the Closing have been included in the basic net loss per share calculation on a prospective basis.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net loss per share attributable to common stockholders are calculated as follows (in thousands,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23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8"/>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23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(161,237)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(1,534,081)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w w:val="96"/>
              </w:rPr>
              <w:t>Deemed dividend related to the issuance of Series E convertible preferred stock</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(2,167,332)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(161,237)</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(3,701,413)</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(408,105)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shares outstanding—basic and diluted</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1,217,032,285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24,279,817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432,654,607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20,889,062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 per share:</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ind w:left="554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6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because including them would have had an anti-dilutive effect: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Excluded Securities</w:t>
            </w:r>
          </w:p>
        </w:tc>
        <w:tc>
          <w:tcPr>
            <w:tcW w:w="2660" w:type="dxa"/>
            <w:vAlign w:val="bottom"/>
            <w:gridSpan w:val="2"/>
          </w:tcPr>
          <w:p>
            <w:pPr>
              <w:ind w:left="540"/>
              <w:spacing w:after="0"/>
              <w:rPr>
                <w:sz w:val="20"/>
                <w:szCs w:val="20"/>
                <w:color w:val="auto"/>
              </w:rPr>
            </w:pPr>
            <w:r>
              <w:rPr>
                <w:rFonts w:ascii="Arial" w:cs="Arial" w:eastAsia="Arial" w:hAnsi="Arial"/>
                <w:sz w:val="18"/>
                <w:szCs w:val="18"/>
                <w:b w:val="1"/>
                <w:bCs w:val="1"/>
                <w:color w:val="auto"/>
              </w:rPr>
              <w:t>September 30, 2021</w:t>
            </w:r>
          </w:p>
        </w:tc>
        <w:tc>
          <w:tcPr>
            <w:tcW w:w="230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September 30, 2020</w:t>
            </w:r>
          </w:p>
        </w:tc>
      </w:tr>
      <w:tr>
        <w:trPr>
          <w:trHeight w:val="223"/>
        </w:trPr>
        <w:tc>
          <w:tcPr>
            <w:tcW w:w="62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825,191,683</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Convertible preferred stock warrants (on an as-converted basis)</w:t>
            </w:r>
          </w:p>
        </w:tc>
        <w:tc>
          <w:tcPr>
            <w:tcW w:w="2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1,546,799</w:t>
            </w:r>
          </w:p>
        </w:tc>
      </w:tr>
      <w:tr>
        <w:trPr>
          <w:trHeight w:val="229"/>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Private warrants to purchase common stock</w:t>
            </w:r>
          </w:p>
        </w:tc>
        <w:tc>
          <w:tcPr>
            <w:tcW w:w="2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34,494,445</w:t>
            </w:r>
          </w:p>
        </w:tc>
        <w:tc>
          <w:tcPr>
            <w:tcW w:w="80" w:type="dxa"/>
            <w:vAlign w:val="bottom"/>
            <w:shd w:val="clear" w:color="auto" w:fill="CFF0FC"/>
          </w:tcPr>
          <w:p>
            <w:pPr>
              <w:spacing w:after="0"/>
              <w:rPr>
                <w:sz w:val="19"/>
                <w:szCs w:val="19"/>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Public warrants to purchase common stock</w:t>
            </w:r>
          </w:p>
        </w:tc>
        <w:tc>
          <w:tcPr>
            <w:tcW w:w="2580" w:type="dxa"/>
            <w:vAlign w:val="bottom"/>
          </w:tcPr>
          <w:p>
            <w:pPr>
              <w:jc w:val="right"/>
              <w:spacing w:after="0"/>
              <w:rPr>
                <w:sz w:val="20"/>
                <w:szCs w:val="20"/>
                <w:color w:val="auto"/>
              </w:rPr>
            </w:pPr>
            <w:r>
              <w:rPr>
                <w:rFonts w:ascii="Arial" w:cs="Arial" w:eastAsia="Arial" w:hAnsi="Arial"/>
                <w:sz w:val="18"/>
                <w:szCs w:val="18"/>
                <w:color w:val="auto"/>
              </w:rPr>
              <w:t>9,317,468</w:t>
            </w:r>
          </w:p>
        </w:tc>
        <w:tc>
          <w:tcPr>
            <w:tcW w:w="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to purchase common stock</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67,013,622</w:t>
            </w:r>
          </w:p>
        </w:tc>
        <w:tc>
          <w:tcPr>
            <w:tcW w:w="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65,641,710</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 outstanding</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27,158,866</w:t>
            </w:r>
          </w:p>
        </w:tc>
        <w:tc>
          <w:tcPr>
            <w:tcW w:w="8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137,984,401</w:t>
            </w:r>
          </w:p>
        </w:tc>
        <w:tc>
          <w:tcPr>
            <w:tcW w:w="8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892,380,192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11,500,000 shares and 9,855,555 shares of common stock equivalents subject to the remaining Sponsor Earnback Shares and Sponsor Earnback Warrants, respectively, are excluded from the anti-dilutive table above as of September 30, 2021 as the underlying shares remain contingently issuable as the earnback triggering events have not been satisfied. The 16,024,411 shares of common stock equivalents subject to RSUs are also excluded from the anti-dilutive table above as of September 30, 2021 as the underlying shares also remain contingently issuable since the market conditions have not been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EMPLOYEE BENEFIT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nine months ended September 30, 2021 and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Investment Fund Internship Agreement</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July 2021, we entered into an agreement with PIF, the parent entity of Ayar, our majority stockholder, to implement a recruitment and talent development program pursuant to which we agreed to evaluate, employ and train participants nominated by PIF during six-month internships, and PIF agreed to reimburse us for expenses related to participant wages, visa fees, medical insurance, airfare and housing incurred by us. We expect to be reimbursed by PIF in an aggregate of $1 million in 2022 for such expenses. No reimbursement was received through September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preparation of the condensed consolidated financial statements for the three and nine months ended September 30, 2021, the Company evaluated subsequent events and concluded there were no subsequent events that required recognition in the condensed consolidated financial statements.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8, 2021, the Company announced that it would redeem (the “Redemption”) all of its public warrants that remained outstanding on October 8, 2021 (the “Initial Redemption Date”), for a redemption price of $0.01 per public warrant (the “Redemption Price”). In connection with the Redemption, the Company elected to require that any exercises of public warrants be made on a “cashless” basis, entitling each warrant holder to receive 0.4458 of a share of the Company’s common stock for each public warrant surrendered for exercise. Pursuant to the terms of the public warrants, any public warrants that were not exercised prior to the Initial Redemption Date were reduced to the right to receive the Redemption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On October 13, 2021, the public warrants were delisted from The Nasdaq Stock Market (“Nasdaq”).</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14, 2021, the Company extended the redemption date of its public warrants to October 29, 2021. Subsequent to September 30, 2021 and prior to the conclusion of the redemption notice period on October 29, 2021, an aggregate of 8,951,665 public warrants were exercised on a cashless basis. At the conclusion of the redemption notice period on October 29, 2021, the remaining 365,803 public warrants issued and outstanding were redeemed at price of $0.01 per warrant.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In October 2021, the Company repurchased an aggregate of 857,825 shares of its common stock from certain individuals (the “Individual Sellers”) who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were directors and employees of the Company’s predecessor, Atieva, Inc. (“Atieva”) (such transactions, the “Repurchases”). The repurchase price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$24.15 per share, which was equal to the average closing price of the Company’s common stock on the Nasdaq Global Select Market for the three trading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 period ending on and including October 6, 2021, the second trading day prior to the date of the Repurchases. The Repurchases were effected solely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allow the Individual Sellers to satisfy certain tax obligations (including tax withholding obligations of the Company) incurred in connection with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Individual Sellers’ purchase of shares of Series E Preferred Stock from Atieva on April 2, 2021. The Company applied the proceeds received from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repurchases to the applicable U.S. tax authorities to satisfy tax obligations. The Company is accounting for the repurchased shares as treasury stock.</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Individual Sellers include Peter Rawlinson, a director of the Company and the Company’s Chief Executive Officer and Chief Technology Officer, from whom the Company repurchased 178,796 shares; Eric Bach, the Company’s Senior Vice President, Product and Chief Engineer, from whom the Company repurchased 195,557 shares; Michael Bell, the Company’s Senior Vice President, Digital, from whom the Company repurchased 33,526 shares; and Tony Posawatz, a director of the Company, from whom the Company repurchased 14,511 shares.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2021, the Company entered into a purchase commitment with a vendor to purchase battery cells over the next 8 years pursuant to which the Company will need to make non-cancellable prepayments in five installments for a total aggregate amount of $148.0 million.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October 2021, the Company entered into new retail lease agreements for various locations. The leases commenced in October 2021 and will expire on or before May 2029. Under the lease agreements, the Company will pay base rent from $0.3 million to $0.6 million annually.</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late October 2021, reservation holders of Lucid Air Dream Edition models began receiving their vehicles, with customer deliveries ramping up thereafter.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early November 2021, enrollment began in the Lucid Group, Inc. 2021 Employee Stock Purchase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2021, our compensation committee approved the payment of annual cash bonuses for 2021 to certain 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officers in view of the successful achievement of the start of production and start of customer deliveries of the Lucid Air, as well as their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respective contributions to the Company’s overall success in 2021, as follows: Mr. Rawlinson will receive $400,000, Mr. Bach will receive $282,000, 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House will receive $166,000 Mr. Bell will receive $268,000, and Mr. Smuts will receive $81,000.</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7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The following discussion and analysis provides information that Lucid management believes is relevant to an assessment and understanding of Lucid’s consolidated results of operations and financial condition as of September 30, 2021 and for the three and nine months ended September 30, 2021. The discussion should be read together with the consolidated financial statements for the three and nine months ended September 30, 2021 and 2020, the related notes that are included elsewhere in this quarterly report on Form 10-Q (this “Quarterly Report”), and the final prospectus and definitive proxy statement (the “Proxy Statement/Prospectus”) filed on June 25, 2021 with the U.S. Securities and Exchange Commission (the “SEC”) pursuant to Rule 424(b) under the Securities Act of 1933 (the “Securities Act”), as amended. This discussion may contain forward-looking statements based upon Lucid’s current expectations,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are a technology and automotive company with a mission to inspire the adoption of sustainable transportation by creating the most captivating luxury electric vehicles centered around human experience. Our focus on in-house technological innovation and a “clean sheet” approach to engineering and design have led to the development of our groundbreaking electric vehicle, the Lucid Air, which has gone into production.</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Lucid Air is a luxury electric sedan that redefines both the luxury car segment and the electric vehicle space. Through miniaturization of the key drive-train components, the Lucid Air is designed to deliver compelling performance and interior space with an exterior that is reminiscent of a high-performance sports car. We believe our drivetrain and battery pack technologies are significant differentiators and our battery technology has been driven more than twenty million real-world miles since Lucid’s inception. With our 900V+ electrical architecture, we expect that some variants of the Lucid Air will be able to achieve sufficient charge in approximately 20 minutes to travel 300 miles and have travel range in excess of 500 miles on a single charge. The Lucid Air is expected to be available in a variant with over 1,000 horsepower and the ability to travel from zero to 60 miles per hour in less than 2.5 seconds. We are also the supplier of battery technology for the premier EV racing series. We believe the Lucid Air will establish the bar for excellence across future Lucid products and experiences by fusing art and science to capture the potential of electrification.</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Lucid Air is manufactured in-house at our greenfield purpose-built electric vehicle manufacturing facilities in Casa Grande, Arizona, named Advanced Manufacturing Plant-1 (“</w:t>
      </w:r>
      <w:r>
        <w:rPr>
          <w:rFonts w:ascii="Arial" w:cs="Arial" w:eastAsia="Arial" w:hAnsi="Arial"/>
          <w:sz w:val="17"/>
          <w:szCs w:val="17"/>
          <w:i w:val="1"/>
          <w:iCs w:val="1"/>
          <w:color w:val="auto"/>
        </w:rPr>
        <w:t>AMP-1</w:t>
      </w:r>
      <w:r>
        <w:rPr>
          <w:rFonts w:ascii="Arial" w:cs="Arial" w:eastAsia="Arial" w:hAnsi="Arial"/>
          <w:sz w:val="17"/>
          <w:szCs w:val="17"/>
          <w:color w:val="auto"/>
        </w:rPr>
        <w:t>”) and Lucid Powertrain Manufacturing Plant (“</w:t>
      </w:r>
      <w:r>
        <w:rPr>
          <w:rFonts w:ascii="Arial" w:cs="Arial" w:eastAsia="Arial" w:hAnsi="Arial"/>
          <w:sz w:val="17"/>
          <w:szCs w:val="17"/>
          <w:i w:val="1"/>
          <w:iCs w:val="1"/>
          <w:color w:val="auto"/>
        </w:rPr>
        <w:t>LPM-1</w:t>
      </w:r>
      <w:r>
        <w:rPr>
          <w:rFonts w:ascii="Arial" w:cs="Arial" w:eastAsia="Arial" w:hAnsi="Arial"/>
          <w:sz w:val="17"/>
          <w:szCs w:val="17"/>
          <w:color w:val="auto"/>
        </w:rPr>
        <w:t>”). Upon completion of our facilities, our manufacturing footprint in Casa Grande is expected to exceed 5 million square feet on 495 acres. Our AMP-1 facility is designed with an initial output capacity to produce up to 34,000 vehicles annually. We started our production of the Lucid Air utilizing our AMP-1 facility in September. In late October 2021, reservation holders of Lucid Air Dream Edition models began receiving their vehicles, with customer deliveries ramping up thereafter.</w:t>
      </w:r>
    </w:p>
    <w:p>
      <w:pPr>
        <w:spacing w:after="0" w:line="17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expect to launch additional vehicles over the coming decade. We have already commenced engineering and design work for Project Gravity, a luxury SUV that is expected to leverage the same platform and many of the technological advancements developed for the Lucid Air. We expect to begin production of Project Gravity at the end of 2023. After the Lucid Air and Project Gravity, we plan to leverage our technological and manufacturing advancements to develop and manufacture progressively more affordable vehicles in higher volumes. We further believe that our battery systems expertise positions us to produce compelling stationary energy storage system (“</w:t>
      </w:r>
      <w:r>
        <w:rPr>
          <w:rFonts w:ascii="Arial" w:cs="Arial" w:eastAsia="Arial" w:hAnsi="Arial"/>
          <w:sz w:val="16"/>
          <w:szCs w:val="16"/>
          <w:i w:val="1"/>
          <w:iCs w:val="1"/>
          <w:color w:val="auto"/>
        </w:rPr>
        <w:t>ESS</w:t>
      </w:r>
      <w:r>
        <w:rPr>
          <w:rFonts w:ascii="Arial" w:cs="Arial" w:eastAsia="Arial" w:hAnsi="Arial"/>
          <w:sz w:val="16"/>
          <w:szCs w:val="16"/>
          <w:color w:val="auto"/>
        </w:rPr>
        <w:t>”) products. ESS is a technologically adjacent opportunity which can leverage the modular design of our battery packs and our extensive experience with battery pack and battery management systems.</w:t>
      </w:r>
    </w:p>
    <w:p>
      <w:pPr>
        <w:spacing w:after="0" w:line="16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plan to sell our vehicles directly to consumers through both our retail store or gallery locations, which we refer to as “Studios,” and our online purchasing platform as we believe the direct-to-consumer sales model reflects today’s changing customer preferences. We believe that our direct-to-consumer sales model, combined with a digitally enhanced luxury experience through our website and a refined in-store experience, creates opportunities to tailor to each customer’s purchase and ownership preferences. As of September 30, 2021, we have opened nine retail stores and expect additional stores and service centers to open in North America throughout 2021. We believe in owning our sales and service network in order to control our customers’ experience throughout their journey with us. We are also in the process of establishing an in-house service footprint through brick-and-mortar service centers in various geographies and a planned mobile service fleet. In order to deliver excellent in-house and mobile services to our customers, we also plan to have an approved list of vetted and specially trained body shop technicians.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p>
      <w:pPr>
        <w:ind w:right="180"/>
        <w:spacing w:after="0" w:line="271" w:lineRule="auto"/>
        <w:rPr>
          <w:sz w:val="20"/>
          <w:szCs w:val="20"/>
          <w:color w:val="auto"/>
        </w:rPr>
      </w:pPr>
      <w:r>
        <w:rPr>
          <w:rFonts w:ascii="Arial" w:cs="Arial" w:eastAsia="Arial" w:hAnsi="Arial"/>
          <w:sz w:val="17"/>
          <w:szCs w:val="17"/>
          <w:color w:val="auto"/>
        </w:rPr>
        <w:t>Our revenue to date has been generated primarily from the sales of battery pack systems, supplies and related services. Through September 30, 2021, we had not sold any vehicles. We began commercial sales of Lucid Air Dream Edition in late October 2021. We incurred net losses of $524.4 million and $161.2 million for the three months ended September 30, 2021 and 2020, respectively, $1.5 billion and $408.1 million for the nine months ended September 30, 2021 and 2020, respectively, and $719.4 million and $277.4 million for the years ended December 31, 2020 and 2019, respectively. We expect to incur significant net losses for the foreseeable future. We plan to make significant investments in capital expenditures to build and expand our manufacturing, sales and service facilities, hire a commercial sales team, and continue to invest in research and development. We expect that our existing cash and cash equivalents will be sufficient to meet our capital expenditure and working capital requirements for a period of at least twelve months from the date of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the Merger</w:t>
      </w:r>
    </w:p>
    <w:p>
      <w:pPr>
        <w:spacing w:after="0" w:line="252"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On the Closing Date, Churchill and Lucid consummated the Merger. Pursuant to the Merger Agreement, Lucid became a wholly owned subsidiary of Churchill and Churchill was immediately renamed “Lucid Group, Inc.” Upon the consummation of the Merger in connection with the Merger Agreement, all holders of 451,295,965 issued and outstanding Legacy Lucid common stock received shares of Lucid common stock at a deemed value of $10.00 per share after giving effect to the exchange ratio of 2.644 (the “Exchange Ratio”) resulting in 1,193,226,511 shares of Lucid common stock issued and outstanding as of the Closing and all holders of 42,182,931 issued and outstanding Legacy Lucid equity awards received Lucid equity awards covering 111,531,080 shares of Lucid common stock at a deemed value of $10.00 per share after giving effect to the Exchange Ratio.</w:t>
      </w:r>
    </w:p>
    <w:p>
      <w:pPr>
        <w:spacing w:after="0" w:line="16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and having the ability to nominate the majority of the members of the Lucid board of directors, senior management of Legacy Lucid comprise the senior management of Lucid, and the strategy and operations of Legacy Lucid prior to the Merger comprise the only ongoing strategy and operations of Lucid. Accordingly, for accounting purposes, the financial statements of Lucid represent a continuation of the financial statements of Legacy Lucid with the Merger 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periods prior to the Merger have been retrospectively adjusted using the Exchange Ratio for the equivalent number of shares outstanding immediately after the Closing to effect the reverse recapitalization.</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Closing, the Company raised $4,439.2 million of gross proceeds, including the contribution of $2,070.1 million of cash held in Churchill’s trust account from its initial public offering along with $2,500.0 million of cash raised by Churchill in connection with the PIPE Investment and $0.4 million of cash held in the Churchill operating cash account. The gross proceeds were net of $0.2 million paid to redeem 21,644 shares of Churchill Class A common stock held by public stockholders and $131.4 million in costs incurred by Churchill prior to the Closing. The Company additionally incurred $38.9 million of transaction costs, consisting of banking, legal, and other professional fees, of which $36.2 million was recorded as a reduction to additional paid-in capital of proceeds and the remaining $2.7 million was expensed in the condensed consolidated statements of operations. The total net cash proceeds to the Company were $4,400.3 million. We intend to use the net proceeds for future capacity expansion, general corporate purposes and to meet our working capital needs.</w:t>
      </w:r>
    </w:p>
    <w:p>
      <w:pPr>
        <w:spacing w:after="0" w:line="19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See Note 1 - Description of Business and Note 3 - Reverse Recapitalization in our unaudited interim condensed consolidated financial statements included elsewhere in this Quarterly Report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 xml:space="preserve">We believe that our future success and financial performance depend on a number of factors that present significant opportunities for our business, but also pose risks and challenges, including those discussed below and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II, Item 1A of this Quarterly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Technology Leadership</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believe that we are positioned to be a leader in the electric vehicle market by unlocking the potential for advanced, high-performance, and long-range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We have received significant interest in the Lucid Air from potential customers. Through September 30, 2021, we have refundable reservations that reflect potential sales greater than $1,300.0 million.</w:t>
      </w:r>
    </w:p>
    <w:p>
      <w:pPr>
        <w:sectPr>
          <w:pgSz w:w="11900" w:h="16838" w:orient="portrait"/>
          <w:cols w:equalWidth="0" w:num="1">
            <w:col w:w="11220"/>
          </w:cols>
          <w:pgMar w:left="320" w:top="989" w:right="359" w:bottom="1440" w:gutter="0" w:footer="0" w:header="0"/>
        </w:sect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Direct-to-Consumer Model</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plan to operate a direct-to-consumer sales and service model, which we believe will allow us to offer a personalized experience for our customers based on their purchase and ownership preferences. We expect to incur significant expenses in our sales and marketing operations as we prepare for commercialization of the Lucid Air, including to open Studios, hire a sales force, invest in marketing and brand awareness, and stand up a service center operation. As of September 30, 2021, we had opened nine Studios, four locations in California, two locations in Florida, one location in New York, one location in Illinois and one location in Arizona. By the end of 2021, we expect to open additional Studios and service centers in North America. We also intend to hire additional sales, customer service, and service centers personnel. We believe that investing in our direct-to-consumer sales and service model will be critical to deliver and service the Lucid electric vehicles we plan to manufacture and sell.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Manufacturing Capacity</w:t>
      </w:r>
    </w:p>
    <w:p>
      <w:pPr>
        <w:spacing w:after="0" w:line="22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each year through 2023 as we continue our phased construction of our AMP-1 and LPM-1 facilities and international expansion and then to decrease in the subsequent years.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225"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results of operations for the periods presented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2"/>
              </w:rPr>
              <w:t>$ change</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2"/>
              </w:rPr>
              <w:t>$ change</w:t>
            </w:r>
          </w:p>
        </w:tc>
        <w:tc>
          <w:tcPr>
            <w:tcW w:w="960" w:type="dxa"/>
            <w:vAlign w:val="bottom"/>
            <w:tcBorders>
              <w:bottom w:val="single" w:sz="8" w:color="CCEEFF"/>
            </w:tcBorders>
          </w:tcPr>
          <w:p>
            <w:pPr>
              <w:jc w:val="center"/>
              <w:ind w:left="8"/>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96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89"/>
              </w:rPr>
              <w:t>110%</w:t>
            </w:r>
          </w:p>
        </w:tc>
        <w:tc>
          <w:tcPr>
            <w:tcW w:w="0" w:type="dxa"/>
            <w:vAlign w:val="bottom"/>
          </w:tcPr>
          <w:p>
            <w:pPr>
              <w:spacing w:after="0"/>
              <w:rPr>
                <w:sz w:val="1"/>
                <w:szCs w:val="1"/>
                <w:color w:val="auto"/>
              </w:rPr>
            </w:pPr>
          </w:p>
        </w:tc>
      </w:tr>
      <w:tr>
        <w:trPr>
          <w:trHeight w:val="186"/>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2,711</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445%</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2,874</w:t>
            </w:r>
          </w:p>
        </w:tc>
        <w:tc>
          <w:tcPr>
            <w:tcW w:w="960" w:type="dxa"/>
            <w:vAlign w:val="bottom"/>
            <w:tcBorders>
              <w:bottom w:val="single" w:sz="8" w:color="CCEEFF"/>
            </w:tcBorders>
          </w:tcPr>
          <w:p>
            <w:pPr>
              <w:jc w:val="center"/>
              <w:ind w:left="8"/>
              <w:spacing w:after="0"/>
              <w:rPr>
                <w:sz w:val="20"/>
                <w:szCs w:val="20"/>
                <w:color w:val="auto"/>
              </w:rPr>
            </w:pPr>
            <w:r>
              <w:rPr>
                <w:rFonts w:ascii="Arial" w:cs="Arial" w:eastAsia="Arial" w:hAnsi="Arial"/>
                <w:sz w:val="14"/>
                <w:szCs w:val="14"/>
                <w:color w:val="auto"/>
                <w:w w:val="89"/>
              </w:rPr>
              <w:t>523%</w:t>
            </w:r>
          </w:p>
        </w:tc>
        <w:tc>
          <w:tcPr>
            <w:tcW w:w="0" w:type="dxa"/>
            <w:vAlign w:val="bottom"/>
          </w:tcPr>
          <w:p>
            <w:pPr>
              <w:spacing w:after="0"/>
              <w:rPr>
                <w:sz w:val="1"/>
                <w:szCs w:val="1"/>
                <w:color w:val="auto"/>
              </w:rPr>
            </w:pPr>
          </w:p>
        </w:tc>
      </w:tr>
      <w:tr>
        <w:trPr>
          <w:trHeight w:val="186"/>
        </w:trPr>
        <w:tc>
          <w:tcPr>
            <w:tcW w:w="3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Gross loss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(2,813)</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i w:val="1"/>
                <w:iCs w:val="1"/>
                <w:color w:val="auto"/>
                <w:w w:val="96"/>
              </w:rPr>
              <w:t>*nm</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w:t>
            </w:r>
          </w:p>
        </w:tc>
        <w:tc>
          <w:tcPr>
            <w:tcW w:w="960" w:type="dxa"/>
            <w:vAlign w:val="bottom"/>
            <w:shd w:val="clear" w:color="auto" w:fill="CCEEFF"/>
          </w:tcPr>
          <w:p>
            <w:pPr>
              <w:jc w:val="center"/>
              <w:ind w:left="8"/>
              <w:spacing w:after="0"/>
              <w:rPr>
                <w:sz w:val="20"/>
                <w:szCs w:val="20"/>
                <w:color w:val="auto"/>
              </w:rPr>
            </w:pPr>
            <w:r>
              <w:rPr>
                <w:rFonts w:ascii="Arial" w:cs="Arial" w:eastAsia="Arial" w:hAnsi="Arial"/>
                <w:sz w:val="14"/>
                <w:szCs w:val="14"/>
                <w:i w:val="1"/>
                <w:iCs w:val="1"/>
                <w:color w:val="auto"/>
                <w:w w:val="96"/>
              </w:rPr>
              <w:t>*nm</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 development(1)</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242,408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133,890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108,518</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81%</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586,579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341,589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244,990</w:t>
            </w:r>
          </w:p>
        </w:tc>
        <w:tc>
          <w:tcPr>
            <w:tcW w:w="96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9"/>
              </w:rPr>
              <w:t>72%</w:t>
            </w:r>
          </w:p>
        </w:tc>
        <w:tc>
          <w:tcPr>
            <w:tcW w:w="0" w:type="dxa"/>
            <w:vAlign w:val="bottom"/>
          </w:tcPr>
          <w:p>
            <w:pPr>
              <w:spacing w:after="0"/>
              <w:rPr>
                <w:sz w:val="1"/>
                <w:szCs w:val="1"/>
                <w:color w:val="auto"/>
              </w:rPr>
            </w:pPr>
          </w:p>
        </w:tc>
      </w:tr>
      <w:tr>
        <w:trPr>
          <w:trHeight w:val="186"/>
        </w:trPr>
        <w:tc>
          <w:tcPr>
            <w:tcW w:w="36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Selling, general and administrative(1)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251,554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27,935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223,619</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800%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455,478</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57,719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397,759</w:t>
            </w:r>
          </w:p>
        </w:tc>
        <w:tc>
          <w:tcPr>
            <w:tcW w:w="960" w:type="dxa"/>
            <w:vAlign w:val="bottom"/>
            <w:tcBorders>
              <w:bottom w:val="single" w:sz="8" w:color="CCEEFF"/>
            </w:tcBorders>
          </w:tcPr>
          <w:p>
            <w:pPr>
              <w:jc w:val="center"/>
              <w:ind w:left="8"/>
              <w:spacing w:after="0"/>
              <w:rPr>
                <w:sz w:val="20"/>
                <w:szCs w:val="20"/>
                <w:color w:val="auto"/>
              </w:rPr>
            </w:pPr>
            <w:r>
              <w:rPr>
                <w:rFonts w:ascii="Arial" w:cs="Arial" w:eastAsia="Arial" w:hAnsi="Arial"/>
                <w:sz w:val="14"/>
                <w:szCs w:val="14"/>
                <w:color w:val="auto"/>
                <w:w w:val="89"/>
              </w:rPr>
              <w:t>689%</w:t>
            </w:r>
          </w:p>
        </w:tc>
        <w:tc>
          <w:tcPr>
            <w:tcW w:w="0" w:type="dxa"/>
            <w:vAlign w:val="bottom"/>
          </w:tcPr>
          <w:p>
            <w:pPr>
              <w:spacing w:after="0"/>
              <w:rPr>
                <w:sz w:val="1"/>
                <w:szCs w:val="1"/>
                <w:color w:val="auto"/>
              </w:rPr>
            </w:pPr>
          </w:p>
        </w:tc>
      </w:tr>
      <w:tr>
        <w:trPr>
          <w:trHeight w:val="186"/>
        </w:trPr>
        <w:tc>
          <w:tcPr>
            <w:tcW w:w="3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493,962</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161,825</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332,137</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205%</w:t>
            </w: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1,042,057</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399,308</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642,749</w:t>
            </w:r>
          </w:p>
        </w:tc>
        <w:tc>
          <w:tcPr>
            <w:tcW w:w="96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89"/>
              </w:rPr>
              <w:t>161%</w:t>
            </w:r>
          </w:p>
        </w:tc>
        <w:tc>
          <w:tcPr>
            <w:tcW w:w="0" w:type="dxa"/>
            <w:vAlign w:val="bottom"/>
          </w:tcPr>
          <w:p>
            <w:pPr>
              <w:spacing w:after="0"/>
              <w:rPr>
                <w:sz w:val="1"/>
                <w:szCs w:val="1"/>
                <w:color w:val="auto"/>
              </w:rPr>
            </w:pPr>
          </w:p>
        </w:tc>
      </w:tr>
      <w:tr>
        <w:trPr>
          <w:trHeight w:val="179"/>
        </w:trPr>
        <w:tc>
          <w:tcPr>
            <w:tcW w:w="36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(497,050)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(162,100)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(334,950)</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207%</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7"/>
              </w:rPr>
              <w:t>(1,044,762)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(399,516)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(645,246)</w:t>
            </w:r>
          </w:p>
        </w:tc>
        <w:tc>
          <w:tcPr>
            <w:tcW w:w="960" w:type="dxa"/>
            <w:vAlign w:val="bottom"/>
          </w:tcPr>
          <w:p>
            <w:pPr>
              <w:jc w:val="center"/>
              <w:ind w:left="8"/>
              <w:spacing w:after="0"/>
              <w:rPr>
                <w:sz w:val="20"/>
                <w:szCs w:val="20"/>
                <w:color w:val="auto"/>
              </w:rPr>
            </w:pPr>
            <w:r>
              <w:rPr>
                <w:rFonts w:ascii="Arial" w:cs="Arial" w:eastAsia="Arial" w:hAnsi="Arial"/>
                <w:sz w:val="14"/>
                <w:szCs w:val="14"/>
                <w:color w:val="auto"/>
                <w:w w:val="89"/>
              </w:rPr>
              <w:t>162%</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140"/>
              <w:spacing w:after="0"/>
              <w:rPr>
                <w:sz w:val="20"/>
                <w:szCs w:val="20"/>
                <w:color w:val="auto"/>
              </w:rPr>
            </w:pPr>
            <w:r>
              <w:rPr>
                <w:rFonts w:ascii="Arial" w:cs="Arial" w:eastAsia="Arial" w:hAnsi="Arial"/>
                <w:sz w:val="14"/>
                <w:szCs w:val="14"/>
                <w:color w:val="auto"/>
              </w:rPr>
              <w:t>Change in fair value of forward contracts</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i w:val="1"/>
                <w:iCs w:val="1"/>
                <w:color w:val="auto"/>
                <w:w w:val="96"/>
              </w:rPr>
              <w:t>*nm</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(454,546)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(8,719)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(445,827)</w:t>
            </w:r>
          </w:p>
        </w:tc>
        <w:tc>
          <w:tcPr>
            <w:tcW w:w="960" w:type="dxa"/>
            <w:vAlign w:val="bottom"/>
          </w:tcPr>
          <w:p>
            <w:pPr>
              <w:jc w:val="center"/>
              <w:ind w:left="8"/>
              <w:spacing w:after="0"/>
              <w:rPr>
                <w:sz w:val="20"/>
                <w:szCs w:val="20"/>
                <w:color w:val="auto"/>
              </w:rPr>
            </w:pPr>
            <w:r>
              <w:rPr>
                <w:rFonts w:ascii="Arial" w:cs="Arial" w:eastAsia="Arial" w:hAnsi="Arial"/>
                <w:sz w:val="14"/>
                <w:szCs w:val="14"/>
                <w:i w:val="1"/>
                <w:iCs w:val="1"/>
                <w:color w:val="auto"/>
                <w:w w:val="96"/>
              </w:rPr>
              <w:t>*nm</w:t>
            </w: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7"/>
              </w:rPr>
              <w:t>Change in fair value of convertible preferred stock warrant</w:t>
            </w: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i w:val="1"/>
                <w:iCs w:val="1"/>
                <w:color w:val="auto"/>
                <w:w w:val="96"/>
              </w:rPr>
              <w:t>*nm</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(6,976)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(6,805)</w:t>
            </w:r>
          </w:p>
        </w:tc>
        <w:tc>
          <w:tcPr>
            <w:tcW w:w="960" w:type="dxa"/>
            <w:vAlign w:val="bottom"/>
            <w:vMerge w:val="restart"/>
            <w:shd w:val="clear" w:color="auto" w:fill="CCEEFF"/>
          </w:tcPr>
          <w:p>
            <w:pPr>
              <w:jc w:val="center"/>
              <w:ind w:left="8"/>
              <w:spacing w:after="0"/>
              <w:rPr>
                <w:sz w:val="20"/>
                <w:szCs w:val="20"/>
                <w:color w:val="auto"/>
              </w:rPr>
            </w:pPr>
            <w:r>
              <w:rPr>
                <w:rFonts w:ascii="Arial" w:cs="Arial" w:eastAsia="Arial" w:hAnsi="Arial"/>
                <w:sz w:val="14"/>
                <w:szCs w:val="14"/>
                <w:i w:val="1"/>
                <w:iCs w:val="1"/>
                <w:color w:val="auto"/>
                <w:w w:val="96"/>
              </w:rPr>
              <w:t>*nm</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liability</w:t>
            </w: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140"/>
              <w:spacing w:after="0"/>
              <w:rPr>
                <w:sz w:val="20"/>
                <w:szCs w:val="20"/>
                <w:color w:val="auto"/>
              </w:rPr>
            </w:pPr>
            <w:r>
              <w:rPr>
                <w:rFonts w:ascii="Arial" w:cs="Arial" w:eastAsia="Arial" w:hAnsi="Arial"/>
                <w:sz w:val="14"/>
                <w:szCs w:val="14"/>
                <w:color w:val="auto"/>
              </w:rPr>
              <w:t>Change in fair value of common stock warrant liability</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(24,787)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(24,787)</w:t>
            </w:r>
          </w:p>
        </w:tc>
        <w:tc>
          <w:tcPr>
            <w:tcW w:w="1020" w:type="dxa"/>
            <w:vAlign w:val="bottom"/>
          </w:tcPr>
          <w:p>
            <w:pPr>
              <w:jc w:val="center"/>
              <w:spacing w:after="0"/>
              <w:rPr>
                <w:sz w:val="20"/>
                <w:szCs w:val="20"/>
                <w:color w:val="auto"/>
              </w:rPr>
            </w:pPr>
            <w:r>
              <w:rPr>
                <w:rFonts w:ascii="Arial" w:cs="Arial" w:eastAsia="Arial" w:hAnsi="Arial"/>
                <w:sz w:val="14"/>
                <w:szCs w:val="14"/>
                <w:i w:val="1"/>
                <w:iCs w:val="1"/>
                <w:color w:val="auto"/>
                <w:w w:val="96"/>
              </w:rPr>
              <w:t>*nm</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(24,787)</w:t>
            </w:r>
          </w:p>
        </w:tc>
        <w:tc>
          <w:tcPr>
            <w:tcW w:w="960" w:type="dxa"/>
            <w:vAlign w:val="bottom"/>
          </w:tcPr>
          <w:p>
            <w:pPr>
              <w:jc w:val="center"/>
              <w:ind w:left="8"/>
              <w:spacing w:after="0"/>
              <w:rPr>
                <w:sz w:val="20"/>
                <w:szCs w:val="20"/>
                <w:color w:val="auto"/>
              </w:rPr>
            </w:pPr>
            <w:r>
              <w:rPr>
                <w:rFonts w:ascii="Arial" w:cs="Arial" w:eastAsia="Arial" w:hAnsi="Arial"/>
                <w:sz w:val="14"/>
                <w:szCs w:val="14"/>
                <w:i w:val="1"/>
                <w:iCs w:val="1"/>
                <w:color w:val="auto"/>
                <w:w w:val="96"/>
              </w:rPr>
              <w:t>*nm</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 costs expensed</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i w:val="1"/>
                <w:iCs w:val="1"/>
                <w:color w:val="auto"/>
                <w:w w:val="96"/>
              </w:rPr>
              <w:t>*nm</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w:t>
            </w:r>
          </w:p>
        </w:tc>
        <w:tc>
          <w:tcPr>
            <w:tcW w:w="960" w:type="dxa"/>
            <w:vAlign w:val="bottom"/>
            <w:shd w:val="clear" w:color="auto" w:fill="CCEEFF"/>
          </w:tcPr>
          <w:p>
            <w:pPr>
              <w:jc w:val="center"/>
              <w:ind w:left="8"/>
              <w:spacing w:after="0"/>
              <w:rPr>
                <w:sz w:val="20"/>
                <w:szCs w:val="20"/>
                <w:color w:val="auto"/>
              </w:rPr>
            </w:pPr>
            <w:r>
              <w:rPr>
                <w:rFonts w:ascii="Arial" w:cs="Arial" w:eastAsia="Arial" w:hAnsi="Arial"/>
                <w:sz w:val="14"/>
                <w:szCs w:val="14"/>
                <w:i w:val="1"/>
                <w:iCs w:val="1"/>
                <w:color w:val="auto"/>
                <w:w w:val="96"/>
              </w:rPr>
              <w:t>*nm</w:t>
            </w:r>
          </w:p>
        </w:tc>
        <w:tc>
          <w:tcPr>
            <w:tcW w:w="0" w:type="dxa"/>
            <w:vAlign w:val="bottom"/>
          </w:tcPr>
          <w:p>
            <w:pPr>
              <w:spacing w:after="0"/>
              <w:rPr>
                <w:sz w:val="1"/>
                <w:szCs w:val="1"/>
                <w:color w:val="auto"/>
              </w:rPr>
            </w:pPr>
          </w:p>
        </w:tc>
      </w:tr>
      <w:tr>
        <w:trPr>
          <w:trHeight w:val="186"/>
        </w:trPr>
        <w:tc>
          <w:tcPr>
            <w:tcW w:w="36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660%</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(91)</w:t>
            </w:r>
          </w:p>
        </w:tc>
        <w:tc>
          <w:tcPr>
            <w:tcW w:w="960" w:type="dxa"/>
            <w:vAlign w:val="bottom"/>
          </w:tcPr>
          <w:p>
            <w:pPr>
              <w:jc w:val="center"/>
              <w:ind w:left="8"/>
              <w:spacing w:after="0"/>
              <w:rPr>
                <w:sz w:val="20"/>
                <w:szCs w:val="20"/>
                <w:color w:val="auto"/>
              </w:rPr>
            </w:pPr>
            <w:r>
              <w:rPr>
                <w:rFonts w:ascii="Arial" w:cs="Arial" w:eastAsia="Arial" w:hAnsi="Arial"/>
                <w:sz w:val="14"/>
                <w:szCs w:val="14"/>
                <w:color w:val="auto"/>
                <w:w w:val="89"/>
              </w:rPr>
              <w:t>455%</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(expense) income, net</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(68)%</w:t>
            </w: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96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7"/>
              </w:rPr>
              <w:t>(299)%</w:t>
            </w:r>
          </w:p>
        </w:tc>
        <w:tc>
          <w:tcPr>
            <w:tcW w:w="0" w:type="dxa"/>
            <w:vAlign w:val="bottom"/>
          </w:tcPr>
          <w:p>
            <w:pPr>
              <w:spacing w:after="0"/>
              <w:rPr>
                <w:sz w:val="1"/>
                <w:szCs w:val="1"/>
                <w:color w:val="auto"/>
              </w:rPr>
            </w:pPr>
          </w:p>
        </w:tc>
      </w:tr>
      <w:tr>
        <w:trPr>
          <w:trHeight w:val="179"/>
        </w:trPr>
        <w:tc>
          <w:tcPr>
            <w:tcW w:w="36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other (expense) income, net</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(27,331)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(28,049)</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i w:val="1"/>
                <w:iCs w:val="1"/>
                <w:color w:val="auto"/>
                <w:w w:val="96"/>
              </w:rPr>
              <w:t>*nm</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(489,288)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(8,834)</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(480,454)</w:t>
            </w:r>
          </w:p>
        </w:tc>
        <w:tc>
          <w:tcPr>
            <w:tcW w:w="960" w:type="dxa"/>
            <w:vAlign w:val="bottom"/>
            <w:tcBorders>
              <w:bottom w:val="single" w:sz="8" w:color="CCEEFF"/>
            </w:tcBorders>
          </w:tcPr>
          <w:p>
            <w:pPr>
              <w:jc w:val="center"/>
              <w:ind w:left="8"/>
              <w:spacing w:after="0"/>
              <w:rPr>
                <w:sz w:val="20"/>
                <w:szCs w:val="20"/>
                <w:color w:val="auto"/>
              </w:rPr>
            </w:pPr>
            <w:r>
              <w:rPr>
                <w:rFonts w:ascii="Arial" w:cs="Arial" w:eastAsia="Arial" w:hAnsi="Arial"/>
                <w:sz w:val="14"/>
                <w:szCs w:val="14"/>
                <w:i w:val="1"/>
                <w:iCs w:val="1"/>
                <w:color w:val="auto"/>
                <w:w w:val="96"/>
              </w:rPr>
              <w:t>*nm</w:t>
            </w:r>
          </w:p>
        </w:tc>
        <w:tc>
          <w:tcPr>
            <w:tcW w:w="0" w:type="dxa"/>
            <w:vAlign w:val="bottom"/>
          </w:tcPr>
          <w:p>
            <w:pPr>
              <w:spacing w:after="0"/>
              <w:rPr>
                <w:sz w:val="1"/>
                <w:szCs w:val="1"/>
                <w:color w:val="auto"/>
              </w:rPr>
            </w:pPr>
          </w:p>
        </w:tc>
      </w:tr>
      <w:tr>
        <w:trPr>
          <w:trHeight w:val="18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provision for (benefit from) income taxes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(524,381)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(161,382)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(362,999)</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225%</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(1,534,050)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(408,350)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(1,125,700)</w:t>
            </w:r>
          </w:p>
        </w:tc>
        <w:tc>
          <w:tcPr>
            <w:tcW w:w="96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89"/>
              </w:rPr>
              <w:t>276%</w:t>
            </w:r>
          </w:p>
        </w:tc>
        <w:tc>
          <w:tcPr>
            <w:tcW w:w="0" w:type="dxa"/>
            <w:vAlign w:val="bottom"/>
          </w:tcPr>
          <w:p>
            <w:pPr>
              <w:spacing w:after="0"/>
              <w:rPr>
                <w:sz w:val="1"/>
                <w:szCs w:val="1"/>
                <w:color w:val="auto"/>
              </w:rPr>
            </w:pPr>
          </w:p>
        </w:tc>
      </w:tr>
      <w:tr>
        <w:trPr>
          <w:trHeight w:val="186"/>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i w:val="1"/>
                <w:iCs w:val="1"/>
                <w:color w:val="auto"/>
                <w:w w:val="96"/>
              </w:rPr>
              <w:t>*nm</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960" w:type="dxa"/>
            <w:vAlign w:val="bottom"/>
            <w:tcBorders>
              <w:bottom w:val="single" w:sz="8" w:color="CCEEFF"/>
            </w:tcBorders>
          </w:tcPr>
          <w:p>
            <w:pPr>
              <w:jc w:val="center"/>
              <w:ind w:left="8"/>
              <w:spacing w:after="0"/>
              <w:rPr>
                <w:sz w:val="20"/>
                <w:szCs w:val="20"/>
                <w:color w:val="auto"/>
              </w:rPr>
            </w:pPr>
            <w:r>
              <w:rPr>
                <w:rFonts w:ascii="Arial" w:cs="Arial" w:eastAsia="Arial" w:hAnsi="Arial"/>
                <w:sz w:val="14"/>
                <w:szCs w:val="14"/>
                <w:i w:val="1"/>
                <w:iCs w:val="1"/>
                <w:color w:val="auto"/>
                <w:w w:val="96"/>
              </w:rPr>
              <w:t>*nm</w:t>
            </w:r>
          </w:p>
        </w:tc>
        <w:tc>
          <w:tcPr>
            <w:tcW w:w="0" w:type="dxa"/>
            <w:vAlign w:val="bottom"/>
          </w:tcPr>
          <w:p>
            <w:pPr>
              <w:spacing w:after="0"/>
              <w:rPr>
                <w:sz w:val="1"/>
                <w:szCs w:val="1"/>
                <w:color w:val="auto"/>
              </w:rPr>
            </w:pPr>
          </w:p>
        </w:tc>
      </w:tr>
      <w:tr>
        <w:trPr>
          <w:trHeight w:val="21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and comprehensive loss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(524,403)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(161,237)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(363,166)</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225%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(1,534,081)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(408,105)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(1,125,976)</w:t>
            </w:r>
          </w:p>
        </w:tc>
        <w:tc>
          <w:tcPr>
            <w:tcW w:w="96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w w:val="89"/>
              </w:rPr>
              <w:t>276%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6"/>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4"/>
        </w:trPr>
        <w:tc>
          <w:tcPr>
            <w:tcW w:w="36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b w:val="1"/>
                <w:bCs w:val="1"/>
                <w:color w:val="auto"/>
                <w:w w:val="92"/>
              </w:rPr>
              <w:t>$ change</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b w:val="1"/>
                <w:bCs w:val="1"/>
                <w:color w:val="auto"/>
                <w:w w:val="92"/>
              </w:rPr>
              <w:t>$ change</w:t>
            </w:r>
          </w:p>
        </w:tc>
        <w:tc>
          <w:tcPr>
            <w:tcW w:w="960" w:type="dxa"/>
            <w:vAlign w:val="bottom"/>
            <w:tcBorders>
              <w:bottom w:val="single" w:sz="8" w:color="CCEEFF"/>
            </w:tcBorders>
          </w:tcPr>
          <w:p>
            <w:pPr>
              <w:jc w:val="center"/>
              <w:ind w:left="8"/>
              <w:spacing w:after="0"/>
              <w:rPr>
                <w:sz w:val="20"/>
                <w:szCs w:val="20"/>
                <w:color w:val="auto"/>
              </w:rPr>
            </w:pPr>
            <w:r>
              <w:rPr>
                <w:rFonts w:ascii="Arial" w:cs="Arial" w:eastAsia="Arial" w:hAnsi="Arial"/>
                <w:sz w:val="14"/>
                <w:szCs w:val="14"/>
                <w:b w:val="1"/>
                <w:bCs w:val="1"/>
                <w:color w:val="auto"/>
                <w:w w:val="91"/>
              </w:rPr>
              <w:t>% change</w:t>
            </w:r>
          </w:p>
        </w:tc>
      </w:tr>
      <w:tr>
        <w:trPr>
          <w:trHeight w:val="184"/>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59,196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58,517</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i w:val="1"/>
                <w:iCs w:val="1"/>
                <w:color w:val="auto"/>
              </w:rPr>
              <w:t>*nm</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85,899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83,827</w:t>
            </w:r>
          </w:p>
        </w:tc>
        <w:tc>
          <w:tcPr>
            <w:tcW w:w="960" w:type="dxa"/>
            <w:vAlign w:val="bottom"/>
            <w:shd w:val="clear" w:color="auto" w:fill="CCEEFF"/>
          </w:tcPr>
          <w:p>
            <w:pPr>
              <w:jc w:val="center"/>
              <w:ind w:left="8"/>
              <w:spacing w:after="0"/>
              <w:rPr>
                <w:sz w:val="20"/>
                <w:szCs w:val="20"/>
                <w:color w:val="auto"/>
              </w:rPr>
            </w:pPr>
            <w:r>
              <w:rPr>
                <w:rFonts w:ascii="Arial" w:cs="Arial" w:eastAsia="Arial" w:hAnsi="Arial"/>
                <w:sz w:val="14"/>
                <w:szCs w:val="14"/>
                <w:i w:val="1"/>
                <w:iCs w:val="1"/>
                <w:color w:val="auto"/>
                <w:w w:val="96"/>
              </w:rPr>
              <w:t>*nm</w:t>
            </w:r>
          </w:p>
        </w:tc>
      </w:tr>
      <w:tr>
        <w:trPr>
          <w:trHeight w:val="186"/>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177,760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177,163</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i w:val="1"/>
                <w:iCs w:val="1"/>
                <w:color w:val="auto"/>
              </w:rPr>
              <w:t>*nm</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280,301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279,116</w:t>
            </w:r>
          </w:p>
        </w:tc>
        <w:tc>
          <w:tcPr>
            <w:tcW w:w="960" w:type="dxa"/>
            <w:vAlign w:val="bottom"/>
            <w:tcBorders>
              <w:bottom w:val="single" w:sz="8" w:color="CCEEFF"/>
            </w:tcBorders>
          </w:tcPr>
          <w:p>
            <w:pPr>
              <w:jc w:val="center"/>
              <w:ind w:left="8"/>
              <w:spacing w:after="0"/>
              <w:rPr>
                <w:sz w:val="20"/>
                <w:szCs w:val="20"/>
                <w:color w:val="auto"/>
              </w:rPr>
            </w:pPr>
            <w:r>
              <w:rPr>
                <w:rFonts w:ascii="Arial" w:cs="Arial" w:eastAsia="Arial" w:hAnsi="Arial"/>
                <w:sz w:val="14"/>
                <w:szCs w:val="14"/>
                <w:i w:val="1"/>
                <w:iCs w:val="1"/>
                <w:color w:val="auto"/>
                <w:w w:val="96"/>
              </w:rPr>
              <w:t>*nm</w:t>
            </w:r>
          </w:p>
        </w:tc>
      </w:tr>
      <w:tr>
        <w:trPr>
          <w:trHeight w:val="21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236,956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235,680</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i w:val="1"/>
                <w:iCs w:val="1"/>
                <w:color w:val="auto"/>
              </w:rPr>
              <w:t>*nm</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366,200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362,943</w:t>
            </w:r>
          </w:p>
        </w:tc>
        <w:tc>
          <w:tcPr>
            <w:tcW w:w="96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i w:val="1"/>
                <w:iCs w:val="1"/>
                <w:color w:val="auto"/>
                <w:w w:val="96"/>
              </w:rPr>
              <w:t>*nm</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date, we have primarily generated revenue from the sales of battery pack systems, supplies and related services for vehicles to a single customer. We have identified the sale of battery pack systems and the related supplies as a performance obligation to be recognized at the point in time when control is transferred to the customer. While our customer generally has the right to return defective or non-conforming products, product returns have been immaterial in past periods. We do not expect the sales from the battery pack systems for the world’s premier electric racing series to be material for the go-forward commercialized business.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Revenue decreased by $0.1 million, or 31%, for the three months ended September 30, 2021 as compared to the same period in the prior year. The decrease is attributable to a decrease in sales of our battery pack systems and supplies for vehicles.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Revenue increased by $0.4 million, or over 100%, for the nine months ended September 30, 2021 as compared to the same period in the prior year. The increase is attributable to an increase in sales of our battery pack systems and supplies for vehicles.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Cost of revenue related to battery pack systems, supplies and related services for electric vehicles primarily consists of direct parts and materials, shipping and handling costs, headcount related costs, such as salaries and related personnel expenses, including stock-based compensation, and estimated warranty expenses related to battery pack systems. Cost of revenue also includes allocated overhead costs such as depreciation of manufacturing related equipment and facilities, amortization of capitalized internal-use software, facilities, and information technology costs.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commenced commercial production of the Lucid Air, and we expect to capitalize the cost to manufacture vehicles and expense these capitalized inventory costs in the fourth quarter of 2021 when the vehicles are sold within cost of revenue. We have not capitalized any vehicle manufacturing costs to date.</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Cost of revenue increased by $2.7 million, or over 100% for the three months ended September 30, 2021 as compared to the same period in the prior year. The increase was due to cost incurred during the early stage of production that began during the quarter. Gross loss increased by $2.8 million, or over 100%, and gross margin decreased by over 100% primarily due to an increase in cost of revenue in the current period.</w:t>
      </w:r>
    </w:p>
    <w:p>
      <w:pPr>
        <w:spacing w:after="0" w:line="16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Cost of revenue increased by $2.9 million, or over 100%, for the nine months ended September 30, 2021 as compared to the same period in the prior year. The increase was due to cost incurred during the early stage of production that began during the quarter. Gross loss increased by $2.5 million, or over 100%, and gross margin decreased by over 100% primarily due to an increase in cost of revenue for the nine months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expenses consist of research and development and 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professional services fees, allocated facilities costs, such as office and rent expense and depreciation expense, and other engineering, designing, and testing expenses.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38" w:name="page39"/>
    <w:bookmarkEnd w:id="38"/>
    <w:p>
      <w:pPr>
        <w:spacing w:after="0" w:line="259" w:lineRule="auto"/>
        <w:rPr>
          <w:sz w:val="20"/>
          <w:szCs w:val="20"/>
          <w:color w:val="auto"/>
        </w:rPr>
      </w:pPr>
      <w:r>
        <w:rPr>
          <w:rFonts w:ascii="Arial" w:cs="Arial" w:eastAsia="Arial" w:hAnsi="Arial"/>
          <w:sz w:val="18"/>
          <w:szCs w:val="18"/>
          <w:color w:val="auto"/>
        </w:rPr>
        <w:t>Research and development expense increased by $108.5 million, or 81%, for the three months ended September 30, 2021 as compared to the same period in the prior year. The increase was primarily attributable to increases in personnel-related expenses of $100.4 million due to growth in headcount and stock-based compensation expense of $58.5 million recognized in relation to the RSUs. Additionally, we incurred increase in other allocated overhead expense of $8.6 million primarily related to additional facilities needed to scale our business.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expense increased by $245.0 million, or 72%, for the nine months ended September 30, 2021 as compared to the same period in the prior year. The increase was primarily attributable to increases in personnel-related expenses of $194.4 due to growth in headcount and stock-based compensation expense of $83.8 million recognized in relation to the RSUs and the fourth closing of the Legacy Lucid Series E preferred stock issuance. Additionally, we incurred increases in office and rent expense of $21.5 million and other allocated overhead expenses of $18.3 million primarily related to additional facilities needed to scale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Selling, general, and administrative expenses consist primarily of personnel-related expenses for employees involved in general corporate, selling and marketing functions, including executive management and administration, legal, human resources, accounting, finance, tax, and information technology. Personnel-related expenses primarily include salaries, benefits and share-based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19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14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Selling, general, and administrative expense increased by $223.6 million, or over 100%, for the three months ended September 30, 2021 as compared to the same period in the prior year. The increase was primarily attributable to increases in share-based compensation expense of $177.2 million related to RSUs. The increase was also attributable to personnel-related expenses of $26.6 million due to growth in headcount and other compensation related charges as we grew our sales force and expanded general and administrative functions needed to scale our business. Additionally, we incurred increase in other allocated overhead costs of $9.1 million primarily related to additional facilities to support the growing operations of our business.</w:t>
      </w:r>
    </w:p>
    <w:p>
      <w:pPr>
        <w:spacing w:after="0" w:line="16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Selling, general, and administrative expense increased by $397.8 million, or over 100%, for the nine months ended September 30, 2021 as compared to the same period in the prior year. The increase was primarily attributable to increases in share-based compensation expense of $279.1 million related to RSUs and the fourth closing of the Legacy Lucid Series E preferred stock issuance. The increase was also attributable to personnel-related expenses of $59.1 million due to growth in headcount and other compensation related charges as we grew our sales force and expanded general and administrative functions needed to scale our business. Additionally, we incurred increases in other allocated overhead costs of $23.7 million primarily related to additional facilities to support the growing operations of our business and increases in professional service fees of $16.4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Forward Contracts</w:t>
      </w:r>
    </w:p>
    <w:p>
      <w:pPr>
        <w:spacing w:after="0" w:line="225"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Our contingent forward contracts provided the holder the right to purchase Legacy Lucid Series D preferred stock and Legacy Lucid Series E preferred stock in future periods and were subject to remeasurement to fair value at each balance sheet date. Changes in the fair value of our contingent forward contracts were recognized in the condensed consolidated statements of operations and comprehensive loss.</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Change in contingent forward contracts liability increased by $445.8 million, or over 100%, for the nine months ended September 30, 2021 as compared to the same period in the prior year primarily due to the change in fair value of the Legacy Lucid Series E contingent forward contracts. The Legacy Lucid Series E contingent forward contracts were settled during six months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Convertible Preferred Stock Warrant Liability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convertible preferred share warrant liability related to the warrants to purchase shares of Legacy Lucid Series D preferred stock was subject to remeasurement to fair value at each balance sheet date. Changes in the fair value of our convertible preferred share warrant liability were recognized in the condensed consolidated statements of operations and comprehensive loss. All issued and outstanding shares of Legacy Lucid Series D preferred stock were settled in March 2021 and there will no longer be future earnings adjustments pertaining to the convertible preferred share warrant liability related to Legacy Lucid Series D preferred stock.</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9" w:name="page40"/>
    <w:bookmarkEnd w:id="39"/>
    <w:p>
      <w:pPr>
        <w:jc w:val="both"/>
        <w:ind w:right="120"/>
        <w:spacing w:after="0" w:line="263" w:lineRule="auto"/>
        <w:rPr>
          <w:sz w:val="20"/>
          <w:szCs w:val="20"/>
          <w:color w:val="auto"/>
        </w:rPr>
      </w:pPr>
      <w:r>
        <w:rPr>
          <w:rFonts w:ascii="Arial" w:cs="Arial" w:eastAsia="Arial" w:hAnsi="Arial"/>
          <w:sz w:val="18"/>
          <w:szCs w:val="18"/>
          <w:color w:val="auto"/>
        </w:rPr>
        <w:t>We recorded loss of $7.0 million for the nine months ended September 30, 2021 due to the changes in fair value of the convertible preferred stock warrant liability related to Legacy Lucid Series D preferred stock upon the exercise and settlement of all outstanding warrants to purchase Legacy Lucid Series D preferred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July 23, 2021, in connection with the reverse recapitalization treatment of the Merger, the Company effectively issued 44,350,000 private warrants to purchase shares of Lucid’s common stock. The private warrants were initially recognized as a liability on July 23, 2021, at a fair value of $812.0 million. The private warrants remained unexercised as of September 30, 2021 and the liability was remeasured to fair value as of September 30, 2021, resulting in a loss of $24.8 million for the three and nine months ended September 30, 2021, classified within change in fair value of common stock warrant liabilities in the condensed consolidated statements of operations. See Note 8 - Common Stock Warrant Liability in our unaudited interim condensed consolidated financial statements included elsewhere in this Quarterly Report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Costs Expensed</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Merger, the Company incurred $38.9 million in one-time direct and incremental transaction costs, consisting of banking, legal, and other professional fees. Transaction costs incurred by Lucid were allocated on a relative fair value basis between equity and liability-classified instruments deemed to be issued for financial reporting purposes at the Closing by Lucid. The Company’s $36.2 million transaction costs allocable to equity-classified instruments, including the common stock and public warrants, were charged as a direct reduction to Lucid’s additional paid-in capital of the gross proceeds remitted to Lucid from Churchill. The Company’s $2.7 million transaction costs allocable to liability-classified instruments measured at fair value, including the private warrants, were charged to the condensed consolidated statement of operations upon the Closing for the three and nine months ended September 30,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primarily of the interest incurred on our capital leases.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expense did not significantly fluctuate during the three and nine months ended September 30, 2021 as compared to the same period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Other income (expense), net consists primarily of foreign currency gains and losses.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Other expense did not significantly fluctuate during the three and nine months ended September 30, 2021 as compared to the same period in the prior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5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provision for (benefit from) income taxes consists of an estimate for U.S. federal and state income taxes based on enacted rates, as adjusted for allowable credits, deductions, uncertain tax positions, changes in deferred tax assets and liabilities, and changes in the tax law. We maintain a valuation allowance against the full value of our U.S. and state net deferred tax assets because we believe it is more likely than not that the recoverability of these deferred tax assets will not be realized.</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provision for (benefit from) income taxes did not significantly fluctuate during the three and nine months ended September 30, 2021 as compared to the same period in the prior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Since inception, we have financed our operations primarily from the issuances of equity securities, including convertible preferred stock and the proceeds of the Merger, and convertible notes. As of September 30, 2021, we had $4.8 billion of cash and cash equivalents and short-term investments.</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an early stage growth company, we have incurred substantial net losses since inception. We expect to continue to incur net losses in accordance with our operating plan as we continue to expand our research and development activities to complete the development of vehicles,</w:t>
      </w:r>
    </w:p>
    <w:p>
      <w:pPr>
        <w:sectPr>
          <w:pgSz w:w="11900" w:h="16838" w:orient="portrait"/>
          <w:cols w:equalWidth="0" w:num="1">
            <w:col w:w="11220"/>
          </w:cols>
          <w:pgMar w:left="320" w:top="989" w:right="359" w:bottom="1440" w:gutter="0" w:footer="0" w:header="0"/>
        </w:sectPr>
      </w:pP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40" w:name="page41"/>
    <w:bookmarkEnd w:id="40"/>
    <w:p>
      <w:pPr>
        <w:ind w:right="240"/>
        <w:spacing w:after="0" w:line="308" w:lineRule="auto"/>
        <w:rPr>
          <w:sz w:val="20"/>
          <w:szCs w:val="20"/>
          <w:color w:val="auto"/>
        </w:rPr>
      </w:pPr>
      <w:r>
        <w:rPr>
          <w:rFonts w:ascii="Arial" w:cs="Arial" w:eastAsia="Arial" w:hAnsi="Arial"/>
          <w:sz w:val="16"/>
          <w:szCs w:val="16"/>
          <w:color w:val="auto"/>
        </w:rPr>
        <w:t>establish our consumer base and scale our operations to meet anticipated demand. We anticipate to continue spend on capital expenditures to support our commercialization and growth as we continue our phased construction of our AMP-1, LPM-1 and international manufacturing facilities, purchase</w:t>
      </w:r>
    </w:p>
    <w:p>
      <w:pPr>
        <w:spacing w:after="0" w:line="268" w:lineRule="auto"/>
        <w:rPr>
          <w:sz w:val="20"/>
          <w:szCs w:val="20"/>
          <w:color w:val="auto"/>
        </w:rPr>
      </w:pPr>
      <w:r>
        <w:rPr>
          <w:rFonts w:ascii="Arial" w:cs="Arial" w:eastAsia="Arial" w:hAnsi="Arial"/>
          <w:sz w:val="17"/>
          <w:szCs w:val="17"/>
          <w:color w:val="auto"/>
        </w:rPr>
        <w:t>infrastructure for our vehicle production and launch our retail studios to support our direct-to-consumer model. As of December 31, 2020, our non-cancellable commitments, as disclosed below in “— Contractual Obligations and Commitments,” do not include any commitments related to these capital expenditures as we do not have any commitments related to these capital expenditures that we cannot cancel without a significant penalty. In addition to our capital expenditures, we expect our operating expenses to increase as we hire a commercial sales and service team and continue to invest in research and development. We expect these investments to be a key driver of our long-term growth and competitiveness, but will negatively impact our free cash flow. We have based these estimates on assumptions that may prove to be wrong, and we could utilize our available capital resources sooner than we currently anticipate. We believe that our cash on hand following the consummation of the Merger, including the proceeds from the PIPE Investment, will be sufficient to meet our capital expenditure and working capital requirements for a period of at least twelve months from the date of this Report. We expect to require additional capital to finance our operations, which may include seeking additional capital through equity offerings or debt financings. The amount and timing of our future funding and our commercialization requirements, if any, will depend on many factors, including the pace and results of our research and development efforts and our commercialization efforts. We may be unable to obtain any such additional financing on reasonable terms or at all. 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spacing w:after="0" w:line="21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 Part II, Item 1A.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50"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Nine Months Ended</w:t>
      </w:r>
    </w:p>
    <w:p>
      <w:pPr>
        <w:ind w:left="9280"/>
        <w:spacing w:after="0"/>
        <w:rPr>
          <w:sz w:val="20"/>
          <w:szCs w:val="20"/>
          <w:color w:val="auto"/>
        </w:rPr>
      </w:pPr>
      <w:r>
        <w:rPr>
          <w:rFonts w:ascii="Arial" w:cs="Arial" w:eastAsia="Arial" w:hAnsi="Arial"/>
          <w:sz w:val="18"/>
          <w:szCs w:val="18"/>
          <w:b w:val="1"/>
          <w:bCs w:val="1"/>
          <w:color w:val="auto"/>
        </w:rPr>
        <w:t>September 30, 2021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3"/>
              </w:rPr>
              <w:t>(377,407)</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(299,294)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center"/>
              <w:ind w:left="70"/>
              <w:spacing w:after="0"/>
              <w:rPr>
                <w:sz w:val="20"/>
                <w:szCs w:val="20"/>
                <w:color w:val="auto"/>
              </w:rPr>
            </w:pPr>
            <w:r>
              <w:rPr>
                <w:rFonts w:ascii="Arial" w:cs="Arial" w:eastAsia="Arial" w:hAnsi="Arial"/>
                <w:sz w:val="18"/>
                <w:szCs w:val="18"/>
                <w:color w:val="auto"/>
                <w:w w:val="93"/>
              </w:rPr>
              <w:t>(355,860)</w:t>
            </w:r>
          </w:p>
        </w:tc>
      </w:tr>
      <w:tr>
        <w:trPr>
          <w:trHeight w:val="23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5,236,843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892,575</w:t>
            </w: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4,192,148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9"/>
              </w:rPr>
              <w:t>159,308</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cash flows used in operating activities to date have been primarily comprised of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18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Net cash used in operating activities of $745.4 million for the nine months ended September 30, 2021 primarily consisted of $1,534.1 million of net loss, adjusted for $895.0 million </w:t>
      </w:r>
      <w:r>
        <w:rPr>
          <w:rFonts w:ascii="Arial" w:cs="Arial" w:eastAsia="Arial" w:hAnsi="Arial"/>
          <w:sz w:val="18"/>
          <w:szCs w:val="18"/>
          <w:color w:val="231F20"/>
        </w:rPr>
        <w:t>of non-cash charges and a decrease in net operating assets of $106.3 million. The non-cash charges primarily included losses</w:t>
      </w:r>
      <w:r>
        <w:rPr>
          <w:rFonts w:ascii="Arial" w:cs="Arial" w:eastAsia="Arial" w:hAnsi="Arial"/>
          <w:sz w:val="18"/>
          <w:szCs w:val="18"/>
          <w:color w:val="auto"/>
        </w:rPr>
        <w:t xml:space="preserve"> </w:t>
      </w:r>
      <w:r>
        <w:rPr>
          <w:rFonts w:ascii="Arial" w:cs="Arial" w:eastAsia="Arial" w:hAnsi="Arial"/>
          <w:sz w:val="18"/>
          <w:szCs w:val="18"/>
          <w:color w:val="231F20"/>
        </w:rPr>
        <w:t xml:space="preserve">for changes in fair value of contingent forward contracts and warrant liabilities of $486.3 million, share-based compensation expense of $366.2 million, non-cash operating lease cost of $8.6 million, depreciation and amortization of property and equipment of $26.6 million and amortization of insurance premium of $7.2 million. The increase in net operating assets is primarily due to an increase in operating assets of $123.4 million </w:t>
      </w:r>
      <w:r>
        <w:rPr>
          <w:rFonts w:ascii="Arial" w:cs="Arial" w:eastAsia="Arial" w:hAnsi="Arial"/>
          <w:sz w:val="18"/>
          <w:szCs w:val="18"/>
          <w:color w:val="000000"/>
        </w:rPr>
        <w:t>offset by an increase in</w:t>
      </w:r>
      <w:r>
        <w:rPr>
          <w:rFonts w:ascii="Arial" w:cs="Arial" w:eastAsia="Arial" w:hAnsi="Arial"/>
          <w:sz w:val="18"/>
          <w:szCs w:val="18"/>
          <w:color w:val="231F20"/>
        </w:rPr>
        <w:t xml:space="preserve"> operating liabilities of $17.1 million.</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231F20"/>
        </w:rPr>
        <w:t xml:space="preserve">Net cash used in operating activities of $377.4 million for the </w:t>
      </w:r>
      <w:r>
        <w:rPr>
          <w:rFonts w:ascii="Arial" w:cs="Arial" w:eastAsia="Arial" w:hAnsi="Arial"/>
          <w:sz w:val="18"/>
          <w:szCs w:val="18"/>
          <w:color w:val="000000"/>
        </w:rPr>
        <w:t>nine</w:t>
      </w:r>
      <w:r>
        <w:rPr>
          <w:rFonts w:ascii="Arial" w:cs="Arial" w:eastAsia="Arial" w:hAnsi="Arial"/>
          <w:sz w:val="18"/>
          <w:szCs w:val="18"/>
          <w:color w:val="231F20"/>
        </w:rPr>
        <w:t xml:space="preserve"> months ended September 30, 2020 primarily consisted of $408.1 million of net loss, adjusted for $17.7 million of non-cash charges and an increase in net operating assets of $13.0 million. The non-cash charges primarily included the fair value of contingent forward contracts and warrant liabilities of $8.9 million, depreciation and amortization of $5.4 million, and stock-based compensation expense of $3.3 million. The increase in net operating assets and liabilities is primarily due to an increase in operating liabilities of $11.5 million </w:t>
      </w:r>
      <w:r>
        <w:rPr>
          <w:rFonts w:ascii="Arial" w:cs="Arial" w:eastAsia="Arial" w:hAnsi="Arial"/>
          <w:sz w:val="18"/>
          <w:szCs w:val="18"/>
          <w:color w:val="000000"/>
        </w:rPr>
        <w:t>and an</w:t>
      </w:r>
      <w:r>
        <w:rPr>
          <w:rFonts w:ascii="Arial" w:cs="Arial" w:eastAsia="Arial" w:hAnsi="Arial"/>
          <w:sz w:val="18"/>
          <w:szCs w:val="18"/>
          <w:color w:val="231F20"/>
        </w:rPr>
        <w:t xml:space="preserve"> </w:t>
      </w:r>
      <w:r>
        <w:rPr>
          <w:rFonts w:ascii="Arial" w:cs="Arial" w:eastAsia="Arial" w:hAnsi="Arial"/>
          <w:sz w:val="18"/>
          <w:szCs w:val="18"/>
          <w:color w:val="000000"/>
        </w:rPr>
        <w:t xml:space="preserve">increase in </w:t>
      </w:r>
      <w:r>
        <w:rPr>
          <w:rFonts w:ascii="Arial" w:cs="Arial" w:eastAsia="Arial" w:hAnsi="Arial"/>
          <w:sz w:val="18"/>
          <w:szCs w:val="18"/>
          <w:color w:val="231F20"/>
        </w:rPr>
        <w:t>operating assets of $1.5 million.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continue to experience negative cash flows from investing activities as we expand our business and continue to build our infrastructure. Cash flows from investing activities primarily relate to capital expenditures to support our growth.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of $299.3 million for the nine months ended September 30, 2021 was primarily attributable to capital expenditures.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Net cash used in investing activities of $355.9 million for the nine months ended </w:t>
      </w:r>
      <w:r>
        <w:rPr>
          <w:rFonts w:ascii="Arial" w:cs="Arial" w:eastAsia="Arial" w:hAnsi="Arial"/>
          <w:sz w:val="17"/>
          <w:szCs w:val="17"/>
          <w:color w:val="231F20"/>
        </w:rPr>
        <w:t>September 30, 2020</w:t>
      </w:r>
      <w:r>
        <w:rPr>
          <w:rFonts w:ascii="Arial" w:cs="Arial" w:eastAsia="Arial" w:hAnsi="Arial"/>
          <w:sz w:val="17"/>
          <w:szCs w:val="17"/>
          <w:color w:val="auto"/>
        </w:rPr>
        <w:t xml:space="preserve"> was entirely attributable to capital expenditures.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Since inception, we have financed our operations primarily from the issuances of equity securities, including convertible preferred stock and the proceeds of the Merger, and convertible notes.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Net cash provided by financing activities of $5,236.8 million during the nine months ended </w:t>
      </w:r>
      <w:r>
        <w:rPr>
          <w:rFonts w:ascii="Arial" w:cs="Arial" w:eastAsia="Arial" w:hAnsi="Arial"/>
          <w:sz w:val="18"/>
          <w:szCs w:val="18"/>
          <w:color w:val="231F20"/>
        </w:rPr>
        <w:t>September 30, 2020</w:t>
      </w:r>
      <w:r>
        <w:rPr>
          <w:rFonts w:ascii="Arial" w:cs="Arial" w:eastAsia="Arial" w:hAnsi="Arial"/>
          <w:sz w:val="18"/>
          <w:szCs w:val="18"/>
          <w:color w:val="auto"/>
        </w:rPr>
        <w:t xml:space="preserve"> was primarily attributable to gross proceeds of approximately $4,439.2 from the Merger, $600.0 million of proceeds from the issuance of Legacy Lucid Series E preferred stock, $173.3 million of proceeds from the exercises of public warrants, $41.9 million proceeds from short-term insurance financing note, $6.0 million of proceeds from the exercises of stock options, $3.0 million of proceeds from the issuance of Legacy Lucid Series D preferred stock, partially offset by $3.0 million cash paid for the repurchase of Legacy Lucid Series B preferred stock and $16.8 million cash paid for the short-term insurance financing note. Net cash provided by financing activities also reflects that the Company incurred $38.9 million of transaction costs related to the Merger, of which $34.1 million were not yet paid as of </w:t>
      </w:r>
      <w:r>
        <w:rPr>
          <w:rFonts w:ascii="Arial" w:cs="Arial" w:eastAsia="Arial" w:hAnsi="Arial"/>
          <w:sz w:val="18"/>
          <w:szCs w:val="18"/>
          <w:color w:val="231F20"/>
        </w:rPr>
        <w:t>September 30, 2020.</w:t>
      </w:r>
    </w:p>
    <w:p>
      <w:pPr>
        <w:spacing w:after="0" w:line="19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Net cash provided by financing activities of $892.6 million during the nine months ended </w:t>
      </w:r>
      <w:r>
        <w:rPr>
          <w:rFonts w:ascii="Arial" w:cs="Arial" w:eastAsia="Arial" w:hAnsi="Arial"/>
          <w:sz w:val="18"/>
          <w:szCs w:val="18"/>
          <w:color w:val="231F20"/>
        </w:rPr>
        <w:t>September 30, 2020</w:t>
      </w:r>
      <w:r>
        <w:rPr>
          <w:rFonts w:ascii="Arial" w:cs="Arial" w:eastAsia="Arial" w:hAnsi="Arial"/>
          <w:sz w:val="18"/>
          <w:szCs w:val="18"/>
          <w:color w:val="auto"/>
        </w:rPr>
        <w:t xml:space="preserve"> was primarily attributable to $400.0 million of proceeds from the issuance of Legacy Lucid Series D preferred stock, $499.7 million of proceeds from the issuance of Legacy Lucid Series E preferred stock, and $2.9 million of proceeds from the exercises of stock options. Net cash provided by financing activities also reflects uses of cash of $9.9 million to repurchase Legacy Lucid Series C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168910</wp:posOffset>
            </wp:positionV>
            <wp:extent cx="33775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Payments Due by Periods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&lt; 1 year</w:t>
            </w:r>
          </w:p>
        </w:tc>
        <w:tc>
          <w:tcPr>
            <w:tcW w:w="14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1 – 3 years</w:t>
            </w:r>
          </w:p>
        </w:tc>
        <w:tc>
          <w:tcPr>
            <w:tcW w:w="22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3 – 5 year</w:t>
            </w:r>
          </w:p>
        </w:tc>
        <w:tc>
          <w:tcPr>
            <w:tcW w:w="20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&gt; 5 years</w:t>
            </w:r>
          </w:p>
        </w:tc>
      </w:tr>
      <w:tr>
        <w:trPr>
          <w:trHeight w:val="27"/>
        </w:trPr>
        <w:tc>
          <w:tcPr>
            <w:tcW w:w="432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253,796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56,470</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55,681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116,155</w:t>
            </w:r>
          </w:p>
        </w:tc>
      </w:tr>
      <w:tr>
        <w:trPr>
          <w:trHeight w:val="270"/>
        </w:trPr>
        <w:tc>
          <w:tcPr>
            <w:tcW w:w="4320" w:type="dxa"/>
            <w:vAlign w:val="bottom"/>
          </w:tcPr>
          <w:p>
            <w:pPr>
              <w:ind w:left="20"/>
              <w:spacing w:after="0"/>
              <w:rPr>
                <w:sz w:val="20"/>
                <w:szCs w:val="20"/>
                <w:color w:val="auto"/>
              </w:rPr>
            </w:pPr>
            <w:r>
              <w:rPr>
                <w:rFonts w:ascii="Arial" w:cs="Arial" w:eastAsia="Arial" w:hAnsi="Arial"/>
                <w:sz w:val="18"/>
                <w:szCs w:val="18"/>
                <w:color w:val="auto"/>
              </w:rPr>
              <w:t>Non-cancellable purchase commitment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506,000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101,200</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404,800</w:t>
            </w:r>
          </w:p>
        </w:tc>
        <w:tc>
          <w:tcPr>
            <w:tcW w:w="22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commitments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759,796</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126,690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461,270</w:t>
            </w:r>
          </w:p>
        </w:tc>
        <w:tc>
          <w:tcPr>
            <w:tcW w:w="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55,681</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116,155</w:t>
            </w:r>
          </w:p>
        </w:tc>
      </w:tr>
    </w:tbl>
    <w:p>
      <w:pPr>
        <w:spacing w:after="0" w:line="29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i w:val="1"/>
          <w:iCs w:val="1"/>
          <w:color w:val="auto"/>
        </w:rPr>
        <w:t xml:space="preserve">Operating lease obligations </w:t>
      </w:r>
      <w:r>
        <w:rPr>
          <w:rFonts w:ascii="Arial" w:cs="Arial" w:eastAsia="Arial" w:hAnsi="Arial"/>
          <w:sz w:val="16"/>
          <w:szCs w:val="16"/>
          <w:color w:val="auto"/>
        </w:rPr>
        <w:t>— Operating leases include nine lease agreements we entered into from January 2020 to December 31, 2020 for retail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locations in Arizona, California, Florida, New York, and Virginia, with lease expiration dates ranging from March 2025 through December 2032. Base rent for these leases ranges from $0.1 million to $0.4 million per annum, with certain leases having 3% annual base rent escalation clauses during the lease terms. As of December 31, 2020, the remaining operating lease commitments were $253.8 million. These commitments are reflected in the table above.</w:t>
      </w:r>
    </w:p>
    <w:p>
      <w:pPr>
        <w:spacing w:after="0" w:line="1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Non-cancellable purchase commitments </w:t>
      </w:r>
      <w:r>
        <w:rPr>
          <w:rFonts w:ascii="Arial" w:cs="Arial" w:eastAsia="Arial" w:hAnsi="Arial"/>
          <w:sz w:val="18"/>
          <w:szCs w:val="18"/>
          <w:color w:val="auto"/>
        </w:rPr>
        <w:t>— As of December 31, 2020, we are committed to purchase battery cells from a provider over the next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for a total estimated minimum of $506.0 million. Battery cell costs may fluctuate from time to time under the purchase commitment based on, among other things, supply and demand, costs of raw materials, and purchase volume. The table above does not include contracts that are not enforceable and legally binding and that do not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At September 30, 2021, there were no material changes in our contractual obligations as reported in the audited financial statements for the year ended December 31, 2020.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consolidated financial statements and the related notes thereto included elsewhere in this Report are prepared in accordance with generally accepted accounting principles in the United States (“U.S. GAAP”). The preparation of our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6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Other than the policies described in Note 2 - Summary of Significant Accounting Policies in the Company’s unaudited interim condensed consolidated financial statements included elsewhere in this Quarterly Report, there have been no material changes to its critical accounting policies and estimates as compared to those disclosed in its audited consolidated financial statements as of and for the years ended December 31, 2020 and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granted stock-based awards consisting primarily of incentive and non-qualified stock options and restricted stock units (“RSUs”) to employees, members of our board of directors, and non-employees.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Stock options generally vest over four years, and the majority of which vest at a rate of 25% on the first anniversary of the grant date, with the remainder vesting ratably each month over the next three years. </w:t>
      </w:r>
      <w:r>
        <w:rPr>
          <w:rFonts w:ascii="Arial" w:cs="Arial" w:eastAsia="Arial" w:hAnsi="Arial"/>
          <w:sz w:val="17"/>
          <w:szCs w:val="17"/>
          <w:color w:val="231F20"/>
        </w:rPr>
        <w:t>Stock options generally expire 10 years from the date of grant and are exercisable when the options</w:t>
      </w:r>
      <w:r>
        <w:rPr>
          <w:rFonts w:ascii="Arial" w:cs="Arial" w:eastAsia="Arial" w:hAnsi="Arial"/>
          <w:sz w:val="17"/>
          <w:szCs w:val="17"/>
          <w:color w:val="auto"/>
        </w:rPr>
        <w:t xml:space="preserve"> </w:t>
      </w:r>
      <w:r>
        <w:rPr>
          <w:rFonts w:ascii="Arial" w:cs="Arial" w:eastAsia="Arial" w:hAnsi="Arial"/>
          <w:sz w:val="17"/>
          <w:szCs w:val="17"/>
          <w:color w:val="231F20"/>
        </w:rPr>
        <w:t>vest. Stock-based compensation expense for stock options is generally recognized on a straight-line basis over the requisite service period based on the estimated fair value of the awards on the date of grant. We estimate the fair value of stock options granted using the Black-Scholes option-pricing model. The Black-Scholes option-pricing model requires certain subjective inputs and assumptions, including the fair value of our underlying common stock, expected common stock price volatility, expected dividend yield of our common stock, risk-free interest rates, and the expected option term. The assumptions used in the Black-Scholes option-pricing model are estimated as follows:</w:t>
      </w:r>
    </w:p>
    <w:p>
      <w:pPr>
        <w:spacing w:after="0" w:line="177"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i w:val="1"/>
          <w:iCs w:val="1"/>
          <w:color w:val="231F20"/>
        </w:rPr>
        <w:t xml:space="preserve">Fair value of common stock </w:t>
      </w:r>
      <w:r>
        <w:rPr>
          <w:rFonts w:ascii="Arial" w:cs="Arial" w:eastAsia="Arial" w:hAnsi="Arial"/>
          <w:sz w:val="18"/>
          <w:szCs w:val="18"/>
          <w:color w:val="231F20"/>
        </w:rPr>
        <w:t>— The fair value of our common stock was estimated because our common stock had not yet been publicly traded</w:t>
      </w:r>
      <w:r>
        <w:rPr>
          <w:rFonts w:ascii="Arial" w:cs="Arial" w:eastAsia="Arial" w:hAnsi="Arial"/>
          <w:sz w:val="18"/>
          <w:szCs w:val="18"/>
          <w:i w:val="1"/>
          <w:iCs w:val="1"/>
          <w:color w:val="231F20"/>
        </w:rPr>
        <w:t xml:space="preserve"> </w:t>
      </w:r>
      <w:r>
        <w:rPr>
          <w:rFonts w:ascii="Arial" w:cs="Arial" w:eastAsia="Arial" w:hAnsi="Arial"/>
          <w:sz w:val="18"/>
          <w:szCs w:val="18"/>
          <w:color w:val="231F20"/>
        </w:rPr>
        <w:t>prior to the Merger.</w:t>
      </w:r>
    </w:p>
    <w:p>
      <w:pPr>
        <w:spacing w:after="0" w:line="170" w:lineRule="exact"/>
        <w:rPr>
          <w:sz w:val="20"/>
          <w:szCs w:val="20"/>
          <w:color w:val="auto"/>
        </w:rPr>
      </w:pPr>
    </w:p>
    <w:p>
      <w:pPr>
        <w:ind w:left="660" w:right="120"/>
        <w:spacing w:after="0" w:line="263" w:lineRule="auto"/>
        <w:rPr>
          <w:sz w:val="20"/>
          <w:szCs w:val="20"/>
          <w:color w:val="auto"/>
        </w:rPr>
      </w:pPr>
      <w:r>
        <w:rPr>
          <w:rFonts w:ascii="Arial" w:cs="Arial" w:eastAsia="Arial" w:hAnsi="Arial"/>
          <w:sz w:val="18"/>
          <w:szCs w:val="18"/>
          <w:i w:val="1"/>
          <w:iCs w:val="1"/>
          <w:color w:val="231F20"/>
        </w:rPr>
        <w:t xml:space="preserve">Expected Volatility </w:t>
      </w:r>
      <w:r>
        <w:rPr>
          <w:rFonts w:ascii="Arial" w:cs="Arial" w:eastAsia="Arial" w:hAnsi="Arial"/>
          <w:sz w:val="18"/>
          <w:szCs w:val="18"/>
          <w:color w:val="231F20"/>
        </w:rPr>
        <w:t>— The volatility rate was determined by using an average of historical volatilities of selected industry peers deemed to be</w:t>
      </w:r>
      <w:r>
        <w:rPr>
          <w:rFonts w:ascii="Arial" w:cs="Arial" w:eastAsia="Arial" w:hAnsi="Arial"/>
          <w:sz w:val="18"/>
          <w:szCs w:val="18"/>
          <w:i w:val="1"/>
          <w:iCs w:val="1"/>
          <w:color w:val="231F20"/>
        </w:rPr>
        <w:t xml:space="preserve"> </w:t>
      </w:r>
      <w:r>
        <w:rPr>
          <w:rFonts w:ascii="Arial" w:cs="Arial" w:eastAsia="Arial" w:hAnsi="Arial"/>
          <w:sz w:val="18"/>
          <w:szCs w:val="18"/>
          <w:color w:val="231F20"/>
        </w:rPr>
        <w:t>comparable to our business corresponding to the expected option term as we did not have sufficient history of trading in our common stock prior to the Merger.</w:t>
      </w:r>
    </w:p>
    <w:p>
      <w:pPr>
        <w:spacing w:after="0" w:line="18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i w:val="1"/>
          <w:iCs w:val="1"/>
          <w:color w:val="231F20"/>
        </w:rPr>
        <w:t xml:space="preserve">Dividend Yield </w:t>
      </w:r>
      <w:r>
        <w:rPr>
          <w:rFonts w:ascii="Arial" w:cs="Arial" w:eastAsia="Arial" w:hAnsi="Arial"/>
          <w:sz w:val="18"/>
          <w:szCs w:val="18"/>
          <w:color w:val="231F20"/>
        </w:rPr>
        <w:t>— The expected dividend yield was zero as we had never declared or paid cash dividends and have no current plans to do so in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foreseeable future.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231F20"/>
        </w:rPr>
        <w:t xml:space="preserve">Risk Free Interest Rate </w:t>
      </w:r>
      <w:r>
        <w:rPr>
          <w:rFonts w:ascii="Arial" w:cs="Arial" w:eastAsia="Arial" w:hAnsi="Arial"/>
          <w:sz w:val="16"/>
          <w:szCs w:val="16"/>
          <w:color w:val="231F20"/>
        </w:rPr>
        <w:t>— The risk-free interest rate was based on the U.S. Treasury yield curve in effect at the time of grant for zero-coupon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Treasury notes with maturities corresponding to the expected option term.</w:t>
      </w:r>
    </w:p>
    <w:p>
      <w:pPr>
        <w:spacing w:after="0" w:line="211"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i w:val="1"/>
          <w:iCs w:val="1"/>
          <w:color w:val="231F20"/>
        </w:rPr>
        <w:t xml:space="preserve">Expected Option Term </w:t>
      </w:r>
      <w:r>
        <w:rPr>
          <w:rFonts w:ascii="Arial" w:cs="Arial" w:eastAsia="Arial" w:hAnsi="Arial"/>
          <w:sz w:val="18"/>
          <w:szCs w:val="18"/>
          <w:color w:val="231F20"/>
        </w:rPr>
        <w:t>— The expected option term represented the period that the Lucid Options were expected to be outstanding and is based on</w:t>
      </w:r>
      <w:r>
        <w:rPr>
          <w:rFonts w:ascii="Arial" w:cs="Arial" w:eastAsia="Arial" w:hAnsi="Arial"/>
          <w:sz w:val="18"/>
          <w:szCs w:val="18"/>
          <w:i w:val="1"/>
          <w:iCs w:val="1"/>
          <w:color w:val="231F20"/>
        </w:rPr>
        <w:t xml:space="preserve"> </w:t>
      </w:r>
      <w:r>
        <w:rPr>
          <w:rFonts w:ascii="Arial" w:cs="Arial" w:eastAsia="Arial" w:hAnsi="Arial"/>
          <w:sz w:val="18"/>
          <w:szCs w:val="18"/>
          <w:color w:val="231F20"/>
        </w:rPr>
        <w:t>historical experience of similar awards, giving consideration to the contractual terms, vesting schedules and expectations of future employee behavior.</w:t>
      </w:r>
    </w:p>
    <w:p>
      <w:pPr>
        <w:spacing w:after="0" w:line="184"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231F20"/>
        </w:rPr>
        <w:t>We continue to use judgment in evaluating the expected volatility over the expected option term and the expected option term utilized in our stock-based compensation expense calculation on a prospective basis. As we continue to accumulate additional data related to our common stock, we may refine our estimates of the expected volatility over the expected option term, which could materially impact our future stock- based compensation expense.</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231F20"/>
        </w:rPr>
        <w:t>RSUs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231F20"/>
        </w:rPr>
        <w:t xml:space="preserve">RSUs are subject to both service-based and performance-based vesting conditions. The service-based vesting condition for these awards is typically satisfied equally over four years with a cliff vesting period of one year and continued vesting in equal quarterly installments thereafter. The performance-based vesting condition was satisfied upon the Closing </w:t>
      </w:r>
      <w:r>
        <w:rPr>
          <w:rFonts w:ascii="Arial" w:cs="Arial" w:eastAsia="Arial" w:hAnsi="Arial"/>
          <w:sz w:val="17"/>
          <w:szCs w:val="17"/>
          <w:color w:val="000000"/>
        </w:rPr>
        <w:t>of the Merger</w:t>
      </w:r>
      <w:r>
        <w:rPr>
          <w:rFonts w:ascii="Arial" w:cs="Arial" w:eastAsia="Arial" w:hAnsi="Arial"/>
          <w:sz w:val="17"/>
          <w:szCs w:val="17"/>
          <w:color w:val="231F20"/>
        </w:rPr>
        <w:t xml:space="preserve">. These qualifying liquidity events were not deemed probable until consummated, and therefore, stock-based compensation related to these RSUs remained unrecognized prior to the consummation of the </w:t>
      </w:r>
      <w:r>
        <w:rPr>
          <w:rFonts w:ascii="Arial" w:cs="Arial" w:eastAsia="Arial" w:hAnsi="Arial"/>
          <w:sz w:val="17"/>
          <w:szCs w:val="17"/>
          <w:color w:val="000000"/>
        </w:rPr>
        <w:t>Merger</w:t>
      </w:r>
      <w:r>
        <w:rPr>
          <w:rFonts w:ascii="Arial" w:cs="Arial" w:eastAsia="Arial" w:hAnsi="Arial"/>
          <w:sz w:val="17"/>
          <w:szCs w:val="17"/>
          <w:color w:val="231F20"/>
        </w:rPr>
        <w:t>.</w:t>
      </w:r>
    </w:p>
    <w:p>
      <w:pPr>
        <w:spacing w:after="0" w:line="17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231F20"/>
        </w:rPr>
        <w:t>We estimate the fair value of RSUs based on the estimated fair value of our underlying common stock as of the date of the grant. Stock-based compensation for RSUs is generally recognized on a graded vesting basis over the requisite service period once the performance condition is satisfied.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RSU Award</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31F20"/>
        </w:rPr>
        <w:t>In March 2021, our board of directors approved the grant of RSUs to Peter Rawlinson as Lucid’s CEO (the “</w:t>
      </w:r>
      <w:r>
        <w:rPr>
          <w:rFonts w:ascii="Arial" w:cs="Arial" w:eastAsia="Arial" w:hAnsi="Arial"/>
          <w:sz w:val="18"/>
          <w:szCs w:val="18"/>
          <w:i w:val="1"/>
          <w:iCs w:val="1"/>
          <w:color w:val="231F20"/>
        </w:rPr>
        <w:t>CEO RSU Award</w:t>
      </w:r>
      <w:r>
        <w:rPr>
          <w:rFonts w:ascii="Arial" w:cs="Arial" w:eastAsia="Arial" w:hAnsi="Arial"/>
          <w:sz w:val="18"/>
          <w:szCs w:val="18"/>
          <w:color w:val="231F20"/>
        </w:rPr>
        <w:t>”) to encourage Mr. Rawlinson to focus on the long-term success of Lucid. The CEO RSU Award is comprised of RSUs that are subject to performance and service conditions (the “CEO Time-Based RSUs”) and RSUs that are subject to performance and market conditions (the “CEO Performance RSUs”), as described further below.</w:t>
      </w:r>
    </w:p>
    <w:p>
      <w:pPr>
        <w:spacing w:after="0" w:line="18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i w:val="1"/>
          <w:iCs w:val="1"/>
          <w:color w:val="auto"/>
        </w:rPr>
        <w:t xml:space="preserve">CEO Time-Based RSUs </w:t>
      </w:r>
      <w:r>
        <w:rPr>
          <w:rFonts w:ascii="Arial" w:cs="Arial" w:eastAsia="Arial" w:hAnsi="Arial"/>
          <w:sz w:val="17"/>
          <w:szCs w:val="17"/>
          <w:color w:val="auto"/>
        </w:rPr>
        <w:t>— The performance condition was satisfied upon the Closing of the Merger. The service conditions will be satisfied in 16 equal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quarterly installments on March 5, June 5, September 5, and December 5 beginning on the first quarterly installment date that is at least two months after the Closing, which will be December 5, 2021, provided that Mr. Rawlinson remains in continuous service through each vesting date.</w:t>
      </w:r>
    </w:p>
    <w:p>
      <w:pPr>
        <w:spacing w:after="0" w:line="19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grant date fair value of the CEO Time-Based RSUs will be recognized using a graded vesting attribution method over the service period for each tranche. The grant date fair value of the CEO Time-Based RSUs was based on the estimated fair value of Lucid’s underlying common stock as of the date of the grant.</w:t>
      </w:r>
    </w:p>
    <w:p>
      <w:pPr>
        <w:spacing w:after="0" w:line="18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CEO Performance RSUs </w:t>
      </w:r>
      <w:r>
        <w:rPr>
          <w:rFonts w:ascii="Arial" w:cs="Arial" w:eastAsia="Arial" w:hAnsi="Arial"/>
          <w:sz w:val="18"/>
          <w:szCs w:val="18"/>
          <w:color w:val="auto"/>
        </w:rPr>
        <w:t>— The performance condition was satisfied upon the Closing of the Merger. The market conditions will be satisfied based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achievement of certain market capitalization goals of Lucid and the continued employment of Mr. Rawlinson at each vesting date during the five-year period beginning after the Closing of the Merger. The CEO Performance RSUs will vest only if Lucid achieves the Lucid market capitalization targets, which if achieved, would allow Lucid’s other stockholders to benefit from the increases in our market capitalization. The Lucid market capitalization targets will be adjusted to reflect any stock splits, stock dividends, combinations, reorganizations, reclassifications, or other similar changes in capitalization or corporate events.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grant date fair value of the CEO Performance RSUs will be recognized using a graded vesting attribution method over the estimated requisite service periods for the five tranches, regardless of whether the Lucid market capitalization targets are achieved. If the Lucid market capitalization targets are met sooner than the requisite service period, the stock-based compensation expense will be adjusted to reflect the cumulative expense associated with the vested award.</w:t>
      </w:r>
    </w:p>
    <w:p>
      <w:pPr>
        <w:spacing w:after="0" w:line="18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i w:val="1"/>
          <w:iCs w:val="1"/>
          <w:color w:val="auto"/>
        </w:rPr>
        <w:t xml:space="preserve">Tax Withholding </w:t>
      </w:r>
      <w:r>
        <w:rPr>
          <w:rFonts w:ascii="Arial" w:cs="Arial" w:eastAsia="Arial" w:hAnsi="Arial"/>
          <w:sz w:val="16"/>
          <w:szCs w:val="16"/>
          <w:color w:val="auto"/>
        </w:rPr>
        <w:t>— During the first year following the Closing of the Merger, we expect that Lucid will settle tax withholding obligations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any vesting of the CEO RSU Award through “net settlement,” i.e., by remitting cash to satisfy the tax withholding obligation and withholding a number of the vested shares on each vesting date. The amount of the tax withholding due on each vesting and net settlement date will be based on the fair value of the common stock on such vesting and net settlement date. Depending on the fair value of the common stock and the number of RSUs vesting on any applicable vesting and net settlement date, such net settlement could require Lucid to expend substantial cash funds to satisfy tax withholding.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 Liability</w:t>
      </w:r>
    </w:p>
    <w:p>
      <w:pPr>
        <w:spacing w:after="0" w:line="239"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We accounted for privately placed common stock warrants (the “private warrants”) to purchase shares of Lucid common stock as liabilities at their estimated fair value because these private warrants are not deemed indexed to our common stock. The warrants were recorded at fair value upon issuance and were subject to remeasurement to fair value at each period end, with any fair value adjustments recognized as a component within other income (expense), net in our condensed consolidated statements of operations and comprehensive loss. A portion of our private warrants are subject to certain contingent forfeiture provisions.</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fair value of the private warrants that are not subject to the contingent forfeiture provisions was estimated using a Black-Scholes option pricing model that takes into account the contract terms as well as the quoted price of the Company’s common stock in an active market. The volatility is based on the actual market activity of the Company’s peer group as well as the Company's historical volatility. The expected life is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4" w:name="page45"/>
    <w:bookmarkEnd w:id="44"/>
    <w:p>
      <w:pPr>
        <w:jc w:val="both"/>
        <w:spacing w:after="0" w:line="246" w:lineRule="auto"/>
        <w:rPr>
          <w:sz w:val="20"/>
          <w:szCs w:val="20"/>
          <w:color w:val="auto"/>
        </w:rPr>
      </w:pPr>
      <w:r>
        <w:rPr>
          <w:rFonts w:ascii="Arial" w:cs="Arial" w:eastAsia="Arial" w:hAnsi="Arial"/>
          <w:sz w:val="18"/>
          <w:szCs w:val="18"/>
          <w:color w:val="auto"/>
        </w:rPr>
        <w:t>based on the remaining contractual term of the warrants, and the risk free interest rate is based on the implied yield available on U.S. Treasury securities with a maturity equivalent to the warrants’ expected life.</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fair value of the private warrants that are subject to the contingent forfeiture provisions was estimated using a Monte-Carlo simulation, which involved random iterations of future stock-price paths over the contractual life of the private warrants, including the probability distribution of outcomes, the payoff to the holder was determined based on the achievement of the various market thresholds within each simulated path. The present value of the payoff in each simulated trial is calculated, and the fair value of the liability is determined by taking the average of all present values.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See Note 8 - Common Stock Warrant Liability and Note 11 – Earnback Shares and Warrants to the unaudited interim condensed consolidated financial statements included elsewhere in this Quarterly Report for more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Forward Contract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accounted for the contingent forward contract to purchase Legacy Lucid Series E preferred stock as a derivative liability because the contingent forward contract may require us to issue additional shares at a future date. The contingent forward contract was recorded at fair value upon issuance and was subject to remeasurement to fair value at each period end, with any fair value adjustments recognized as a component within other income (expense), net in our condensed consolidated statements of operations and comprehensive loss. The fair value of the contingent forward contract liability for the Legacy Lucid Series E preferred stock issued in February 2021 and April 2021 was determined based on the forward payoff, which was determined as the difference between the estimated Legacy Lucid Series E preferred shares fair value and the $7.90 per share purchase price.We settled the contingent forward contract in April 2021.</w:t>
      </w:r>
    </w:p>
    <w:p>
      <w:pPr>
        <w:spacing w:after="0" w:line="18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See Note 6 - Contingent Forward Contracts to the unaudited interim condensed consolidated financial statements included elsewhere in this Quarterly Report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23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accounted for warrants to purchase shares of Legacy Lucid Series D preferred stock as liabilities at their estimated fair value because these warrants may obligate us to transfer assets to the holders at a future date under certain circumstances, such as a merger, acquisition, reorganization, sale of all or substantially all of our assets, each a change of control event. The warrants were recorded at fair value upon issuance and were subject to remeasurement to fair value at each period end, with any fair value adjustments recognized as a component within other income (expense), net in our condensed consolidated statements of operations and comprehensive loss. We used a Black-Scholes model to calculate the fair value of its redeemable convertible preferred stock warrant liability. In February 2021, all outstanding warrants to purchase shares of Legacy Lucid Series D Preferred Shares were exercised.</w:t>
      </w:r>
    </w:p>
    <w:p>
      <w:pPr>
        <w:spacing w:after="0" w:line="15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See Note 9 - Convertible Preferred Stock to the unaudited interim condensed consolidated financial statements included elsewhere in this Quarterly Report for more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utilize the asset and liability method in accounting for income taxes. Under this method, deferred tax assets and liabilities are recorded based on the estimated future tax effects of temporary differences between the financial reporting and tax bases of existing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We recognize the effect on deferred income taxes of a change in tax rates in the period that includes the enactment date. Valuation allowances are established when necessary to reduce deferred tax assets to the net amount that we believe is more-likely-than-not to be realized.</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make estimates, assumptions and judgments to determine our provision for Lucid’s income taxes, deferred tax assets and liabilities, and any valuation allowance recorded against deferred tax assets. We consider all available evidence, both positive and negative, including historical levels of income, expectations and risks associated with estimates of future taxable income, and ongoing tax planning strategies in assessing the need for a valuation allowance. We assess the likelihood that our deferred tax assets will be recovered from future taxable income, and to the extent it believes that recovery is not likely, it establishes a valuation allowance.</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Report, have not been material, are recognized within provision for income taxes.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Report for more information regarding recently issued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5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connection with the preparation of our consolidated financial statements as of and for the fiscal years ended December 31, 2020 and 2019, we identified material weaknesses in our internal control over financial reporting. See the subsection entitled “</w:t>
      </w:r>
      <w:r>
        <w:rPr>
          <w:rFonts w:ascii="Arial" w:cs="Arial" w:eastAsia="Arial" w:hAnsi="Arial"/>
          <w:sz w:val="18"/>
          <w:szCs w:val="18"/>
          <w:i w:val="1"/>
          <w:iCs w:val="1"/>
          <w:color w:val="auto"/>
        </w:rPr>
        <w:t>Risk Factors — We have identified material weaknesses in</w:t>
      </w:r>
      <w:r>
        <w:rPr>
          <w:rFonts w:ascii="Arial" w:cs="Arial" w:eastAsia="Arial" w:hAnsi="Arial"/>
          <w:sz w:val="18"/>
          <w:szCs w:val="18"/>
          <w:color w:val="auto"/>
        </w:rPr>
        <w:t xml:space="preserve"> </w:t>
      </w:r>
      <w:r>
        <w:rPr>
          <w:rFonts w:ascii="Arial" w:cs="Arial" w:eastAsia="Arial" w:hAnsi="Arial"/>
          <w:sz w:val="18"/>
          <w:szCs w:val="18"/>
          <w:i w:val="1"/>
          <w:iCs w:val="1"/>
          <w:color w:val="auto"/>
        </w:rPr>
        <w:t>our internal control over financial reporting. If we are unable to remediate these material weaknesses, or if we identify additional material weaknesses in the future or otherwise fail to develop and maintain an effective system of internal control over financial reporting, we may not be able to accurately or timely report our financial condition or results of operations, which may adversely affect investor confidence in us and the value of our common stock</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II, Item 1A.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Section 102(b)(1) of the Jumpstart Our Business Startups Act of 2021 (the “JOBS Act”) exempts “emerging growth companies” as defined in Section 2(A) of the Securities Act of 1933, as amended,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Lucid is an “emerging growth company” and has elected to take advantage of the benefits of this extended transition period.</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Lucid will use this extended transition period for complying with new or revised accounting standards that have different effective dates for public business entities and non-public business entities until the earlier of the date Lucid (a) is no longer an emerging growth company or (b) affirmatively and irrevocably opts out of the extended transition period provided in the JOBS Act. The extended transition period exemptions afforded by Lucid’s emerging growth company status may make it difficult or impossible to compare Lucid’s financial results with the financial results of another public company that is either not an emerging growth company or is an emerging growth company that has chosen not to take advantage of this exemption because of the potential differences in accounting standards used. Refer to Note 2 to our consolidated financial statements included elsewhere in this Report for the recent accounting pronouncements.</w:t>
      </w:r>
    </w:p>
    <w:p>
      <w:pPr>
        <w:spacing w:after="0" w:line="22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Lucid will remain an “emerging growth company” under the JOBS Act until the earliest of (a) the last day of Lucid’s first fiscal year following the fifth anniversary of the Churchill IPO, (b) the last date of Lucid’s fiscal year in which Lucid has total annual gross revenue of at least $1.07 billion, (c) the last date of Lucid’s fiscal year in which Lucid is deemed to be a “large accelerated filer” under the rules of the SEC with at least $700.0 million of outstanding securities held by non-affiliates or (d) the date on which Lucid has issued more than $1.0 billion in non- convertible debt securities during the previous three years. Lucid will cease to be an emerging growth company as of December 31,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Disclosures about Market Risk.</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exposed to market risk for changes in interest rates applicable to our cash and cash equivalents, restricted cash, and short-term investments. We had cash, cash equivalents and restricted cash totaling $4.8 billion and short-term investments totaling $0.5 million as of September 30, 2021. Our cash and cash equivalents and short-term investments were invested primarily in money market funds and certificates of deposits. Our investment policy is focused on the preservation of capital and supporting our liquidity needs. Under the policy, we invest in highly rated securities, issued by the U.S. government or liquid money market funds. We do not invest in financial instruments for trading or speculative purposes, nor do we use leveraged financial instruments. We utilize external investment managers who adhere to the guidelines of our investment policy. A hypothetical 10% change in interest rates would not have a had material impact on the value of our cash, cash equivalents or short-term investments as of September 30, 2021.</w:t>
      </w:r>
    </w:p>
    <w:p>
      <w:pPr>
        <w:sectPr>
          <w:pgSz w:w="11900" w:h="16838" w:orient="portrait"/>
          <w:cols w:equalWidth="0" w:num="1">
            <w:col w:w="11220"/>
          </w:cols>
          <w:pgMar w:left="320" w:top="989" w:right="359" w:bottom="1440"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Automotive sales typically tend to decline over the winter season though we do not expect seasonality to have a significant impact on our results of operations in the near term until we scale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Our management evaluated, with the participation of our principal executive and principal financial officers, the effectiveness of the Company’s disclosure controls and procedures (as defined in Rules 13a-15(e) and 15d-15(e) under the Securities Exchange Act of 1934, as amended (the “Exchange Act”)) as of September 30, 2021. Based on their evaluation, the Company’s principal executive and principal financial officers concluded that, solely due to the material weaknesses in our internal control over financial reporting described below, the Company’s disclosure controls and procedures were not effective as of September 30, 2021.</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material weakness, management believes that the consolidated financial statements and related financial information included in this Quarterly Report fairly present in all material respects our financial condition, results of operations and cash flows as of and for the periods presented in conformity with U.S. generally accepted accounting principles (“U.S. GAAP”)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229" w:lineRule="exact"/>
        <w:rPr>
          <w:sz w:val="20"/>
          <w:szCs w:val="20"/>
          <w:color w:val="auto"/>
        </w:rPr>
      </w:pPr>
    </w:p>
    <w:p>
      <w:pPr>
        <w:ind w:left="660" w:right="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Lucid did not maintain a sufficient complement of personnel with accounting knowledge, experience and training to appropriately analyze, record and disclose accounting matters to provide reasonable assurance of preventing material misstatements;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Lucid did not maintain an effective process to verify changes to vendor records for payment remittances; and</w:t>
      </w:r>
    </w:p>
    <w:p>
      <w:pPr>
        <w:spacing w:after="0" w:line="225" w:lineRule="exact"/>
        <w:rPr>
          <w:rFonts w:ascii="Arial" w:cs="Arial" w:eastAsia="Arial" w:hAnsi="Arial"/>
          <w:sz w:val="18"/>
          <w:szCs w:val="18"/>
          <w:color w:val="auto"/>
        </w:rPr>
      </w:pPr>
    </w:p>
    <w:p>
      <w:pPr>
        <w:jc w:val="both"/>
        <w:ind w:left="660" w:right="120" w:hanging="328"/>
        <w:spacing w:after="0" w:line="286"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Lucid did not maintain effective controls over certain information technology (“</w:t>
      </w:r>
      <w:r>
        <w:rPr>
          <w:rFonts w:ascii="Arial" w:cs="Arial" w:eastAsia="Arial" w:hAnsi="Arial"/>
          <w:sz w:val="17"/>
          <w:szCs w:val="17"/>
          <w:i w:val="1"/>
          <w:iCs w:val="1"/>
          <w:color w:val="auto"/>
        </w:rPr>
        <w:t>IT</w:t>
      </w:r>
      <w:r>
        <w:rPr>
          <w:rFonts w:ascii="Arial" w:cs="Arial" w:eastAsia="Arial" w:hAnsi="Arial"/>
          <w:sz w:val="17"/>
          <w:szCs w:val="17"/>
          <w:color w:val="auto"/>
        </w:rPr>
        <w:t>”) general controls for information systems that are relevant to the preparation of its consolidated financial statements. Specifically, Lucid did not design and maintain user access controls to ensure appropriate segregation of duties and restrict user access to its financial applications to appropriate company personnel.</w:t>
      </w:r>
    </w:p>
    <w:p>
      <w:pPr>
        <w:spacing w:after="0" w:line="192"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Lucid did not maintain effective disclosure controls and procedures over financial reporting solely related to its accounting for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Lucid has begun implementation of a plan to remediate these material weaknesses. These remediation measures are ongoing and include the following steps:</w:t>
      </w:r>
    </w:p>
    <w:p>
      <w:pPr>
        <w:spacing w:after="0" w:line="170" w:lineRule="exact"/>
        <w:rPr>
          <w:sz w:val="20"/>
          <w:szCs w:val="20"/>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hiring additional accounting and financial reporting personnel with appropriate technical accounting knowledge and public company experience in financial reporting;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designing and implementing effective processes and controls to prevent payment to unverified vendors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designing and implementing security management and change management controls over IT systems, including adjusting user access levels and implementing external logging of activity and periodic review of such logs; and</w:t>
      </w:r>
    </w:p>
    <w:p>
      <w:pPr>
        <w:spacing w:after="0" w:line="170" w:lineRule="exact"/>
        <w:rPr>
          <w:rFonts w:ascii="Arial" w:cs="Arial" w:eastAsia="Arial" w:hAnsi="Arial"/>
          <w:sz w:val="18"/>
          <w:szCs w:val="18"/>
          <w:color w:val="auto"/>
        </w:rPr>
      </w:pPr>
    </w:p>
    <w:p>
      <w:pPr>
        <w:ind w:left="660" w:right="58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engaging an accounting advisory firm to assist with the documentation, evaluation, remediation and testing of Lucid’s internal control over financial reporting based on the criteria established in Internal Control - Integrated Framework issued by the Committee of Sponsoring Organizations of the Treadway Commission.</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will continue to monitor the design and effectiveness of these and other processes, procedures and controls and make further changes management determines appropriate.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completion of the Merger on the Closing Date, the internal controls of Legacy Lucid became our internal controls. There has been no change in the Company’s internal control over financial reporting (as defined in Rules 13a-15(f) and 15d-15(f) under the Exchange Act) that occurred during the Company’s fiscal quarter ended September 30, 2021 that has materially affected, or is reasonably likely to materially affect, the Company’s internal control over financial reporting.</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For a description of our legal proceedings, please see the description set forth in the “Legal Matters” section in Note 14 – Commitments and Contingencies in the notes to the condensed consolidated financial statements in Item 1 of Part I of this report, which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 this report,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56" w:lineRule="exact"/>
        <w:rPr>
          <w:sz w:val="20"/>
          <w:szCs w:val="20"/>
          <w:color w:val="auto"/>
        </w:rPr>
      </w:pPr>
    </w:p>
    <w:p>
      <w:pPr>
        <w:jc w:val="both"/>
        <w:ind w:right="100" w:firstLine="405"/>
        <w:spacing w:after="0" w:line="288" w:lineRule="auto"/>
        <w:rPr>
          <w:sz w:val="20"/>
          <w:szCs w:val="20"/>
          <w:color w:val="auto"/>
        </w:rPr>
      </w:pPr>
      <w:r>
        <w:rPr>
          <w:rFonts w:ascii="Arial" w:cs="Arial" w:eastAsia="Arial" w:hAnsi="Arial"/>
          <w:sz w:val="16"/>
          <w:szCs w:val="16"/>
          <w:i w:val="1"/>
          <w:iCs w:val="1"/>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ind w:left="660" w:hanging="328"/>
        <w:spacing w:after="0" w:line="238"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ongoing COVID-19 pandemic has adversely affected our business, results of operations and financial condition.</w:t>
      </w:r>
    </w:p>
    <w:p>
      <w:pPr>
        <w:spacing w:after="0" w:line="27" w:lineRule="exact"/>
        <w:rPr>
          <w:rFonts w:ascii="Arial" w:cs="Arial" w:eastAsia="Arial" w:hAnsi="Arial"/>
          <w:sz w:val="22"/>
          <w:szCs w:val="22"/>
          <w:color w:val="auto"/>
        </w:rPr>
      </w:pPr>
    </w:p>
    <w:p>
      <w:pPr>
        <w:ind w:left="660" w:right="200" w:hanging="328"/>
        <w:spacing w:after="0" w:line="232"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Our limited operating history makes evaluating our business and future prospects difficult and may increase the risk of investing in our common stock.</w:t>
      </w:r>
    </w:p>
    <w:p>
      <w:pPr>
        <w:spacing w:after="0" w:line="27"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19"/>
          <w:szCs w:val="19"/>
          <w:color w:val="auto"/>
        </w:rPr>
      </w:pPr>
      <w:r>
        <w:rPr>
          <w:rFonts w:ascii="Arial" w:cs="Arial" w:eastAsia="Arial" w:hAnsi="Arial"/>
          <w:sz w:val="16"/>
          <w:szCs w:val="16"/>
          <w:color w:val="auto"/>
        </w:rPr>
        <w:t>We have incurred net losses each year since our inception and expect to incur increasing expenses and substantial losses for the foreseeable future.</w:t>
      </w:r>
    </w:p>
    <w:p>
      <w:pPr>
        <w:spacing w:after="0" w:line="21" w:lineRule="exact"/>
        <w:rPr>
          <w:rFonts w:ascii="Arial" w:cs="Arial" w:eastAsia="Arial" w:hAnsi="Arial"/>
          <w:sz w:val="19"/>
          <w:szCs w:val="19"/>
          <w:color w:val="auto"/>
        </w:rPr>
      </w:pPr>
    </w:p>
    <w:p>
      <w:pPr>
        <w:ind w:left="660" w:hanging="328"/>
        <w:spacing w:after="0" w:line="233"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We may be unable to adequately control the substantial costs associated with our operations.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We have received only a limited number of reservations for the Lucid Air, all of which may be cancelled.</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1"/>
          <w:szCs w:val="21"/>
          <w:color w:val="auto"/>
        </w:rPr>
      </w:pPr>
      <w:r>
        <w:rPr>
          <w:rFonts w:ascii="Arial" w:cs="Arial" w:eastAsia="Arial" w:hAnsi="Arial"/>
          <w:sz w:val="17"/>
          <w:szCs w:val="17"/>
          <w:color w:val="auto"/>
        </w:rPr>
        <w:t>The automotive industry has significant barriers to entry that we must overcome in order to manufacture and sell electric vehicles at scale.</w:t>
      </w:r>
    </w:p>
    <w:p>
      <w:pPr>
        <w:spacing w:after="0" w:line="10" w:lineRule="exact"/>
        <w:rPr>
          <w:rFonts w:ascii="Arial" w:cs="Arial" w:eastAsia="Arial" w:hAnsi="Arial"/>
          <w:sz w:val="21"/>
          <w:szCs w:val="21"/>
          <w:color w:val="auto"/>
        </w:rPr>
      </w:pPr>
    </w:p>
    <w:p>
      <w:pPr>
        <w:ind w:left="660" w:hanging="328"/>
        <w:spacing w:after="0" w:line="233"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automotive market is highly competitive, and we may not be successful in competing in this industry.</w:t>
      </w:r>
    </w:p>
    <w:p>
      <w:pPr>
        <w:spacing w:after="0" w:line="27" w:lineRule="exact"/>
        <w:rPr>
          <w:rFonts w:ascii="Arial" w:cs="Arial" w:eastAsia="Arial" w:hAnsi="Arial"/>
          <w:sz w:val="22"/>
          <w:szCs w:val="22"/>
          <w:color w:val="auto"/>
        </w:rPr>
      </w:pPr>
    </w:p>
    <w:p>
      <w:pPr>
        <w:ind w:left="660" w:right="520" w:hanging="328"/>
        <w:spacing w:after="0" w:line="232"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We will initially depend on revenue generated from a single model and in the foreseeable future will be significantly dependent on a limited number of models.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We will not have a third-party retail product distribution network.</w:t>
      </w:r>
    </w:p>
    <w:p>
      <w:pPr>
        <w:spacing w:after="0" w:line="26" w:lineRule="exact"/>
        <w:rPr>
          <w:rFonts w:ascii="Arial" w:cs="Arial" w:eastAsia="Arial" w:hAnsi="Arial"/>
          <w:sz w:val="22"/>
          <w:szCs w:val="22"/>
          <w:color w:val="auto"/>
        </w:rPr>
      </w:pPr>
    </w:p>
    <w:p>
      <w:pPr>
        <w:ind w:left="660" w:right="60" w:hanging="328"/>
        <w:spacing w:after="0" w:line="232"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We have experienced and may in the future experience significant delays in the design, manufacture, launch and financing of the Lucid Air, which could harm our business and prospects.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If our vehicles fail to perform as expected, our ability to develop, market and sell or lease our products could be harmed.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We face challenges providing charging solutions for our vehicles.</w:t>
      </w:r>
    </w:p>
    <w:p>
      <w:pPr>
        <w:spacing w:after="0" w:line="2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We have no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27" w:lineRule="exact"/>
        <w:rPr>
          <w:rFonts w:ascii="Arial" w:cs="Arial" w:eastAsia="Arial" w:hAnsi="Arial"/>
          <w:sz w:val="22"/>
          <w:szCs w:val="22"/>
          <w:color w:val="auto"/>
        </w:rPr>
      </w:pPr>
    </w:p>
    <w:p>
      <w:pPr>
        <w:ind w:left="660" w:right="400" w:hanging="328"/>
        <w:spacing w:after="0" w:line="249" w:lineRule="auto"/>
        <w:tabs>
          <w:tab w:leader="none" w:pos="655" w:val="left"/>
        </w:tabs>
        <w:numPr>
          <w:ilvl w:val="0"/>
          <w:numId w:val="16"/>
        </w:numPr>
        <w:rPr>
          <w:rFonts w:ascii="Arial" w:cs="Arial" w:eastAsia="Arial" w:hAnsi="Arial"/>
          <w:sz w:val="21"/>
          <w:szCs w:val="21"/>
          <w:color w:val="auto"/>
        </w:rPr>
      </w:pPr>
      <w:r>
        <w:rPr>
          <w:rFonts w:ascii="Arial" w:cs="Arial" w:eastAsia="Arial" w:hAnsi="Arial"/>
          <w:sz w:val="17"/>
          <w:szCs w:val="17"/>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We have no experience to date in high volume manufacture of our vehicles.</w:t>
      </w:r>
    </w:p>
    <w:p>
      <w:pPr>
        <w:spacing w:after="0" w:line="26" w:lineRule="exact"/>
        <w:rPr>
          <w:rFonts w:ascii="Arial" w:cs="Arial" w:eastAsia="Arial" w:hAnsi="Arial"/>
          <w:sz w:val="22"/>
          <w:szCs w:val="22"/>
          <w:color w:val="auto"/>
        </w:rPr>
      </w:pPr>
    </w:p>
    <w:p>
      <w:pPr>
        <w:ind w:left="660" w:right="200" w:hanging="328"/>
        <w:spacing w:after="0" w:line="232"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If we fail to successfully tool our manufacturing facilities or if our manufacturing facilities become inoperable, we will be unable to produce our vehicles and our business will be harmed.</w:t>
      </w:r>
    </w:p>
    <w:p>
      <w:pPr>
        <w:spacing w:after="0" w:line="27" w:lineRule="exact"/>
        <w:rPr>
          <w:rFonts w:ascii="Arial" w:cs="Arial" w:eastAsia="Arial" w:hAnsi="Arial"/>
          <w:sz w:val="22"/>
          <w:szCs w:val="22"/>
          <w:color w:val="auto"/>
        </w:rPr>
      </w:pPr>
    </w:p>
    <w:p>
      <w:pPr>
        <w:ind w:left="660" w:right="200" w:hanging="328"/>
        <w:spacing w:after="0" w:line="238"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Our production and our ability to sustain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27" w:lineRule="exact"/>
        <w:rPr>
          <w:rFonts w:ascii="Arial" w:cs="Arial" w:eastAsia="Arial" w:hAnsi="Arial"/>
          <w:sz w:val="22"/>
          <w:szCs w:val="22"/>
          <w:color w:val="auto"/>
        </w:rPr>
      </w:pPr>
    </w:p>
    <w:p>
      <w:pPr>
        <w:ind w:left="660" w:right="460" w:hanging="328"/>
        <w:spacing w:after="0" w:line="251" w:lineRule="auto"/>
        <w:tabs>
          <w:tab w:leader="none" w:pos="655" w:val="left"/>
        </w:tabs>
        <w:numPr>
          <w:ilvl w:val="0"/>
          <w:numId w:val="16"/>
        </w:numPr>
        <w:rPr>
          <w:rFonts w:ascii="Arial" w:cs="Arial" w:eastAsia="Arial" w:hAnsi="Arial"/>
          <w:sz w:val="21"/>
          <w:szCs w:val="21"/>
          <w:color w:val="auto"/>
        </w:rPr>
      </w:pPr>
      <w:r>
        <w:rPr>
          <w:rFonts w:ascii="Arial" w:cs="Arial" w:eastAsia="Arial" w:hAnsi="Arial"/>
          <w:sz w:val="17"/>
          <w:szCs w:val="17"/>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ind w:left="660"/>
        <w:spacing w:after="0"/>
        <w:rPr>
          <w:sz w:val="20"/>
          <w:szCs w:val="20"/>
          <w:color w:val="auto"/>
        </w:rPr>
      </w:pPr>
      <w:r>
        <w:rPr>
          <w:rFonts w:ascii="Arial" w:cs="Arial" w:eastAsia="Arial" w:hAnsi="Arial"/>
          <w:sz w:val="17"/>
          <w:szCs w:val="17"/>
          <w:color w:val="auto"/>
        </w:rPr>
        <w:t>inability to efficiently manage these components, could have a material adverse effect on our results of operations and financial condition.</w:t>
      </w:r>
    </w:p>
    <w:p>
      <w:pPr>
        <w:spacing w:after="0" w:line="61" w:lineRule="exact"/>
        <w:rPr>
          <w:sz w:val="20"/>
          <w:szCs w:val="20"/>
          <w:color w:val="auto"/>
        </w:rPr>
      </w:pPr>
    </w:p>
    <w:p>
      <w:pPr>
        <w:ind w:left="660" w:hanging="328"/>
        <w:spacing w:after="0" w:line="238"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27"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19"/>
          <w:szCs w:val="19"/>
          <w:color w:val="auto"/>
        </w:rPr>
      </w:pPr>
      <w:r>
        <w:rPr>
          <w:rFonts w:ascii="Arial" w:cs="Arial" w:eastAsia="Arial" w:hAnsi="Arial"/>
          <w:sz w:val="16"/>
          <w:szCs w:val="16"/>
          <w:color w:val="auto"/>
        </w:rPr>
        <w:t>Increases in costs, disruption of supply or shortage of materials, in particular for lithium-ion cells or semiconductors, could harm our business.</w:t>
      </w:r>
    </w:p>
    <w:p>
      <w:pPr>
        <w:spacing w:after="0" w:line="38" w:lineRule="exact"/>
        <w:rPr>
          <w:rFonts w:ascii="Arial" w:cs="Arial" w:eastAsia="Arial" w:hAnsi="Arial"/>
          <w:sz w:val="19"/>
          <w:szCs w:val="19"/>
          <w:color w:val="auto"/>
        </w:rPr>
      </w:pPr>
    </w:p>
    <w:p>
      <w:pPr>
        <w:jc w:val="both"/>
        <w:ind w:left="660" w:right="60" w:hanging="328"/>
        <w:spacing w:after="0" w:line="238"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1"/>
          <w:szCs w:val="21"/>
          <w:color w:val="auto"/>
        </w:rPr>
      </w:pPr>
      <w:r>
        <w:rPr>
          <w:rFonts w:ascii="Arial" w:cs="Arial" w:eastAsia="Arial" w:hAnsi="Arial"/>
          <w:sz w:val="17"/>
          <w:szCs w:val="17"/>
          <w:color w:val="auto"/>
        </w:rPr>
        <w:t>The loss of key personnel or an inability to attract, retain and motivate qualified personnel may impair our ability to expand our business.</w:t>
      </w:r>
    </w:p>
    <w:p>
      <w:pPr>
        <w:spacing w:after="0" w:line="10" w:lineRule="exact"/>
        <w:rPr>
          <w:rFonts w:ascii="Arial" w:cs="Arial" w:eastAsia="Arial" w:hAnsi="Arial"/>
          <w:sz w:val="21"/>
          <w:szCs w:val="21"/>
          <w:color w:val="auto"/>
        </w:rPr>
      </w:pPr>
    </w:p>
    <w:p>
      <w:pPr>
        <w:ind w:left="660" w:hanging="328"/>
        <w:spacing w:after="0" w:line="233"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We are highly dependent on the services of Peter Rawlinson, our Chief Executive Officer and Chief Technology Officer.</w:t>
      </w:r>
    </w:p>
    <w:p>
      <w:pPr>
        <w:spacing w:after="0" w:line="27" w:lineRule="exact"/>
        <w:rPr>
          <w:rFonts w:ascii="Arial" w:cs="Arial" w:eastAsia="Arial" w:hAnsi="Arial"/>
          <w:sz w:val="22"/>
          <w:szCs w:val="22"/>
          <w:color w:val="auto"/>
        </w:rPr>
      </w:pPr>
    </w:p>
    <w:p>
      <w:pPr>
        <w:ind w:left="660" w:right="40" w:hanging="328"/>
        <w:spacing w:after="0" w:line="238"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27" w:lineRule="exact"/>
        <w:rPr>
          <w:rFonts w:ascii="Arial" w:cs="Arial" w:eastAsia="Arial" w:hAnsi="Arial"/>
          <w:sz w:val="22"/>
          <w:szCs w:val="22"/>
          <w:color w:val="auto"/>
        </w:rPr>
      </w:pPr>
    </w:p>
    <w:p>
      <w:pPr>
        <w:ind w:left="660" w:right="560" w:hanging="328"/>
        <w:spacing w:after="0" w:line="232"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We may face regulatory limitations on our ability to sell vehicles directly, which could materially and adversely affect its ability to sell our vehicles.</w:t>
      </w:r>
    </w:p>
    <w:p>
      <w:pPr>
        <w:spacing w:after="0" w:line="27" w:lineRule="exact"/>
        <w:rPr>
          <w:rFonts w:ascii="Arial" w:cs="Arial" w:eastAsia="Arial" w:hAnsi="Arial"/>
          <w:sz w:val="22"/>
          <w:szCs w:val="22"/>
          <w:color w:val="auto"/>
        </w:rPr>
      </w:pPr>
    </w:p>
    <w:p>
      <w:pPr>
        <w:ind w:left="660" w:right="180" w:hanging="328"/>
        <w:spacing w:after="0" w:line="238"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We may fail to adequately obtain, maintain, enforce and protect our intellectual property and may not be able to prevent third parties from unauthorized use of its intellectual property and proprietary technology. If we are unsuccessful in any of the foregoing, our competitive position could be harmed and we could be required to incur significant expenses to enforce our rights.</w:t>
      </w:r>
    </w:p>
    <w:p>
      <w:pPr>
        <w:spacing w:after="0" w:line="27"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19"/>
          <w:szCs w:val="19"/>
          <w:color w:val="auto"/>
        </w:rPr>
      </w:pPr>
      <w:r>
        <w:rPr>
          <w:rFonts w:ascii="Arial" w:cs="Arial" w:eastAsia="Arial" w:hAnsi="Arial"/>
          <w:sz w:val="16"/>
          <w:szCs w:val="16"/>
          <w:color w:val="auto"/>
        </w:rPr>
        <w:t>We will require additional capital to support business growth, and this capital might not be available on commercially reasonable terms, or at all.</w:t>
      </w:r>
    </w:p>
    <w:p>
      <w:pPr>
        <w:spacing w:after="0" w:line="38" w:lineRule="exact"/>
        <w:rPr>
          <w:rFonts w:ascii="Arial" w:cs="Arial" w:eastAsia="Arial" w:hAnsi="Arial"/>
          <w:sz w:val="19"/>
          <w:szCs w:val="19"/>
          <w:color w:val="auto"/>
        </w:rPr>
      </w:pPr>
    </w:p>
    <w:p>
      <w:pPr>
        <w:ind w:left="660" w:right="120" w:hanging="328"/>
        <w:spacing w:after="0" w:line="241"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26" w:lineRule="exact"/>
        <w:rPr>
          <w:rFonts w:ascii="Arial" w:cs="Arial" w:eastAsia="Arial" w:hAnsi="Arial"/>
          <w:sz w:val="22"/>
          <w:szCs w:val="22"/>
          <w:color w:val="auto"/>
        </w:rPr>
      </w:pPr>
    </w:p>
    <w:p>
      <w:pPr>
        <w:jc w:val="both"/>
        <w:ind w:left="660" w:right="600" w:hanging="328"/>
        <w:spacing w:after="0" w:line="238"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Ayar beneficially owns a significant equity interest in us and may take actions that conflict with your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has adversely affected our business, results of operations and financial condition.</w:t>
      </w:r>
    </w:p>
    <w:p>
      <w:pPr>
        <w:spacing w:after="0" w:line="225"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The ongoing COVID-19 pandemic poses risks to our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our vehicles, or cancel their refundable deposits for our vehicles. Because of our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our suppliers, sub-suppliers or partners become insolvent or are otherwise unable to continue their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85"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The spread of COVID-19 has also periodically disrupted the manufacturing operations of other vehicle manufacturers and their suppliers. Any such disruptions to us or our suppliers could negatively impact the production volume of our first vehicle, the Lucid Air sedan, and could negatively affect our production volume. Our manufacturing operations at a limited number of facilities in Casa Grande, Arizona concentrate this risk.</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49" w:name="page50"/>
    <w:bookmarkEnd w:id="49"/>
    <w:p>
      <w:pPr>
        <w:ind w:right="60" w:firstLine="405"/>
        <w:spacing w:after="0" w:line="287" w:lineRule="auto"/>
        <w:rPr>
          <w:sz w:val="20"/>
          <w:szCs w:val="20"/>
          <w:color w:val="auto"/>
        </w:rPr>
      </w:pPr>
      <w:r>
        <w:rPr>
          <w:rFonts w:ascii="Arial" w:cs="Arial" w:eastAsia="Arial" w:hAnsi="Arial"/>
          <w:sz w:val="16"/>
          <w:szCs w:val="16"/>
          <w:color w:val="auto"/>
        </w:rPr>
        <w:t>The pandemic has resulted in the imposition of travel bans and restrictions, quarantines, shelter-in-place and stay-at-home orders and business shutdowns, which have contributed to delays in the anticipated production schedule of the Lucid Air. These measures pose numerous operational risks and logistical challenges to our business. For example, we may be required to limit the number of employees and contractors at our manufacturing facilities in Casa Grande, Arizona, which could cause further delays in tooling efforts or in the production schedule of the Lucid Air.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Further, our sales and marketing activities have been, and may in the future be, adversely affected due to the cancellation or reduction of in-person sales activities, meetings, events and conferences, and our planned construction and opening of our Lucid Studio sales and service facilities in key markets has been delayed. The transition of some of our personnel to a mostly remote workforce has also increased demand on our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our start-up, manufacturing and sales and distribution plans and timelines.</w:t>
      </w:r>
    </w:p>
    <w:p>
      <w:pPr>
        <w:spacing w:after="0" w:line="16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In addition, the COVID-19 pandemic has resulted in extreme volatility in the global financial markets, which could increase our cost of capital or limit our ability to access financing when it needs it.</w:t>
      </w:r>
    </w:p>
    <w:p>
      <w:pPr>
        <w:spacing w:after="0" w:line="170" w:lineRule="exact"/>
        <w:rPr>
          <w:sz w:val="20"/>
          <w:szCs w:val="20"/>
          <w:color w:val="auto"/>
        </w:rPr>
      </w:pPr>
    </w:p>
    <w:p>
      <w:pPr>
        <w:ind w:right="480" w:firstLine="405"/>
        <w:spacing w:after="0" w:line="263" w:lineRule="auto"/>
        <w:rPr>
          <w:sz w:val="20"/>
          <w:szCs w:val="20"/>
          <w:color w:val="auto"/>
        </w:rPr>
      </w:pPr>
      <w:r>
        <w:rPr>
          <w:rFonts w:ascii="Arial" w:cs="Arial" w:eastAsia="Arial" w:hAnsi="Arial"/>
          <w:sz w:val="18"/>
          <w:szCs w:val="18"/>
          <w:color w:val="auto"/>
        </w:rPr>
        <w:t>The severity, magnitude and duration of the COVID-19 pandemic, including as a result of new variant strains, and our economic and regulatory consequences are rapidly changing and uncertain. Accordingly, we cannot predict the ultimate impact of the COVID-19 pandemic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makes evaluating our business and future prospects difficult and may increase the risk of your investment.</w:t>
      </w:r>
    </w:p>
    <w:p>
      <w:pPr>
        <w:spacing w:after="0" w:line="23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are an early-stage company with a limited operating history, operating in a rapidly evolving and highly regulated market. Furthermore, we have only released one commercially available vehicle, and we have no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spacing w:after="0" w:line="1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have encountered and expect to continue to encounter risks and uncertainties frequently experienced by early-stage companies in rapidly changing markets, including risks relating to our ability to, among other things:</w:t>
      </w:r>
    </w:p>
    <w:p>
      <w:pPr>
        <w:spacing w:after="0" w:line="170"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integrate and retain professional and technical talent, including key members of management;</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make significant investments in research, development, manufacturing, marketing and sales;</w:t>
      </w:r>
    </w:p>
    <w:p>
      <w:pPr>
        <w:spacing w:after="0" w:line="225" w:lineRule="exact"/>
        <w:rPr>
          <w:rFonts w:ascii="Arial" w:cs="Arial" w:eastAsia="Arial" w:hAnsi="Arial"/>
          <w:sz w:val="18"/>
          <w:szCs w:val="18"/>
          <w:color w:val="auto"/>
        </w:rPr>
      </w:pPr>
    </w:p>
    <w:p>
      <w:pPr>
        <w:ind w:left="180" w:right="1100" w:hanging="172"/>
        <w:spacing w:after="0" w:line="277"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obtain, maintain, protect and enforce our intellectual property and defend against claims of intellectual property infringement, misappropriation or other violation;</w:t>
      </w:r>
    </w:p>
    <w:p>
      <w:pPr>
        <w:spacing w:after="0" w:line="170"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build a well-recognized and respected brand;</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refine our commercial manufacturing capabilities and distribution infrastructure;</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maintain satisfactory arrangements with third-party suppliers;</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expand a customer base;</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navigate an evolving and complex regulatory environment;</w:t>
      </w:r>
    </w:p>
    <w:p>
      <w:pPr>
        <w:spacing w:after="0" w:line="225" w:lineRule="exact"/>
        <w:rPr>
          <w:rFonts w:ascii="Arial" w:cs="Arial" w:eastAsia="Arial" w:hAnsi="Arial"/>
          <w:sz w:val="18"/>
          <w:szCs w:val="18"/>
          <w:color w:val="auto"/>
        </w:rPr>
      </w:pPr>
    </w:p>
    <w:p>
      <w:pPr>
        <w:ind w:left="180" w:right="820" w:hanging="172"/>
        <w:spacing w:after="0" w:line="277"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anticipate and adapt to changing market conditions, including consumer demand for certain vehicle types, models or trim levels, technological developments and changes in competitive landscape; and</w:t>
      </w:r>
    </w:p>
    <w:p>
      <w:pPr>
        <w:spacing w:after="0" w:line="170"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design, build, manufacture and market new models of electric vehicles to follow the Lucid Air.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i w:val="1"/>
          <w:iCs w:val="1"/>
          <w:color w:val="auto"/>
        </w:rPr>
        <w:t>We have incurred net losses each year since our inception and expect to incur increasing expenses and substantial losses for the foreseeable future.</w:t>
      </w:r>
    </w:p>
    <w:p>
      <w:pPr>
        <w:spacing w:after="0" w:line="246"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We have incurred net losses each year since our inception, including net loss and comprehensive loss of approximately $0.5 billion and $1.5 billion for the three and nine months ended September 30, 2021, respectively. As of September 30, 2021, our accumulated deficit was approximately $5.0 billion. We expect to continue to incur substantial losses and increasing expenses in the foreseeable future as we:</w:t>
      </w:r>
    </w:p>
    <w:p>
      <w:pPr>
        <w:spacing w:after="0" w:line="184"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design, develop and manufacture our vehicles;</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equip and expand our manufacturing facilities to produce our vehicles in Arizona, and potentially in international locations;</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build up inventories of parts and components for our vehicles;</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manufacture an available inventory of our vehicles;</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deploy vehicle charging partnerships;</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design, research, development, maintenance and repair capabilities;</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sales and marketing activities and develop our distribution infrastructure; and</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growing operations and status as a public company.</w:t>
      </w:r>
    </w:p>
    <w:p>
      <w:pPr>
        <w:spacing w:after="0" w:line="225"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control the substantial costs associated with our operations.</w:t>
      </w:r>
    </w:p>
    <w:p>
      <w:pPr>
        <w:spacing w:after="0" w:line="225"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tooling and expanding our manufacturing facilities; research and development expenses (including expenses related to the development of the Lucid Air, the Project Gravity SUV and other future products), raw material procurement costs; and general and administrative expenses as we scale our operations and incur the costs of being a public company. In addition, we expect to incur significant costs servicing and maintaining customers’ vehicles, including establishing our service operations and facilities. As a company, we do not have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68"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In the longer term, our ability to become profitable in the future will depend on our ability not only to control costs, but also to sell in quantities and at prices sufficient to achieve our expected margins. If we are unable to cost-efficiently design, manufacture, market, sell, distribute and service our vehicles, our margins, profitability and prospects will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received only a limited number of reservations for the Lucid Air, all of which may be cancelled.</w:t>
      </w:r>
    </w:p>
    <w:p>
      <w:pPr>
        <w:spacing w:after="0" w:line="225"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As of September 30, 2021, we had reservations for more than 13,000 units of our first vehicle, the Lucid Air, with fully refundable deposits. Our customers may cancel their reservations without penalty and for any reason until they place an order for their vehicle. In addition, any delays in customer deliveries of the Lucid Air could result in significant customer cancellations. No assurance can be given that reservations will not be cancelled and will ultimately result in the final purchase, delivery and sale or lease of vehicles. Accordingly, the number of reservations has significant limitations as a measure of demand for our vehicles, including demand for particular body styles, models or trim levels, or for future vehicle sales. If we encounter delays in customer deliveries of the Lucid Air that further lengthen wait times, a significant number of reservations may be cancelled.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automotive industry has significant barriers to entry that we must overcome in order to manufacture and sell electric vehicles at scale.</w:t>
      </w:r>
    </w:p>
    <w:p>
      <w:pPr>
        <w:spacing w:after="0" w:line="237"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w:t>
      </w:r>
    </w:p>
    <w:p>
      <w:pPr>
        <w:sectPr>
          <w:pgSz w:w="11900" w:h="16838" w:orient="portrait"/>
          <w:cols w:equalWidth="0" w:num="1">
            <w:col w:w="11240"/>
          </w:cols>
          <w:pgMar w:left="320" w:top="773"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1" w:name="page52"/>
    <w:bookmarkEnd w:id="51"/>
    <w:p>
      <w:pPr>
        <w:ind w:right="100"/>
        <w:spacing w:after="0" w:line="291" w:lineRule="auto"/>
        <w:rPr>
          <w:sz w:val="20"/>
          <w:szCs w:val="20"/>
          <w:color w:val="auto"/>
        </w:rPr>
      </w:pPr>
      <w:r>
        <w:rPr>
          <w:rFonts w:ascii="Arial" w:cs="Arial" w:eastAsia="Arial" w:hAnsi="Arial"/>
          <w:sz w:val="16"/>
          <w:szCs w:val="16"/>
          <w:color w:val="auto"/>
        </w:rPr>
        <w:t>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our commercial manufacturing facility in Casa Grande, Arizona, we have not finished tooling all production lines at our Casa Grande facilities. If we are not able to overcome these barriers, our business, prospects, results of operations and financial condition will be negatively impacted, and our ability to grow our business will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automotive market is highly competitive, and we may not be successful in competing in this industry.</w:t>
      </w:r>
    </w:p>
    <w:p>
      <w:pPr>
        <w:spacing w:after="0" w:line="225"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The global automotive market, particularly for electric and alternative fuel vehicles, is highly competitive, and we expect it will become even more so in the future. In recent years, the electric vehicle industry has grown, with several companies that focus completely or partially on the electric vehicle market. We expect additional companies to enter this market within the next several years. Electric vehicle manufacturers with which we compete include Tesla as well as an increasing number of U.S.-based and international entrants, many of which have announced plans to begin selling their own electric vehicles in 2021 or 2022. We also compete with established automobile manufacturers in the luxury vehicle segment, many of which have entered or have announced plans to enter the alternative fuel and electric vehicle market with either fully electric or plug-in hybrid versions of their vehicles. We also expect to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new technologies and may be able to design, develop, market and sell their products more effectively than we do. We expect competition in our industry to significantly intensify in the future in light of increased demand for alternative fuel vehicles, continuing globalization, favorable governmental policies,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will initially depend on revenue generated from a single model and in the foreseeable future will be significantly dependent on a limited number of models.</w:t>
      </w:r>
    </w:p>
    <w:p>
      <w:pPr>
        <w:spacing w:after="0" w:line="1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will initially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the end of 2023. We expect to rely on sales from the Lucid Air, among other sources of financing, for the capital that will be required to develop and commercialize those subsequent models. To the extent that production of the Lucid Air is delayed or reduced, or if the Lucid Air is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have a third-party retail product distribution network.</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Third-party dealer networks are the traditional method of vehicle sales distribution. Because we plan to sell directly to consumers, we will not have a traditional dealer product distribution network. We do not have experience distributing directly to consumers, and we expect that the building of an in-house sales and marketing function, including a physical sales and marketing footprint via our Lucid Studios, will be expensive and time consuming. If our lack of a traditional dealer distribution network results in lost opportunities to generate sales, it could limit our ability to grow. Moreover, our plans to sell directly to consumers may be limited by regulatory constraints. To the extent we are unable to successfully execute on such plans, we may be required to develop a third-party dealer distribution network, which may prove costly, time-consuming or ineffective. If our use of an in-house sales and marketing team is not effective, our results of operations and financial conditions could be adversely affected.</w:t>
      </w:r>
    </w:p>
    <w:p>
      <w:pPr>
        <w:spacing w:after="0" w:line="1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sales will depend in part on our ability to establish and maintain confidence in our long-term business prospects among consumers, analysts and others within our industry.</w:t>
      </w:r>
    </w:p>
    <w:p>
      <w:pPr>
        <w:spacing w:after="0" w:line="17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 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w:t>
      </w:r>
    </w:p>
    <w:p>
      <w:pPr>
        <w:sectPr>
          <w:pgSz w:w="11900" w:h="16838" w:orient="portrait"/>
          <w:cols w:equalWidth="0" w:num="1">
            <w:col w:w="11240"/>
          </w:cols>
          <w:pgMar w:left="320" w:top="989" w:right="3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52" w:name="page53"/>
    <w:bookmarkEnd w:id="52"/>
    <w:p>
      <w:pPr>
        <w:ind w:right="80"/>
        <w:spacing w:after="0" w:line="293" w:lineRule="auto"/>
        <w:rPr>
          <w:sz w:val="20"/>
          <w:szCs w:val="20"/>
          <w:color w:val="auto"/>
        </w:rPr>
      </w:pPr>
      <w:r>
        <w:rPr>
          <w:rFonts w:ascii="Arial" w:cs="Arial" w:eastAsia="Arial" w:hAnsi="Arial"/>
          <w:sz w:val="16"/>
          <w:szCs w:val="16"/>
          <w:color w:val="auto"/>
        </w:rPr>
        <w:t>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generate meaningful product revenue will depend on consumer adoption of electric vehicles.</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are only developing and producing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factors that may influence the adoption of electric vehicles include:</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design, performance and cost;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perceptions about the limited range over which electric vehicles may be driven on a single battery charge;</w:t>
      </w:r>
    </w:p>
    <w:p>
      <w:pPr>
        <w:spacing w:after="0" w:line="225" w:lineRule="exact"/>
        <w:rPr>
          <w:rFonts w:ascii="Arial" w:cs="Arial" w:eastAsia="Arial" w:hAnsi="Arial"/>
          <w:sz w:val="18"/>
          <w:szCs w:val="18"/>
          <w:color w:val="auto"/>
        </w:rPr>
      </w:pPr>
    </w:p>
    <w:p>
      <w:pPr>
        <w:ind w:left="660" w:right="260" w:hanging="328"/>
        <w:spacing w:after="0" w:line="342"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other alternative fuel vehicles, including plug-in hybrid electric vehicles;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and availability of service for electric vehicles, especially in international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in the cost of oil and gasoline;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225" w:lineRule="exact"/>
        <w:rPr>
          <w:rFonts w:ascii="Arial" w:cs="Arial" w:eastAsia="Arial" w:hAnsi="Arial"/>
          <w:sz w:val="18"/>
          <w:szCs w:val="18"/>
          <w:color w:val="auto"/>
        </w:rPr>
      </w:pPr>
    </w:p>
    <w:p>
      <w:pPr>
        <w:ind w:left="660" w:right="8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access to charging stations and cost to charge an electric vehicle, especially in international markets, and related infrastructure costs and standardization;</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macroeconomic factors.</w:t>
      </w:r>
    </w:p>
    <w:p>
      <w:pPr>
        <w:sectPr>
          <w:pgSz w:w="11900" w:h="16838" w:orient="portrait"/>
          <w:cols w:equalWidth="0" w:num="1">
            <w:col w:w="11240"/>
          </w:cols>
          <w:pgMar w:left="320" w:top="989"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53" w:name="page54"/>
    <w:bookmarkEnd w:id="53"/>
    <w:p>
      <w:pPr>
        <w:ind w:right="60" w:firstLine="324"/>
        <w:spacing w:after="0" w:line="342" w:lineRule="auto"/>
        <w:rPr>
          <w:sz w:val="20"/>
          <w:szCs w:val="20"/>
          <w:color w:val="auto"/>
        </w:rPr>
      </w:pPr>
      <w:r>
        <w:rPr>
          <w:rFonts w:ascii="Arial" w:cs="Arial" w:eastAsia="Arial" w:hAnsi="Arial"/>
          <w:sz w:val="16"/>
          <w:szCs w:val="16"/>
          <w:color w:val="auto"/>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Developments in electric vehicle or alternative fuel technology or improvements in the internal combustion engine may adversely affect the demand for our vehicles.</w:t>
      </w:r>
    </w:p>
    <w:p>
      <w:pPr>
        <w:spacing w:after="0" w:line="170" w:lineRule="exact"/>
        <w:rPr>
          <w:sz w:val="20"/>
          <w:szCs w:val="20"/>
          <w:color w:val="auto"/>
        </w:rPr>
      </w:pPr>
    </w:p>
    <w:p>
      <w:pPr>
        <w:ind w:right="120" w:firstLine="324"/>
        <w:spacing w:after="0" w:line="268" w:lineRule="auto"/>
        <w:rPr>
          <w:sz w:val="20"/>
          <w:szCs w:val="20"/>
          <w:color w:val="auto"/>
        </w:rPr>
      </w:pPr>
      <w:r>
        <w:rPr>
          <w:rFonts w:ascii="Arial" w:cs="Arial" w:eastAsia="Arial" w:hAnsi="Arial"/>
          <w:sz w:val="17"/>
          <w:szCs w:val="17"/>
          <w:color w:val="auto"/>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Extended periods of low gasoline or other petroleum-based fuel prices could adversely affect demand for our vehicles, which would adversely affect our business, prospects, results of operations and financial condition.</w:t>
      </w:r>
    </w:p>
    <w:p>
      <w:pPr>
        <w:spacing w:after="0" w:line="1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spacing w:after="0" w:line="195"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Gasoline and other petroleum-based fuel prices have historically been extremely volatile, particularly during the ongoing COVID-19 pandemic,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6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unavailability, reduction or elimination of certain government and economic programs could have a material adverse effect on our business, prospects, financial condition and results of operations.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would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such as loans under the Advanced Technology Vehicles Manufacturing Loan Program administered by the U.S. Department of Energy.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w:t>
      </w:r>
    </w:p>
    <w:p>
      <w:pPr>
        <w:spacing w:after="0" w:line="172"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sectPr>
          <w:pgSz w:w="11900" w:h="16838" w:orient="portrait"/>
          <w:cols w:equalWidth="0" w:num="1">
            <w:col w:w="11240"/>
          </w:cols>
          <w:pgMar w:left="320" w:top="989" w:right="33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54" w:name="page55"/>
    <w:bookmarkEnd w:id="54"/>
    <w:p>
      <w:pPr>
        <w:ind w:right="34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7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manage our future growth effectively, we may not be able to develop, manufacture, distribute, market and sell our vehicles successfully.</w:t>
      </w:r>
    </w:p>
    <w:p>
      <w:pPr>
        <w:spacing w:after="0" w:line="260"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Any failure to manage our growth effectively could materially and adversely affect our business, prospects, results of operations and financial condition. We intend to expand our operations significantly. We expect our future expansion will include:</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expanding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hiring and training new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or expanding design, manufacturing, sales and service facilities;</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implementing and enhancing administrative infrastructure, systems and processes, including in connection with our transition to a public company;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expanding into new markets and establishing sales, service and manufacturing operations in such markets.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intend to continue to hire a significant number of additional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designing, manufacturing and servicing electric vehicles is intense, and we may not be able to attract, integrate, train, motivate or retain additional highly qualified personnel in the future. The failure to attract, integrate, train, motivate and retain these additional employees could seriously harm our business and prospects. In addition, we have no experience to date in high volume manufacturing of our vehicles. We cannot assure you that we will be able to develop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 In addition, if our manufacturing facilities are not constructed in conformity with our requirements, repair or remediation could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adversely affect our ability to timely sell and deliver our electric vehicles to customers, or impose substantial additional costs, any of which consequences could have a material adverse effect on our business, prospects, results of operations and financial condition. In addition, our success is substantially dependent upon the continued service and performance of our senior management team and key technical and vehicle management personnel. If any key personnel were to terminate their employment with us, such termination would likely increase the difficulty of managing our future growth and heighten the foregoing risks. If we fail to manage our growth effectively, such failure could result in negative publicity and damage to our brand and have a material adverse effect on our business, prospects, financial condition and results of operations.</w:t>
      </w:r>
    </w:p>
    <w:p>
      <w:pPr>
        <w:spacing w:after="0" w:line="169" w:lineRule="exact"/>
        <w:rPr>
          <w:sz w:val="20"/>
          <w:szCs w:val="20"/>
          <w:color w:val="auto"/>
        </w:rPr>
      </w:pPr>
    </w:p>
    <w:p>
      <w:pPr>
        <w:jc w:val="both"/>
        <w:ind w:right="480"/>
        <w:spacing w:after="0" w:line="381" w:lineRule="auto"/>
        <w:rPr>
          <w:sz w:val="20"/>
          <w:szCs w:val="20"/>
          <w:color w:val="auto"/>
        </w:rPr>
      </w:pPr>
      <w:r>
        <w:rPr>
          <w:rFonts w:ascii="Arial" w:cs="Arial" w:eastAsia="Arial" w:hAnsi="Arial"/>
          <w:sz w:val="15"/>
          <w:szCs w:val="15"/>
          <w:b w:val="1"/>
          <w:bCs w:val="1"/>
          <w:i w:val="1"/>
          <w:iCs w:val="1"/>
          <w:color w:val="auto"/>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spacing w:after="0" w:line="10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currently intend to offer leasing and financing of our vehicles to potential customers through a third-party financing partner or partners, but we cannot provide any assurance that such third-party financing partners would be able or willing to provide such services on terms acceptable to us or our customers. Furthermore, because we have only sold a limited number of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w:t>
      </w:r>
    </w:p>
    <w:p>
      <w:pPr>
        <w:sectPr>
          <w:pgSz w:w="11900" w:h="16838" w:orient="portrait"/>
          <w:cols w:equalWidth="0" w:num="1">
            <w:col w:w="11220"/>
          </w:cols>
          <w:pgMar w:left="320" w:top="989" w:right="359" w:bottom="1440" w:gutter="0" w:footer="0" w:header="0"/>
        </w:sect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55" w:name="page56"/>
    <w:bookmarkEnd w:id="55"/>
    <w:p>
      <w:pPr>
        <w:jc w:val="both"/>
        <w:ind w:right="260"/>
        <w:spacing w:after="0" w:line="263" w:lineRule="auto"/>
        <w:rPr>
          <w:sz w:val="20"/>
          <w:szCs w:val="20"/>
          <w:color w:val="auto"/>
        </w:rPr>
      </w:pPr>
      <w:r>
        <w:rPr>
          <w:rFonts w:ascii="Arial" w:cs="Arial" w:eastAsia="Arial" w:hAnsi="Arial"/>
          <w:sz w:val="18"/>
          <w:szCs w:val="18"/>
          <w:color w:val="auto"/>
        </w:rPr>
        <w:t>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spacing w:after="0" w:line="184"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caused by the ongoing COVID-19 pandemic. If we are unable to provide leasing and financing arrangements that appeal to potential customers, or if the provision of such arrangements exposes us to excessive consumer credit risk, our business, competitive position, results of operations and financial condition could be adversely affected.</w:t>
      </w:r>
    </w:p>
    <w:p>
      <w:pPr>
        <w:spacing w:after="0" w:line="178"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2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vehicles are being designed with autonomous driving (“</w:t>
      </w:r>
      <w:r>
        <w:rPr>
          <w:rFonts w:ascii="Arial" w:cs="Arial" w:eastAsia="Arial" w:hAnsi="Arial"/>
          <w:sz w:val="17"/>
          <w:szCs w:val="17"/>
          <w:i w:val="1"/>
          <w:iCs w:val="1"/>
          <w:color w:val="auto"/>
        </w:rPr>
        <w:t>AD</w:t>
      </w:r>
      <w:r>
        <w:rPr>
          <w:rFonts w:ascii="Arial" w:cs="Arial" w:eastAsia="Arial" w:hAnsi="Arial"/>
          <w:sz w:val="17"/>
          <w:szCs w:val="17"/>
          <w:color w:val="auto"/>
        </w:rPr>
        <w:t>”) and advanced driver assistance system (“</w:t>
      </w:r>
      <w:r>
        <w:rPr>
          <w:rFonts w:ascii="Arial" w:cs="Arial" w:eastAsia="Arial" w:hAnsi="Arial"/>
          <w:sz w:val="17"/>
          <w:szCs w:val="17"/>
          <w:i w:val="1"/>
          <w:iCs w:val="1"/>
          <w:color w:val="auto"/>
        </w:rPr>
        <w:t>ADAS</w:t>
      </w:r>
      <w:r>
        <w:rPr>
          <w:rFonts w:ascii="Arial" w:cs="Arial" w:eastAsia="Arial" w:hAnsi="Arial"/>
          <w:sz w:val="17"/>
          <w:szCs w:val="17"/>
          <w:color w:val="auto"/>
        </w:rPr>
        <w:t>”) hardware, and we expect to launch the Lucid Air and Project Gravity with Level 2 (partial automation) ADAS functionality, which we plan to upgrade with additional capabilities over time. AD/ADAS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our AD/ADAS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18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addition, we face substantial competition in the development and deployment of AD/ADAS technologies. Many of our competitors, including Tesla, established automakers such as Mercedes-Benz, Audi and General Motors (including via its investments in Cruise Automation), and technology companies including Waymo, Zoox.ai, Aurora, Argo AI (jointly owned by Ford and Volkswagen), Mobileye (a subsidiary of Intel), Aptiv, Nuro and Ghost.ai, have devoted significant time and resources to developing self-driving technologies. If we are unable to develop competitive Level 2 or more advanced AD/ADAS technologies in-house or acquire access to such technologies via partnerships or investments in other companies or assets, we may be unable to equip our vehicles with competitive AD/ADAS features, which could damage our brand, reduce consumer demand for our vehicles or trigger cancellations of reservations and could have a material adverse effect on our business, results of operations, prospects and financial condition.</w:t>
      </w:r>
    </w:p>
    <w:p>
      <w:pPr>
        <w:spacing w:after="0" w:line="16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AD/ADAS technology is also subject to considerable regulatory uncertainty, which exposes us to additional risks. See “—</w:t>
      </w:r>
      <w:r>
        <w:rPr>
          <w:rFonts w:ascii="Arial" w:cs="Arial" w:eastAsia="Arial" w:hAnsi="Arial"/>
          <w:sz w:val="18"/>
          <w:szCs w:val="18"/>
          <w:i w:val="1"/>
          <w:iCs w:val="1"/>
          <w:color w:val="auto"/>
        </w:rPr>
        <w:t>Risks Related to Litigation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Regulation —AD/ADAS technology is subject to uncertain and evolving regulations.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prospects depend significantly on our brand.</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business and prospects will heavily depend on our ability to develop, maintain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may be required to change our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our brand.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17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from time to time, our vehicles may be evaluated and reviewed by third parties.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face risks associated with international operations, including unfavorable regulatory, political, tax and labor conditions, which could harm our business.</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anticipate having operations and subsidiaries in Europe, the Middle East and China that are subject to the legal, political, regulatory and social requirements and economic conditions in these jurisdictions. Additionally, as part of our growth strategy, we intend to expand our sales, maintenance and repair services outside of the United States and may also expand our manufacturing activities outside the United States. However, we have no experience to date manufacturing, selling or servicing our vehicles outside of the United States, and such expansion</w:t>
      </w:r>
    </w:p>
    <w:p>
      <w:pPr>
        <w:sectPr>
          <w:pgSz w:w="11900" w:h="16838" w:orient="portrait"/>
          <w:cols w:equalWidth="0" w:num="1">
            <w:col w:w="11240"/>
          </w:cols>
          <w:pgMar w:left="320" w:top="989"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56" w:name="page57"/>
    <w:bookmarkEnd w:id="56"/>
    <w:p>
      <w:pPr>
        <w:spacing w:after="0" w:line="263" w:lineRule="auto"/>
        <w:rPr>
          <w:sz w:val="20"/>
          <w:szCs w:val="20"/>
          <w:color w:val="auto"/>
        </w:rPr>
      </w:pPr>
      <w:r>
        <w:rPr>
          <w:rFonts w:ascii="Arial" w:cs="Arial" w:eastAsia="Arial" w:hAnsi="Arial"/>
          <w:sz w:val="18"/>
          <w:szCs w:val="18"/>
          <w:color w:val="auto"/>
        </w:rPr>
        <w:t>would require us to make significant expenditures, including the hiring of local employees and establishing facilities,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18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conforming our vehicles to various international regulatory requirements where our vehicles are sold, or homologation;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localized supply chains and managing international supply chain and logistics costs;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sufficient charging points for our customers in those jurisdictions, via partnerships or, if necessary, via development of our own charging networks;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staffing and managing foreign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attracting customers in new jurisdictions;</w:t>
      </w:r>
    </w:p>
    <w:p>
      <w:pPr>
        <w:spacing w:after="0" w:line="225" w:lineRule="exact"/>
        <w:rPr>
          <w:rFonts w:ascii="Arial" w:cs="Arial" w:eastAsia="Arial" w:hAnsi="Arial"/>
          <w:sz w:val="18"/>
          <w:szCs w:val="18"/>
          <w:color w:val="auto"/>
        </w:rPr>
      </w:pPr>
    </w:p>
    <w:p>
      <w:pPr>
        <w:ind w:left="660" w:right="42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difficulties establishing international manufacturing operations, including difficulties establishing relationships with or establishing localized supplier bases and developing cost-effective and reliable supply chains for such manufacturing operations;</w:t>
      </w:r>
    </w:p>
    <w:p>
      <w:pPr>
        <w:spacing w:after="0" w:line="146" w:lineRule="exact"/>
        <w:rPr>
          <w:rFonts w:ascii="Arial" w:cs="Arial" w:eastAsia="Arial" w:hAnsi="Arial"/>
          <w:sz w:val="17"/>
          <w:szCs w:val="17"/>
          <w:color w:val="auto"/>
        </w:rPr>
      </w:pPr>
    </w:p>
    <w:p>
      <w:pPr>
        <w:ind w:left="660" w:right="26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146" w:lineRule="exact"/>
        <w:rPr>
          <w:rFonts w:ascii="Arial" w:cs="Arial" w:eastAsia="Arial" w:hAnsi="Arial"/>
          <w:sz w:val="17"/>
          <w:szCs w:val="17"/>
          <w:color w:val="auto"/>
        </w:rPr>
      </w:pPr>
    </w:p>
    <w:p>
      <w:pPr>
        <w:ind w:left="660" w:right="1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interest rates, including risks related to any forward currency contracts, interest rate swaps or other hedging activities we undertake;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United States and foreign government trade restrictions, tariffs and price or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labor laws, regulations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political risk and customer perceptions based on such changes and risks;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instability, natural disasters, pandemics (including the ongoing COVID-19 pandemic), war or events of terrorism;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international economies.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we fail to successfully address these risks, our business, prospects, results of operations and financial condition could be materially harmed.</w:t>
      </w:r>
    </w:p>
    <w:p>
      <w:pPr>
        <w:spacing w:after="0" w:line="2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Uninsured losses could result in payment of substantial damages, which would decrease our cash reserves and could harm our cash flow and financial condition.</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the ordinary course of business, we may be subject to losses resulting from product liability, accidents, acts of God and other claims against us, for which we may have no insurance coverage. While we currently carry commercial general liability, commercial automobile liability, excess liability, product liability, cybersecurity, crime, special crime, drone, cargo stock throughput, builder’s risk, owner controlled insurance program, property, owners protective, workers’ compensation, employment practices, employed lawyers, production, fiduciary liability and directors’ and officers’ insurance policies, we may not maintain as much insurance coverage as other original equipment manufacturers do, and in some cases, we may not maintain any at all. Additionally, the policies that we have may include significant deductibles, and we cannot be certain that our insurance coverage will be sufficient to cover all or any future claims against us. A loss that is uninsured or exceeds policy limits may require us to pay substantial amounts, which could adversely affect our financial condition and results of operations. Further, insurance coverage may not continue to be available to us or, if available, may be at a significantly higher cost, especially if insurance providers perceive any increase in our risk profile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 Chain</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experienced and may in the future experience significant delays in the design, manufacture, launch and financing of the Lucid Air, which could harm our business and prospects.</w:t>
      </w:r>
    </w:p>
    <w:p>
      <w:pPr>
        <w:spacing w:after="0" w:line="184" w:lineRule="exact"/>
        <w:rPr>
          <w:sz w:val="20"/>
          <w:szCs w:val="20"/>
          <w:color w:val="auto"/>
        </w:rPr>
      </w:pPr>
    </w:p>
    <w:p>
      <w:pPr>
        <w:ind w:right="100" w:firstLine="324"/>
        <w:spacing w:after="0" w:line="242" w:lineRule="auto"/>
        <w:rPr>
          <w:sz w:val="20"/>
          <w:szCs w:val="20"/>
          <w:color w:val="auto"/>
        </w:rPr>
      </w:pPr>
      <w:r>
        <w:rPr>
          <w:rFonts w:ascii="Arial" w:cs="Arial" w:eastAsia="Arial" w:hAnsi="Arial"/>
          <w:sz w:val="17"/>
          <w:szCs w:val="17"/>
          <w:color w:val="auto"/>
        </w:rPr>
        <w:t>Many of our vehicles are still in the development and/or testing phase, including all of the variants of the Lucid Air other than the Dream Edition, and production of the Project Gravity SUV is not expected to begin until the end of 2023, and may occur later or not at all. Any delay in the financing, design, manufacture and launch of the Lucid Air, including planned future variants, and any future electric vehicles could materially damage our business, prospects, financial condition and results of operations. Automobile manufacturers often experience delays in the design, manufacture and commercial release of new vehicle models, and we have experienced in the past, and may experience in the future,</w:t>
      </w:r>
    </w:p>
    <w:p>
      <w:pPr>
        <w:sectPr>
          <w:pgSz w:w="11900" w:h="16838" w:orient="portrait"/>
          <w:cols w:equalWidth="0" w:num="1">
            <w:col w:w="11220"/>
          </w:cols>
          <w:pgMar w:left="320" w:top="989" w:right="359"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57" w:name="page58"/>
    <w:bookmarkEnd w:id="57"/>
    <w:p>
      <w:pPr>
        <w:spacing w:after="0" w:line="258" w:lineRule="auto"/>
        <w:rPr>
          <w:sz w:val="20"/>
          <w:szCs w:val="20"/>
          <w:color w:val="auto"/>
        </w:rPr>
      </w:pPr>
      <w:r>
        <w:rPr>
          <w:rFonts w:ascii="Arial" w:cs="Arial" w:eastAsia="Arial" w:hAnsi="Arial"/>
          <w:sz w:val="16"/>
          <w:szCs w:val="16"/>
          <w:color w:val="auto"/>
        </w:rPr>
        <w:t>such delays with regard to additional variants of the Lucid Air. For example, we have experienced delays in the engineering of certain of our vehicle systems. Our plan to commercially manufacture and sell the Lucid Air is dependent upon the timely availability of funds, upon our finalizing of the related design, engineering, component procurement, testing, build-out and manufacturing plans in a timely manner and also upon our ability to execute these plans within the planned timeline. Prior to mass production of our electric vehicles, we will also need the vehicles to be fully approved for sale according to differing requirements, including but not limited to regulatory requirements, in the different geographies where we intend to launch our vehicles. To the extent we delay the launch of our future vehicles, our growth prospects could be adversely affected as we may fail to grow our market share.</w:t>
      </w:r>
    </w:p>
    <w:p>
      <w:pPr>
        <w:spacing w:after="0" w:line="177"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Furthermore, we rely on third party suppliers for the provision and development of many of the key components and materials used in our vehicles. To the extent our suppliers experience any delays in providing us with or developing necessary components, we could experience delays in delivering on our timelines. For example, in certain instances, international travel restrictions have prevented our supply quality engineers from conducting in-person visits and quality engineering for parts production with international suppliers, which has contributed to delays in our supply chain. Likewise, we may encounter delays with the design, construction and regulatory or other approvals necessary to bring online our future expansions of the Casa Grande manufacturing facilities, or other future manufacturing facilities. 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6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continued development of and the ability to manufacture our vehicles, including the Lucid Air and Project Gravity, are and will be subject to risks, including with respect to:</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ensure readiness of firmware features and functions to be integrated into the Lucid Air as planned and on the desired timeline;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finalize release candidate specifications as planned and on the desired timeline;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delays by us in delivering final component designs to our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or our suppliers’ ability to successfully tool their manufacturing facilities as planned and on the desired timeline;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ensure working supply chain and desired supplier part quality as planned and on the desired timeline;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accurately manufacture vehicles within specified design tolerances;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occurrence of product defects that cannot be remedied without adversely affecting the production;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secure necessary funding;</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negotiate and execute definitive agreements with various suppliers for hardware, software, or services necessary to engineer or manufacture our vehicles;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required regulatory approvals and certifications;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comply with environmental, safety, and similar regulations and in a timely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secure necessary components, services, or licenses on acceptable terms and in a timely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recruit, hire, retain and train skilled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implement effective and efficient quality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disruptions in our supply chain including raw material supplies;</w:t>
      </w:r>
    </w:p>
    <w:p>
      <w:pPr>
        <w:spacing w:after="0" w:line="225"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arrangements on commercially reasonable terms with our suppliers, delivery and other partners, after sales service providers, and other operationally significant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delays, backlog in manufacturing and research and development of new models, and cost overruns;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ongoing COVID-19 pandemic, including related business interruptions and other effects; and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58" w:name="page59"/>
    <w:bookmarkEnd w:id="58"/>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risks identified herein.</w:t>
      </w:r>
    </w:p>
    <w:p>
      <w:pPr>
        <w:spacing w:after="0" w:line="22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Although we expect the net proceeds from the Transactions to be sufficient to finance the initial commercial production of the Lucid Air, 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vehicles fail to perform as expected, our ability to develop, market and sell or lease our products could be harmed.</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vehicles may contain defects in design and manufacture that may cause them not to perform as expected or that may require repairs, recalls, and design changes, any of which would require significant financial and other resources to successfully navigate and resolve. Our vehicles will use a substantial amount of software code to operate, and software products are inherently complex and may contain defects and errors when first introduced. If our vehicles contain defects in design and manufacture that cause them not to perform as expected or that require repair, or certain features of our vehicles such as bi-directional charging or AD/ADAS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spacing w:after="0" w:line="18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Any defects, delays or legal restrictions on vehicle features, or other failure of our vehicles to perform as expected, could harm our reputation and result in delivery delays, product recalls, product liability claims, breach of warranty claims and significant warranty and other expenses, and could have a material adverse impact on our business, results of operations, prospects and financial condition. As a new entrant 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spacing w:after="0" w:line="176"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challenges providing charging solutions for our vehicles.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Demand for our vehicles will depend in part on the availability of charging infrastructure.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a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appropriations for such a deployment may not occur at proposed levels or at all, which could serve to limit the development of public charging infrastructure and increase the relative attractiveness to potential customers of a proprietary charging solution.</w:t>
      </w:r>
    </w:p>
    <w:p>
      <w:pPr>
        <w:spacing w:after="0" w:line="18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w:t>
      </w:r>
    </w:p>
    <w:p>
      <w:pPr>
        <w:sectPr>
          <w:pgSz w:w="11900" w:h="16838" w:orient="portrait"/>
          <w:cols w:equalWidth="0" w:num="1">
            <w:col w:w="11240"/>
          </w:cols>
          <w:pgMar w:left="320" w:top="989" w:right="3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59" w:name="page60"/>
    <w:bookmarkEnd w:id="59"/>
    <w:p>
      <w:pPr>
        <w:ind w:right="140"/>
        <w:spacing w:after="0" w:line="277" w:lineRule="auto"/>
        <w:rPr>
          <w:sz w:val="20"/>
          <w:szCs w:val="20"/>
          <w:color w:val="auto"/>
        </w:rPr>
      </w:pPr>
      <w:r>
        <w:rPr>
          <w:rFonts w:ascii="Arial" w:cs="Arial" w:eastAsia="Arial" w:hAnsi="Arial"/>
          <w:sz w:val="18"/>
          <w:szCs w:val="18"/>
          <w:color w:val="auto"/>
        </w:rPr>
        <w:t>anticipated. To the extent we are unable to meet user expectations or experience difficulties in providing charging solutions, demand for our vehicles may suffer, and our reputation and business may be materially and adversely affected.</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have no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46"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Because commercial production of the Lucid Air has recently begun, we have no experience servicing or repairing our vehicles. Servicing electric vehicles is different than servicing vehicles with internal combustion engines and requires specialized skills, including high voltage training and servicing techniques. In addition, we plan to partner with certain third parties to perform some of the service on our vehicles, and there can be no assurance that we will be able to enter into acceptable arrangements with any such third-party providers. Further, although such servicing partners may have experience in servicing other electric vehicles, they will initially have no experience in servicing our vehicles.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16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the motor vehicle industry laws in many states require that service facilities be available to service vehicles physically sold from locations in the state. While we anticipate developing a service program that would satisfy regulatory requirements in these circumstances, the specifics of our service program are still in development, and at some point may need to be restructured to comply with state law, which may impact our business, financial condition, results of operations and prospects.</w:t>
      </w:r>
    </w:p>
    <w:p>
      <w:pPr>
        <w:spacing w:after="0" w:line="18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16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2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will provide a manufacturer’s warranty on all vehicles and powertrain components and systems we sell. Now that our vehicles are in commercial production, we will need to maintain reserves to cover part replacement and other vehicle repair needs, including any potential software upgrades or warranty claims. In addition, we expect to provide a manufacturer’s warranty on any future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experience to date in high volume manufacture of our vehicles.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cannot provide any assurance as to whether we will be able to develop efficient, automated, low-cost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satisfy the requirements of customers and potential customers. Any failure to develop such production processes and capabilities within our projected costs and timelines could have a material adverse effect on our business, results of operations, prospects and financial condition. Bottlenecks and other unexpected challenges may also arise as we ramp production of the Lucid Air, and it will be important that we address them promptly while continuing to control our</w:t>
      </w:r>
    </w:p>
    <w:p>
      <w:pPr>
        <w:sectPr>
          <w:pgSz w:w="11900" w:h="16838" w:orient="portrait"/>
          <w:cols w:equalWidth="0" w:num="1">
            <w:col w:w="11200"/>
          </w:cols>
          <w:pgMar w:left="320" w:top="989" w:right="379" w:bottom="1440" w:gutter="0" w:footer="0" w:header="0"/>
        </w:sect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type w:val="continuous"/>
        </w:sectPr>
      </w:pPr>
    </w:p>
    <w:bookmarkStart w:id="60" w:name="page61"/>
    <w:bookmarkEnd w:id="60"/>
    <w:p>
      <w:pPr>
        <w:spacing w:after="0" w:line="277" w:lineRule="auto"/>
        <w:rPr>
          <w:sz w:val="20"/>
          <w:szCs w:val="20"/>
          <w:color w:val="auto"/>
        </w:rPr>
      </w:pPr>
      <w:r>
        <w:rPr>
          <w:rFonts w:ascii="Arial" w:cs="Arial" w:eastAsia="Arial" w:hAnsi="Arial"/>
          <w:sz w:val="18"/>
          <w:szCs w:val="18"/>
          <w:color w:val="auto"/>
        </w:rPr>
        <w:t>manufacturing costs. If we are not successful in doing so, or if we experience issues with our manufacturing process improvements, we could face delays in establishing and/or sustaining our production ramps or be unable to meet our related cost and profitability targets.</w:t>
      </w:r>
    </w:p>
    <w:p>
      <w:pPr>
        <w:spacing w:after="0" w:line="170" w:lineRule="exact"/>
        <w:rPr>
          <w:sz w:val="20"/>
          <w:szCs w:val="20"/>
          <w:color w:val="auto"/>
        </w:rPr>
      </w:pPr>
    </w:p>
    <w:p>
      <w:pPr>
        <w:ind w:right="500"/>
        <w:spacing w:after="0" w:line="251" w:lineRule="auto"/>
        <w:rPr>
          <w:sz w:val="20"/>
          <w:szCs w:val="20"/>
          <w:color w:val="auto"/>
        </w:rPr>
      </w:pPr>
      <w:r>
        <w:rPr>
          <w:rFonts w:ascii="Arial" w:cs="Arial" w:eastAsia="Arial" w:hAnsi="Arial"/>
          <w:sz w:val="18"/>
          <w:szCs w:val="18"/>
          <w:b w:val="1"/>
          <w:bCs w:val="1"/>
          <w:i w:val="1"/>
          <w:iCs w:val="1"/>
          <w:color w:val="auto"/>
        </w:rPr>
        <w:t>If we fail to successfully tool our manufacturing facilities or if our manufacturing facilities become inoperable, we will be unable to produce our vehicles and our business will be harmed.</w:t>
      </w:r>
    </w:p>
    <w:p>
      <w:pPr>
        <w:spacing w:after="0" w:line="2"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While we have completed the initial phase of construction at our manufacturing facilities in Casa Grande, Arizona, tooling our facilities for production of our vehicles and our future expansion plans are complicated and present significant challenges. For example, our manufacturing plans contemplated a compressed time period between finalization of the Lucid Air’s specifications for commercial production and the start of commercial production, which required finalization of tooling in a short time period. In addition, certain of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These risks could be exacerbated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our Casa Grande facilities, we have hired and trained and continue to hire and train a significant number of employees and integrate a yet-to-be-fully-developed supply chain. Any failure to continue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spacing w:after="0" w:line="189"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projections.</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we expect to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AD/ADAS hardware. There is no guarantee that we will be able to successfully and timely introduce and scale any such new processes or features.</w:t>
      </w:r>
    </w:p>
    <w:p>
      <w:pPr>
        <w:spacing w:after="0" w:line="18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Furthermore, our Casa Grande facilities and the equipment we use to manufacture our vehicles will be costly to repair or replace and could require substantial lead time to repair or replace and qualify for use. We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 to time and will depend on repairs and spare parts that may not be available when needed. 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environmental hazards and remediation, costs associated with decommissioning of equipment, labor disputes and strikes, difficulty or delays in obtaining governmental permits and licenses, damages or defects in electronic systems, industrial accidents or health epidemics, such as the recent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and the disruption of our business, this insurance may not be sufficient to cover all of our potential losses and may not continue to be available to us on acceptable terms, if at all.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176" w:lineRule="exact"/>
        <w:rPr>
          <w:sz w:val="20"/>
          <w:szCs w:val="20"/>
          <w:color w:val="auto"/>
        </w:rPr>
      </w:pPr>
    </w:p>
    <w:p>
      <w:pPr>
        <w:jc w:val="both"/>
        <w:ind w:right="280"/>
        <w:spacing w:after="0" w:line="381" w:lineRule="auto"/>
        <w:rPr>
          <w:sz w:val="20"/>
          <w:szCs w:val="20"/>
          <w:color w:val="auto"/>
        </w:rPr>
      </w:pPr>
      <w:r>
        <w:rPr>
          <w:rFonts w:ascii="Arial" w:cs="Arial" w:eastAsia="Arial" w:hAnsi="Arial"/>
          <w:sz w:val="15"/>
          <w:szCs w:val="15"/>
          <w:b w:val="1"/>
          <w:bCs w:val="1"/>
          <w:i w:val="1"/>
          <w:iCs w:val="1"/>
          <w:color w:val="auto"/>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00"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Our success, including our ability to continue production of the Lucid Air, will be dependent upon our ability to enter into supplier agreements and maintain our relationships with suppliers who are critical and necessary to the output and production of our vehicles. We also rely on suppliers to provide us with the components for our vehicles. The supplier agreements we have or may enter into with key suppliers in the future may have provisions where such agreements can be terminated in various circumstances, including potentially without cause. If these</w:t>
      </w:r>
    </w:p>
    <w:p>
      <w:pPr>
        <w:sectPr>
          <w:pgSz w:w="11900" w:h="16838" w:orient="portrait"/>
          <w:cols w:equalWidth="0" w:num="1">
            <w:col w:w="11220"/>
          </w:cols>
          <w:pgMar w:left="320" w:top="989" w:right="35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61" w:name="page62"/>
    <w:bookmarkEnd w:id="61"/>
    <w:p>
      <w:pPr>
        <w:ind w:right="200"/>
        <w:spacing w:after="0" w:line="263" w:lineRule="auto"/>
        <w:rPr>
          <w:sz w:val="20"/>
          <w:szCs w:val="20"/>
          <w:color w:val="auto"/>
        </w:rPr>
      </w:pPr>
      <w:r>
        <w:rPr>
          <w:rFonts w:ascii="Arial" w:cs="Arial" w:eastAsia="Arial" w:hAnsi="Arial"/>
          <w:sz w:val="18"/>
          <w:szCs w:val="18"/>
          <w:color w:val="auto"/>
        </w:rPr>
        <w:t>suppliers become unable to provide, or experience delays in providing, components, or if the supplier agreements we have in place are terminated, it may be difficult to find replacement components. Changes in business conditions, pandemics, governmental changes and other factors beyond our control or that we do not presently anticipate could affect our ability to receive components from our suppliers.</w:t>
      </w:r>
    </w:p>
    <w:p>
      <w:pPr>
        <w:spacing w:after="0" w:line="18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Further, we have not secured supply agreements for all of our components. We may be at a disadvantage in negotiating supply agreements for the production of our vehicles due to our limited operating history. In addition, there is the possibility that finalizing the supply agreements for the parts and components of our vehicles will cause significant disruption to our operations, or such supply agreements could be at costs that make it difficult for us to operate profitably.</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we do not enter into long-term supplier agreements with guaranteed pricing for our parts or components, we may be exposed to fluctuations in prices of components, materials and equipment. Agreements for the purchase of battery cells and other components contain or are likely to contain pricing provisions that are subject to adjustment based on changes in market prices of key commodities. Substantial increases in the prices for such components, materials and equipment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7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could have a material adverse effect on our results of operations and financial condition.</w:t>
      </w:r>
    </w:p>
    <w:p>
      <w:pPr>
        <w:spacing w:after="0" w:line="14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rely on hundreds of third-party suppliers for the provision and development of many of the key components and materials used in our vehicles. While we plan to obtain components from multiple sources whenever possible, many of the components used in our vehicles will be purchased by us from a single source, and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 We may also be impacted by changes in our supply chain or production needs, including cost increases from our suppliers, in order to meet our quality targets and development timelines as well as due to design changes. Likewise, any significant increases in our production may in the future require us to procure additional components in a short amount of time. Our suppliers may not ultimately be able to sustainably and timely meet our cost, quality and volume needs, requiring us to replace them with other sources.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w:t>
      </w:r>
    </w:p>
    <w:p>
      <w:pPr>
        <w:spacing w:after="0" w:line="17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addition, we could experience delays if our suppliers do not meet agreed upon timelines or experience capacity constraints. Any disruption in the supply of components, whether or not from a single source supplier, could temporarily disrupt production of our vehicles until an alternative supplier is able to supply the required material.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favorable pricing and other terms, or at all. Any of the foregoing could materially and adversely affect our results of operations, financial condition and prospects.</w:t>
      </w:r>
    </w:p>
    <w:p>
      <w:pPr>
        <w:spacing w:after="0" w:line="17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Furthermore, as the scale of our vehicle production increases, we will need to accurately forecast, purchase, warehouse and transport components to our manufacturing facilities and servicing locations internationally and at much higher volumes. If we are unable to accurately match the timing and quantities of component purchases to our actual needs or successfully implement automation, inventory management and other systems to accommodate the increased complexity in our supply chain, we may incur unexpected production disruption, storage, transportation and write-off costs, which could have a material adverse effect on our results of operations and financial condition.</w:t>
      </w:r>
    </w:p>
    <w:p>
      <w:pPr>
        <w:spacing w:after="0" w:line="188"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In addition, as we develop an international manufacturing footprint, we will face additional challenges with respect to international supply chain management and logistics costs. If we are unable to access or develop localized supply chains in the regions where we develop manufacturing facilities with the quality, costs and capabilities required, we could be required to source components from distant suppliers, which would increase our logistics and manufacturing costs, increase the risk and complexity of our supply chain and significantly impair our ability to develop cost-effective manufacturing operations, which could have a material adverse effect on our business, results of operations and financial condition.</w:t>
      </w:r>
    </w:p>
    <w:p>
      <w:pPr>
        <w:spacing w:after="0" w:line="176"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Furthermore, unexpected changes in business conditions, materials pricing, labor issues, wars, governmental changes, tariffs, natural disasters, health epidemics such as the ongoing COVID-19 pandemic, and other factors beyond our and our suppliers’ control could also affect these suppliers’ ability to deliver components to us on a timely basis. We have also identified certain of our suppliers, including certain</w:t>
      </w:r>
    </w:p>
    <w:p>
      <w:pPr>
        <w:sectPr>
          <w:pgSz w:w="11900" w:h="16838" w:orient="portrait"/>
          <w:cols w:equalWidth="0" w:num="1">
            <w:col w:w="11240"/>
          </w:cols>
          <w:pgMar w:left="320" w:top="989"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62" w:name="page63"/>
    <w:bookmarkEnd w:id="62"/>
    <w:p>
      <w:pPr>
        <w:ind w:right="20"/>
        <w:spacing w:after="0" w:line="254" w:lineRule="auto"/>
        <w:rPr>
          <w:sz w:val="20"/>
          <w:szCs w:val="20"/>
          <w:color w:val="auto"/>
        </w:rPr>
      </w:pPr>
      <w:r>
        <w:rPr>
          <w:rFonts w:ascii="Arial" w:cs="Arial" w:eastAsia="Arial" w:hAnsi="Arial"/>
          <w:sz w:val="18"/>
          <w:szCs w:val="18"/>
          <w:color w:val="auto"/>
        </w:rPr>
        <w:t>suppliers we deem critical, as having poor financial health or being at risk of bankruptcy. Although we routinely review our suppliers’ financial health and attempts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spacing w:after="0" w:line="19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8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no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vehicles to our customers could be delayed, which would harm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costs, disruption of supply or shortage of materials, in particular for lithium-ion cells or semiconductors, could harm our business.</w:t>
      </w:r>
    </w:p>
    <w:p>
      <w:pPr>
        <w:spacing w:after="0" w:line="24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we scale commercial production of our vehicles or any future energy storage systems, we may experience increases in the cost of or a sustained interruption in the supply or shortage of materials. Any such increase, supply interruption or shortage could materially and adversely impact our business, results of operations, prospects and financial condition. We use various materials in our business, including aluminum, steel, lithium, nickel, copper, cobalt, neodymium, terbium, praseodymium and manganese, as well as lithium-ion cells and semiconductors from suppliers. The prices for these materials fluctuate, and their available supply may be unstable, depending on market conditions and global demand for these materials, including as a result of increased production of electric vehicles and energy storage products by our competitors, and could adversely affect our business and results of operations. For instance, we are exposed to multiple risks relating to lithium-ion cells. These risks include:</w:t>
      </w:r>
    </w:p>
    <w:p>
      <w:pPr>
        <w:spacing w:after="0" w:line="177" w:lineRule="exact"/>
        <w:rPr>
          <w:sz w:val="20"/>
          <w:szCs w:val="20"/>
          <w:color w:val="auto"/>
        </w:rPr>
      </w:pPr>
    </w:p>
    <w:p>
      <w:pPr>
        <w:ind w:left="660" w:right="48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the cost, or decrease in the available supply, of materials, such as cobalt, used in lithium-ion cells;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 in the supply of cells due to quality issues or recalls by battery cell manufacturers; and</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the value of any foreign currencies, and the Korean Won in particular, in which battery cell and related raw material purchases are or may be denominated against the U.S. dollar.</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and of which could have a material adverse effect on our business, prospects and results of operations. In addition, prices and transportation expenses for these materials fluctuate depending on many factors beyond our control, including fluctuations in supply and demand, currency fluctuations, tariffs and taxes, fluctuations and shortages in petroleum supply, freight charges and other economic and political factors.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w:t>
      </w:r>
    </w:p>
    <w:p>
      <w:pPr>
        <w:sectPr>
          <w:pgSz w:w="11900" w:h="16838" w:orient="portrait"/>
          <w:cols w:equalWidth="0" w:num="1">
            <w:col w:w="11220"/>
          </w:cols>
          <w:pgMar w:left="320" w:top="989" w:right="35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63" w:name="page64"/>
    <w:bookmarkEnd w:id="63"/>
    <w:p>
      <w:pPr>
        <w:ind w:right="540"/>
        <w:spacing w:after="0" w:line="277" w:lineRule="auto"/>
        <w:rPr>
          <w:sz w:val="20"/>
          <w:szCs w:val="20"/>
          <w:color w:val="auto"/>
        </w:rPr>
      </w:pPr>
      <w:r>
        <w:rPr>
          <w:rFonts w:ascii="Arial" w:cs="Arial" w:eastAsia="Arial" w:hAnsi="Arial"/>
          <w:sz w:val="18"/>
          <w:szCs w:val="18"/>
          <w:color w:val="auto"/>
        </w:rPr>
        <w:t>cancellations of orders and reservations and materially and adversely affect our brand, image, business, results of operations, prospects and financial condition.</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must develop complex software and technology systems, including in coordination with vendors and suppliers, in order to produce our electric vehicles, and there can be no assurance such systems will be successfully developed.</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vehicles, including the Lucid Air, will use a substantial amount of third-party and in-house software and complex technological hardware to operate, some of which is still subject to further development and testing. The development and implementation of such advanced technologies is inherently complex, and we will need to coordinate with our vendors and suppliers in order to integrate such technology into our electric vehicles and ensure it interoperates with other complex technology as designed and as expected. 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19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delayed production and delivery of our vehicles, including the Lucid Air;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delayed market acceptance of our vehicles;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customers or inability to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engineering or other resources for remedying the defect or error;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our brand or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service and warranty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legal action by customers or third parties, including product liability claims;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penalties imposed by regulatory authorities.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if we are unable to develop the software and technology systems necessary to operate our vehicles, our competitive position will be harmed. We rely on third-party suppliers to develop a number of technologies for use in our products, including Continental, Bosch, Valeo, Cogent, Quanta, Robosense, Via, Primax, Eletrobit, Here, Ublox, Renesas, Blackberry, Qt and DSP Concepts.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facilities or operations could be adversely affected by events outside of our control, such as natural disasters, wars, health epidemics or pandemics, or security incidents.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may be impacted by natural disasters, wars, health epidemics or pandemics or other events outside of our control. For example, our corporate headquarters are located in seismically active regions in Northern California, and our manufacturing facilities in Arizona are located in a sandstorm-, flood-and tornado-prone area. If major disasters such as earthquakes, wildfires, floods, tornadoes or other events occur, or our information system or communications network breaks down or operates improperly, our headquarters and manufacturing facilities may be seriously damaged, or we may have to stop or delay production and shipment of our products. In addition, the ongoing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w:t>
      </w:r>
      <w:r>
        <w:rPr>
          <w:rFonts w:ascii="Arial" w:cs="Arial" w:eastAsia="Arial" w:hAnsi="Arial"/>
          <w:sz w:val="16"/>
          <w:szCs w:val="16"/>
          <w:i w:val="1"/>
          <w:iCs w:val="1"/>
          <w:color w:val="auto"/>
        </w:rPr>
        <w:t>Risks Related to Litigation and Regulation —A failure to properly comply with foreign trade zone laws and</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regulations could increase the cost of our duties and tariffs.</w:t>
      </w:r>
      <w:r>
        <w:rPr>
          <w:rFonts w:ascii="Arial" w:cs="Arial" w:eastAsia="Arial" w:hAnsi="Arial"/>
          <w:sz w:val="16"/>
          <w:szCs w:val="16"/>
          <w:color w:val="auto"/>
        </w:rPr>
        <w:t>” We may incur significant expenses or delays relating to such events outside of our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which could have a material adverse impact on our business, results of operations and financial condition.</w:t>
      </w:r>
    </w:p>
    <w:p>
      <w:pPr>
        <w:spacing w:after="0" w:line="174"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00"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We have invested and expect to continue to invest significantly in what we believe is state of the art tooling, machinery and other manufacturing equipment, and we depreciate the cost of such equipment over their expected useful lives. However, manufacturing technology</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64" w:name="page65"/>
    <w:bookmarkEnd w:id="64"/>
    <w:p>
      <w:pPr>
        <w:ind w:right="40"/>
        <w:spacing w:after="0" w:line="259" w:lineRule="auto"/>
        <w:rPr>
          <w:sz w:val="20"/>
          <w:szCs w:val="20"/>
          <w:color w:val="auto"/>
        </w:rPr>
      </w:pPr>
      <w:r>
        <w:rPr>
          <w:rFonts w:ascii="Arial" w:cs="Arial" w:eastAsia="Arial" w:hAnsi="Arial"/>
          <w:sz w:val="18"/>
          <w:szCs w:val="18"/>
          <w:color w:val="auto"/>
        </w:rPr>
        <w:t>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vehicles will make use of lithium-ion battery cells, which have been observed to catch fire or vent smoke and flame.</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battery packs within our vehicles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once our vehicles are commercially available, a field or testing failure of our vehicles or other battery packs that we produce could occur. In addition, although we intend to equip our vehicles with systems designed to detect and warn vehicle occupants of such thermal events, there can be no assurance that such systems will function as designed or will provide vehicle occupants with sufficient or any warning. Any such events or failures of our vehicles, battery packs or warning systems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 and reputation.</w:t>
      </w:r>
    </w:p>
    <w:p>
      <w:pPr>
        <w:spacing w:after="0" w:line="16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as we scale the manufacturing of our vehicles and any future energy storage products, we will need to store a significant number of lithium-ion cells at our Casa Grande, Arizona manufacturing facilities.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and Data Privacy</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8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products contain complex information technology systems. For example, our vehicles are designed with built-in data connectivity to accept and install periodic remote updates to improve their functionality. In addition, we expect to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taken certain measures to prevent unauthorized access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200" w:lineRule="exact"/>
        <w:rPr>
          <w:sz w:val="20"/>
          <w:szCs w:val="20"/>
          <w:color w:val="auto"/>
        </w:rPr>
      </w:pPr>
    </w:p>
    <w:p>
      <w:pPr>
        <w:spacing w:after="0" w:line="22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Furthermore, hackers may in the future attempt to gain unauthorized access to, modify, alter and use our vehicles, products and systems to (i) gain control of, (ii) change the functionality, user interface and performance characteristics of or (iii) gain access to data stored in or generated by, our vehicles, products and systems. Advances in technology, an increased level of sophistication and diversity of our products and services, an increased level of expertise of hackers and new discoveries in the field of cryptography could lead to a compromise or breach of the measures that we or our third-party service providers use. We and our third-party service providers’ systems have in the past and may in the future be affected by security incidents. Our systems are also vulnerable to damage or interruption from, among other things, computer viruses, ransomware, killware, computer denial or degradation of service attacks, telecommunications failures, social engineering schemes, domain name spoofing, insider theft, physical theft, fire, terrorist attacks, natural disasters, power loss, war, or misuse, mistake or other attempts to harm our products and systems. Our and our third-party service providers’ or vendors’ data centers could be subject to break-ins, sabotage and intentional acts of vandalism causing potential disruptions. Some of our systems will not be fully redundant, and our disaster recovery planning cannot account for all eventualities. Any problems at our or our third-party service providers’ or vendors’ data centers could result in lengthy interruptions in our service. There can be no assurance that any security or other operational measures that we or our third-party service providers or vendors have implemented will be effective against any of the foregoing threats or issues.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65" w:name="page66"/>
    <w:bookmarkEnd w:id="65"/>
    <w:p>
      <w:pPr>
        <w:ind w:right="80" w:firstLine="324"/>
        <w:spacing w:after="0" w:line="285" w:lineRule="auto"/>
        <w:rPr>
          <w:sz w:val="20"/>
          <w:szCs w:val="20"/>
          <w:color w:val="auto"/>
        </w:rPr>
      </w:pPr>
      <w:r>
        <w:rPr>
          <w:rFonts w:ascii="Arial" w:cs="Arial" w:eastAsia="Arial" w:hAnsi="Arial"/>
          <w:sz w:val="16"/>
          <w:szCs w:val="16"/>
          <w:color w:val="auto"/>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or trade secrets. In addition, regardless of their veracity, reports of unauthorized access to our vehicles, systems or data, as well as other factors that may result in the perception that our vehicles, systems or data are vulnerable to being “hacked,” could negatively affect our brand. In addition, some members of the U.S. federal government, including certain members of Congress and the National Highway Traffic Safety Administration (“</w:t>
      </w:r>
      <w:r>
        <w:rPr>
          <w:rFonts w:ascii="Arial" w:cs="Arial" w:eastAsia="Arial" w:hAnsi="Arial"/>
          <w:sz w:val="16"/>
          <w:szCs w:val="16"/>
          <w:i w:val="1"/>
          <w:iCs w:val="1"/>
          <w:color w:val="auto"/>
        </w:rPr>
        <w:t>NHTSA</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are expected to apply in the European Union to all new vehicle types beginning in July 2022 and to all new vehicles produced from July 2024. Such regulations are also in effect, or expected to come into effect, in certain other international jurisdictions. These and other regulations could adversely affect the timing of our entry into the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spacing w:after="0" w:line="17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may not have adequate insurance coverage to cover losses associated with any of the foregoing, if any.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5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procurement, inventory management, production planning and execution,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174"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would then be responsible for installing such updates to the software and their software will be subject to these vulnerabilities until they do so. Any compromise of our intellectual property, proprietary information, systems or vehicles or inability prevent or effectively remedy errors, bugs, vulnerabilities or defects in our software and hardware may cause us to suffer lengthy interruptions to our ability to operate our business and our customers’ ability to operate their vehicles, damage to our reputation, loss of customers, loss of revenue, governmental fines, investigations or litigation or liability for damages, any of which could materially adversely affect our business, results of operations, prospects and financial condition.</w:t>
      </w:r>
    </w:p>
    <w:p>
      <w:pPr>
        <w:spacing w:after="0" w:line="17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18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 related information. Additionally, we will use our vehicles’ electronic systems to log information about each vehicle’s use, such as charge time, battery usage, mileage and driving behavior, in order to aid it in vehicle diagnostics, repair and maintenance,</w:t>
      </w:r>
    </w:p>
    <w:p>
      <w:pPr>
        <w:sectPr>
          <w:pgSz w:w="11900" w:h="16838" w:orient="portrait"/>
          <w:cols w:equalWidth="0" w:num="1">
            <w:col w:w="11240"/>
          </w:cols>
          <w:pgMar w:left="320" w:top="989"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66" w:name="page67"/>
    <w:bookmarkEnd w:id="66"/>
    <w:p>
      <w:pPr>
        <w:ind w:right="140"/>
        <w:spacing w:after="0" w:line="273" w:lineRule="auto"/>
        <w:rPr>
          <w:sz w:val="20"/>
          <w:szCs w:val="20"/>
          <w:color w:val="auto"/>
        </w:rPr>
      </w:pPr>
      <w:r>
        <w:rPr>
          <w:rFonts w:ascii="Arial" w:cs="Arial" w:eastAsia="Arial" w:hAnsi="Arial"/>
          <w:sz w:val="17"/>
          <w:szCs w:val="17"/>
          <w:color w:val="auto"/>
        </w:rPr>
        <w:t>as well as to help us customize and improve the driving and riding experience. 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global data protection landscape is rapidly evolving, and implementation standards and enforcement practices are likely to remain uncertain for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foreseeable future. We may not be able to monitor and react to all developments in a timely manner. The European Union adopted the General Data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Protection Regulation (“</w:t>
      </w:r>
      <w:r>
        <w:rPr>
          <w:rFonts w:ascii="Arial" w:cs="Arial" w:eastAsia="Arial" w:hAnsi="Arial"/>
          <w:sz w:val="17"/>
          <w:szCs w:val="17"/>
          <w:i w:val="1"/>
          <w:iCs w:val="1"/>
          <w:color w:val="auto"/>
        </w:rPr>
        <w:t>GDPR</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which became effective on May 25, 2018, and California adopted the California Consumer Privacy Act of 2018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CCPA</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which became effective in January 2020. Both the GDPR and the CCPA impose additional obligations on companies regarding the handling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personal data and provides certain individual privacy rights to persons whose data is collected. Compliance with existing, proposed and recently enacted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laws and regulations (including implementation of the privacy and process enhancements called for under the GDPR and CCPA) can be costly, and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comply with these regulatory standards could subject us to legal and reputational risks.</w:t>
      </w:r>
    </w:p>
    <w:p>
      <w:pPr>
        <w:spacing w:after="0" w:line="21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Specifically,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we expand our operations, the CCPA may increase our compliance costs and potential liability. Some observers have noted that the CCPA could mark the beginning of a trend toward more stringent privacy legislation in the United States. Additionally, effective in most respects starting on January 1, 2023, the California Privacy Rights Act (“</w:t>
      </w:r>
      <w:r>
        <w:rPr>
          <w:rFonts w:ascii="Arial" w:cs="Arial" w:eastAsia="Arial" w:hAnsi="Arial"/>
          <w:sz w:val="17"/>
          <w:szCs w:val="17"/>
          <w:i w:val="1"/>
          <w:iCs w:val="1"/>
          <w:color w:val="auto"/>
        </w:rPr>
        <w:t>CPRA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will significantly modify the CCPA, including by expanding California residents’ rights with respect to certain sensitive personal information. The CPRA also creates a new state agency that will be vested with authority to implement and enforce the CCPA and the CPRA.</w:t>
      </w:r>
    </w:p>
    <w:p>
      <w:pPr>
        <w:spacing w:after="0" w:line="178"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Other states have begun to propose similar laws. Compliance with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spacing w:after="0" w:line="19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post public privacy policies and other documentation regarding our collection, processing, use and disclosure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spacing w:after="0" w:line="17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Most jurisdictions have enacted laws requiring companies to notify individuals, regulatory authorities and other third parties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Employees and Human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key personnel or an inability to attract, retain and motivate qualified personnel may impair our ability to expand our business.</w:t>
      </w:r>
    </w:p>
    <w:p>
      <w:pPr>
        <w:spacing w:after="0" w:line="23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Although we do not currently anticipate widespread departure of our senior leadership team or other key employees, it is always possible that we could lose some key personnel. The replacement of any members of our senior management team or other key personnel likely would involve significant time and costs and may significantly delay or prevent the</w:t>
      </w:r>
    </w:p>
    <w:p>
      <w:pPr>
        <w:sectPr>
          <w:pgSz w:w="11900" w:h="16838" w:orient="portrait"/>
          <w:cols w:equalWidth="0" w:num="1">
            <w:col w:w="11240"/>
          </w:cols>
          <w:pgMar w:left="320" w:top="989" w:right="33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67" w:name="page68"/>
    <w:bookmarkEnd w:id="67"/>
    <w:p>
      <w:pPr>
        <w:spacing w:after="0" w:line="269" w:lineRule="auto"/>
        <w:rPr>
          <w:sz w:val="20"/>
          <w:szCs w:val="20"/>
          <w:color w:val="auto"/>
        </w:rPr>
      </w:pPr>
      <w:r>
        <w:rPr>
          <w:rFonts w:ascii="Arial" w:cs="Arial" w:eastAsia="Arial" w:hAnsi="Arial"/>
          <w:sz w:val="17"/>
          <w:szCs w:val="17"/>
          <w:color w:val="auto"/>
        </w:rPr>
        <w:t>achievement of our business objectives. Our future success also depends, in part, on our ability to continue to attract, integrate and retain highly skilled personnel. Competition for highly skilled personnel is frequently intense, especially in the San Francisco Bay Area, where we have a substantial presence and need for highly skilled personnel, including, in particular, engineers.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the services of Peter Rawlinson, our Chief Executive Officer and Chief Technology Officer.</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hire and train a significant number of employees to engage in full-scale commercial manufacturing operations, and our business could be adversely affected by labor and union activities.</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will need to hire and train a significant number of employees to engage in full-scale commercial manufacturing operations. This needs to be accomplished in a very short period of time in order for us to scale commercial production and sales and service operations. There are various risks and challenges associated with hiring, training and managing a large workforce, and these risks and challenges may be exacerbated by the short period of time in which we intend to scale up our hourly workforce. Although the area surrounding our Casa Grande, Arizona manufacturing facilities is home to a highly trained workforce with experience in engineering and manufacturing, this workforce does not have significant experience with electric vehicle manufacturing, and many jobs will require significant training. If we are unsuccessful in hiring and training a workforce in a timely and cost-effective manner, our business, financial condition and results of operations could be adversely affected.</w:t>
      </w:r>
    </w:p>
    <w:p>
      <w:pPr>
        <w:spacing w:after="0" w:line="17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Furthermore, although none of our employees are currently represented by a labor union,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In the event our employees seek to join or form a labor union, we could be subject to risks as we engage in and attempt to finalize negotiations with any such union, including potential work slowdowns or stoppages, delays and increased costs. Furthermore, we may be directly or indirectly dependent upon companies with unionized work forces, such as parts suppliers and trucking and freight companies, and work stoppages or strikes organized by such unions could have a material adverse impact on our business, financial condition or results of operations. If a work stoppage occurs, it could delay the manufacture and sale of our products and have a material adverse effect on our business, prospects, results of operations or financial condition.</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Misconduct by our employees and independent contractors during and before their employment with us could expose us to potentially significant legal liabilities, reputational harm and/or other damages to our business.</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spacing w:after="0" w:line="177"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68" w:name="page69"/>
    <w:bookmarkEnd w:id="68"/>
    <w:p>
      <w:pPr>
        <w:ind w:firstLine="324"/>
        <w:spacing w:after="0" w:line="287" w:lineRule="auto"/>
        <w:rPr>
          <w:sz w:val="20"/>
          <w:szCs w:val="20"/>
          <w:color w:val="auto"/>
        </w:rPr>
      </w:pPr>
      <w:r>
        <w:rPr>
          <w:rFonts w:ascii="Arial" w:cs="Arial" w:eastAsia="Arial" w:hAnsi="Arial"/>
          <w:sz w:val="16"/>
          <w:szCs w:val="16"/>
          <w:color w:val="auto"/>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 and Regulation</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8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 our properties and any changes to our operations mandated by new or amended laws, may be significant. We may also face unexpected delays in obtaining permits and approvals required by such laws in connection with our manufacturing facilities, which would hinder our ability to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spacing w:after="0" w:line="166"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new model year and changes to the model within a model year. These laws and standards are subject to change from time to time, and we could become subject to additional regulations in the future, which would increase the effort and expense of compliance. In 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spacing w:after="0" w:line="18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also expect to become subject to laws and regulations applicable to the supply, manufacture, import, sale and service of automobiles internationally, including in Europe, the Middle East and China. Applicable regulations in countries outside of the U.S., such as standards relating to vehicle safety,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regulatory limitations on our ability to sell vehicles directly, which could materially and adversely affect our ability to sell our vehicles.</w:t>
      </w:r>
    </w:p>
    <w:p>
      <w:pPr>
        <w:spacing w:after="0" w:line="248"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7"/>
          <w:szCs w:val="17"/>
          <w:color w:val="auto"/>
        </w:rPr>
        <w:t>Our business plan includes the direct sale of vehicles to retail consumers. The laws governing licensing of dealers and sales of motor vehicles vary from state to state. Most states require a dealer license to sell new motor vehicles within the state, and many states prohibit manufacturers from being a licensed dealer and directly selling new motor vehicles to retail consumers. We anticipate that we can become 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9" w:name="page70"/>
    <w:bookmarkEnd w:id="69"/>
    <w:p>
      <w:pPr>
        <w:jc w:val="both"/>
        <w:ind w:right="140"/>
        <w:spacing w:after="0" w:line="311" w:lineRule="auto"/>
        <w:rPr>
          <w:sz w:val="20"/>
          <w:szCs w:val="20"/>
          <w:color w:val="auto"/>
        </w:rPr>
      </w:pPr>
      <w:r>
        <w:rPr>
          <w:rFonts w:ascii="Arial" w:cs="Arial" w:eastAsia="Arial" w:hAnsi="Arial"/>
          <w:sz w:val="16"/>
          <w:szCs w:val="16"/>
          <w:color w:val="auto"/>
        </w:rPr>
        <w:t>licensed dealer in certain states. In some states, we have also opened or expect to open Lucid Studios to educate and inform customers about our vehicles, but not all such Lucid Studios will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49"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For example, the Michigan House of Representatives recently passed a bill, House Bill 6233, which would have restricted our direct sales model. Although the bill was not taken up by the Michigan Senate, similar legislation may be passed in the future in Michigan or in other jurisdictions. Because the laws vary from state to state, our distribution model must 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choose to or be compelled to undertake product recalls or take other actions, which could adversely affect our business, prospects, results of operations, reputation and financial condition.</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Product recalls in the future may result in adverse publicity, damage our reputation and adversely affect our business, prospects, results of operations and financial condition. In the future, we may, voluntarily or involuntarily, initiate a recall if any of our electric vehicles or components (including our battery cells)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spacing w:after="0" w:line="16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may in the future be subject to legal proceedings, regulatory disputes and governmental inquiries that could cause us to incur significant expenses, divert our management’s attention, and materially harm our business, results of operations, cash flows and financial condition.</w:t>
      </w:r>
    </w:p>
    <w:p>
      <w:pPr>
        <w:spacing w:after="0" w:line="124"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employment matters.</w:t>
      </w:r>
    </w:p>
    <w:p>
      <w:pPr>
        <w:spacing w:after="0" w:line="15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Litigation and regulatory proceedings may be protracted and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84" w:lineRule="exact"/>
        <w:rPr>
          <w:sz w:val="20"/>
          <w:szCs w:val="20"/>
          <w:color w:val="auto"/>
        </w:rPr>
      </w:pPr>
    </w:p>
    <w:p>
      <w:pPr>
        <w:ind w:right="320" w:firstLine="324"/>
        <w:spacing w:after="0" w:line="253" w:lineRule="auto"/>
        <w:rPr>
          <w:sz w:val="20"/>
          <w:szCs w:val="20"/>
          <w:color w:val="auto"/>
        </w:rPr>
      </w:pPr>
      <w:r>
        <w:rPr>
          <w:rFonts w:ascii="Arial" w:cs="Arial" w:eastAsia="Arial" w:hAnsi="Arial"/>
          <w:sz w:val="17"/>
          <w:szCs w:val="17"/>
          <w:color w:val="auto"/>
        </w:rPr>
        <w:t>We may become subject to product liability claims, which could harm our business, prospects, results of operations and financial condition. The automotive industry experiences significant product liability claims, and we face inherent risks of exposure to claims in the event our future production vehicles do not perform or are claimed not to perform as expected or malfunction, resulting in property damage,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70" w:name="page71"/>
    <w:bookmarkEnd w:id="70"/>
    <w:p>
      <w:pPr>
        <w:spacing w:after="0" w:line="252" w:lineRule="auto"/>
        <w:rPr>
          <w:sz w:val="20"/>
          <w:szCs w:val="20"/>
          <w:color w:val="auto"/>
        </w:rPr>
      </w:pPr>
      <w:r>
        <w:rPr>
          <w:rFonts w:ascii="Arial" w:cs="Arial" w:eastAsia="Arial" w:hAnsi="Arial"/>
          <w:sz w:val="16"/>
          <w:szCs w:val="16"/>
          <w:color w:val="auto"/>
        </w:rPr>
        <w:t xml:space="preserve">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AD/ADAS features in our vehicles. See “— </w:t>
      </w:r>
      <w:r>
        <w:rPr>
          <w:rFonts w:ascii="Arial" w:cs="Arial" w:eastAsia="Arial" w:hAnsi="Arial"/>
          <w:sz w:val="16"/>
          <w:szCs w:val="16"/>
          <w:i w:val="1"/>
          <w:iCs w:val="1"/>
          <w:color w:val="auto"/>
        </w:rPr>
        <w:t>Risks Related to Litigation and Regulation</w:t>
      </w:r>
      <w:r>
        <w:rPr>
          <w:rFonts w:ascii="Arial" w:cs="Arial" w:eastAsia="Arial" w:hAnsi="Arial"/>
          <w:sz w:val="16"/>
          <w:szCs w:val="16"/>
          <w:color w:val="auto"/>
        </w:rPr>
        <w:t xml:space="preserve"> — </w:t>
      </w:r>
      <w:r>
        <w:rPr>
          <w:rFonts w:ascii="Arial" w:cs="Arial" w:eastAsia="Arial" w:hAnsi="Arial"/>
          <w:sz w:val="16"/>
          <w:szCs w:val="16"/>
          <w:i w:val="1"/>
          <w:iCs w:val="1"/>
          <w:color w:val="auto"/>
        </w:rPr>
        <w:t>AD/ADAS technology is subject to uncertain and evolving</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regulations</w:t>
      </w:r>
      <w:r>
        <w:rPr>
          <w:rFonts w:ascii="Arial" w:cs="Arial" w:eastAsia="Arial" w:hAnsi="Arial"/>
          <w:sz w:val="16"/>
          <w:szCs w:val="16"/>
          <w:color w:val="auto"/>
        </w:rPr>
        <w:t>.” In addition, the battery packs that we produce make use of lithium-ion cells. On rare occasions, lithium-ion cells can rapidly release the</w:t>
      </w:r>
      <w:r>
        <w:rPr>
          <w:rFonts w:ascii="Arial" w:cs="Arial" w:eastAsia="Arial" w:hAnsi="Arial"/>
          <w:sz w:val="16"/>
          <w:szCs w:val="16"/>
          <w:i w:val="1"/>
          <w:iCs w:val="1"/>
          <w:color w:val="auto"/>
        </w:rPr>
        <w:t xml:space="preserve"> </w:t>
      </w:r>
      <w:r>
        <w:rPr>
          <w:rFonts w:ascii="Arial" w:cs="Arial" w:eastAsia="Arial" w:hAnsi="Arial"/>
          <w:sz w:val="16"/>
          <w:szCs w:val="16"/>
          <w:color w:val="auto"/>
        </w:rPr>
        <w:t>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intend to equip our vehicles with systems designed to detect and warn vehicle occupants of such thermal events, there can be no assurance that such systems will function as designed or will provide vehicle occupants with sufficient or any warning. Any such events or failures of our vehicles, battery packs or warning systems could subject us to lawsuits, product recalls or redesign efforts, all of which would be time consuming and expensive.</w:t>
      </w:r>
    </w:p>
    <w:p>
      <w:pPr>
        <w:spacing w:after="0" w:line="18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 successful product liability claim against us could require us to pay a substantial monetary award. Our risks in this area are particularly pronounced given that we have not yet deployed our vehicles for consumer use and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spacing w:after="0" w:line="17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may be exposed to delays, limitations and risks related to the environmental permits and other operating permits required to operate our manufacturing facilities.</w:t>
      </w:r>
    </w:p>
    <w:p>
      <w:pPr>
        <w:spacing w:after="0" w:line="170" w:lineRule="exact"/>
        <w:rPr>
          <w:sz w:val="20"/>
          <w:szCs w:val="20"/>
          <w:color w:val="auto"/>
        </w:rPr>
      </w:pPr>
    </w:p>
    <w:p>
      <w:pPr>
        <w:ind w:right="100" w:firstLine="324"/>
        <w:spacing w:after="0" w:line="284" w:lineRule="auto"/>
        <w:rPr>
          <w:sz w:val="20"/>
          <w:szCs w:val="20"/>
          <w:color w:val="auto"/>
        </w:rPr>
      </w:pPr>
      <w:r>
        <w:rPr>
          <w:rFonts w:ascii="Arial" w:cs="Arial" w:eastAsia="Arial" w:hAnsi="Arial"/>
          <w:sz w:val="16"/>
          <w:szCs w:val="16"/>
          <w:color w:val="auto"/>
        </w:rPr>
        <w:t>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w:t>
      </w:r>
    </w:p>
    <w:p>
      <w:pPr>
        <w:spacing w:after="0" w:line="2"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Risks Related to Manufacturing and Supply Chain—We have experienced and may in the future experience significant delays in the design,</w:t>
      </w:r>
      <w:r>
        <w:rPr>
          <w:rFonts w:ascii="Arial" w:cs="Arial" w:eastAsia="Arial" w:hAnsi="Arial"/>
          <w:sz w:val="18"/>
          <w:szCs w:val="18"/>
          <w:color w:val="auto"/>
        </w:rPr>
        <w:t xml:space="preserve"> </w:t>
      </w:r>
      <w:r>
        <w:rPr>
          <w:rFonts w:ascii="Arial" w:cs="Arial" w:eastAsia="Arial" w:hAnsi="Arial"/>
          <w:sz w:val="18"/>
          <w:szCs w:val="18"/>
          <w:i w:val="1"/>
          <w:iCs w:val="1"/>
          <w:color w:val="auto"/>
        </w:rPr>
        <w:t>manufacture, launch and financing of the Lucid Air, which could harm our business and prospects.</w:t>
      </w:r>
      <w:r>
        <w:rPr>
          <w:rFonts w:ascii="Arial" w:cs="Arial" w:eastAsia="Arial" w:hAnsi="Arial"/>
          <w:sz w:val="18"/>
          <w:szCs w:val="18"/>
          <w:color w:val="auto"/>
        </w:rPr>
        <w:t>”</w:t>
      </w:r>
    </w:p>
    <w:p>
      <w:pPr>
        <w:spacing w:after="0" w:line="18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are subject to various environmental, health and safety laws and regulations that could impose substantial costs on us and cause delays in expanding our production facilities.</w:t>
      </w:r>
    </w:p>
    <w:p>
      <w:pPr>
        <w:spacing w:after="0" w:line="17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complying with them.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66"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78"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color w:val="auto"/>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Additionally, non-compliance could result in delay or suspension of production or cessation of operations. The costs required to comply with workplace safety laws can be significant, and non-compliance could adversely affect our</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0" w:right="379" w:bottom="1440" w:gutter="0" w:footer="0" w:header="0"/>
        </w:sectPr>
      </w:pPr>
    </w:p>
    <w:bookmarkStart w:id="71" w:name="page72"/>
    <w:bookmarkEnd w:id="71"/>
    <w:p>
      <w:pPr>
        <w:ind w:right="500"/>
        <w:spacing w:after="0" w:line="277" w:lineRule="auto"/>
        <w:rPr>
          <w:sz w:val="20"/>
          <w:szCs w:val="20"/>
          <w:color w:val="auto"/>
        </w:rPr>
      </w:pPr>
      <w:r>
        <w:rPr>
          <w:rFonts w:ascii="Arial" w:cs="Arial" w:eastAsia="Arial" w:hAnsi="Arial"/>
          <w:sz w:val="18"/>
          <w:szCs w:val="18"/>
          <w:color w:val="auto"/>
        </w:rPr>
        <w:t>production or other operations, including with respect to the production of the Lucid Air, which could have a material adverse effect on our business, prospects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AD/ADAS technology is subject to uncertain and evolving regulations.</w:t>
      </w:r>
    </w:p>
    <w:p>
      <w:pPr>
        <w:spacing w:after="0" w:line="22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We expect to introduce certain AD/ADAS technologies into our vehicles over time. AD/ADAS technology is subject to considerable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anti-money laundering and anti-boycott laws and regulations. We can face criminal liability and other serious consequences for violations, which can harm our business.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subject to the U.S. Foreign Corrupt Practices Act of 1977, as amended, the U.S. domestic bribery statute contained in 18 U.S.C. § 201, the U.S. Travel Act, the USA PATRIOT Act and possibly other anti-bribery and anti-money laundering laws in countries in which it expects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and laws that could subject us to liability if we are not in compliance with such laws.</w:t>
      </w:r>
    </w:p>
    <w:p>
      <w:pPr>
        <w:spacing w:after="0" w:line="24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vehicles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spacing w:after="0" w:line="17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Changes in U.S. trade policy, including the imposition of tariffs and the resulting consequences, could adversely affect our business, prospects, results of operations and financial condition.</w:t>
      </w:r>
    </w:p>
    <w:p>
      <w:pPr>
        <w:spacing w:after="0" w:line="17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U.S. government has adopted a new approach to trade policy and in some cases has attempted to renegotiate or terminate certain existing bilateral or multi-lateral trade agreements. It has also imposed tariffs on certain foreign goods, including steel and certain vehicle parts, which have begun to result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2" w:name="page73"/>
    <w:bookmarkEnd w:id="72"/>
    <w:p>
      <w:pPr>
        <w:spacing w:after="0" w:line="301" w:lineRule="auto"/>
        <w:rPr>
          <w:sz w:val="20"/>
          <w:szCs w:val="20"/>
          <w:color w:val="auto"/>
        </w:rPr>
      </w:pPr>
      <w:r>
        <w:rPr>
          <w:rFonts w:ascii="Arial" w:cs="Arial" w:eastAsia="Arial" w:hAnsi="Arial"/>
          <w:sz w:val="16"/>
          <w:szCs w:val="16"/>
          <w:color w:val="auto"/>
        </w:rPr>
        <w:t>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properly comply with foreign trade zone laws and regulations could increase the cost of our duties and tariffs.</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protects our intellectual property and proprietary technology through a combination of licensing agreements, third-party nondisclosure and confidentiality agreements and other contractual provisions, as well as through patent, trademark, copyright and trade secret laws in the United States and other jurisdictions.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measures we take to obtain, maintain, protect and enforce our intellectual property, including preventing unauthorized use by third parties, may not be effective for various reasons, including the following:</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patent applications we file may not result in the issuance of patents;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the first inventor of the subject matter to which we have filed a particular patent application, and we may not be the first party to file such a patent application;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of our issued patents may not be broad enough to protect our inventions and proprietary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issued patents may be challenged or invalidated by our competitors or other third parties;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patents have a finite term, and competitors and other third parties may offer identical or similar products after the expiration of our patents that cover such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employees, contractors or business partners may breach their confidentiality, non-disclosure and non-use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competitors and other third parties may independently develop technologies that are the same or similar to ours;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associated with enforcing patents or other intellectual property rights, or confidentiality and invention assignment agreements may make enforcement impracticable;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competitors and other third parties may circumvent or otherwise design around our patents or other intellectual property.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3" w:name="page74"/>
    <w:bookmarkEnd w:id="73"/>
    <w:p>
      <w:pPr>
        <w:ind w:right="80" w:firstLine="324"/>
        <w:spacing w:after="0" w:line="254" w:lineRule="auto"/>
        <w:rPr>
          <w:sz w:val="20"/>
          <w:szCs w:val="20"/>
          <w:color w:val="auto"/>
        </w:rPr>
      </w:pPr>
      <w:r>
        <w:rPr>
          <w:rFonts w:ascii="Arial" w:cs="Arial" w:eastAsia="Arial" w:hAnsi="Arial"/>
          <w:sz w:val="18"/>
          <w:szCs w:val="18"/>
          <w:color w:val="auto"/>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pacing w:after="0" w:line="19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spacing w:after="0" w:line="18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licensed and plan to further license patents and other intellectual property from third parties, including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spacing w:after="0" w:line="18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be sued by third parties for alleged infringement, misappropriation or other violation of their intellectual property, which could be time-consuming and costly and result in significant legal liability.</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There is considerable patent and other intellectual property development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17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substantial damages, including treble damages for willful infringement, or ongoing royalty payments;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cease developing, selling, leasing, using or incorporating certain components into vehicles or offering goods or services that incorporate or use the asserted intellectual property;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a license from the owner of the asserted intellectual property, which license may not be available on reasonable terms, or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 with other unfavorable terms; or</w:t>
      </w:r>
    </w:p>
    <w:p>
      <w:pPr>
        <w:sectPr>
          <w:pgSz w:w="11900" w:h="16838" w:orient="portrait"/>
          <w:cols w:equalWidth="0" w:num="1">
            <w:col w:w="11240"/>
          </w:cols>
          <w:pgMar w:left="320" w:top="989"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74" w:name="page75"/>
    <w:bookmarkEnd w:id="74"/>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and maintain alternative branding for our products and services.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personnel from our business operations. Such disputes, with or without merit, could also cause potential customers to refrain from purchasing our products or otherwise cause us reputational harm and negative publicity.</w:t>
      </w:r>
    </w:p>
    <w:p>
      <w:pPr>
        <w:spacing w:after="0" w:line="17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Furthermore, many of our employees were previously employed by other automotive companies or by suppliers to automotive companies.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lose valuable intellectual property or personnel. A loss of key personnel or our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9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Some of our products contain open source software, which may pose particular risks to our proprietary software, products and services in a manner that could harm our business.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use open source software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8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Financing and Strategic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require additional capital to support business growth, and this capital might not be available on commercially reasonable terms, or at all.</w:t>
      </w:r>
    </w:p>
    <w:p>
      <w:pPr>
        <w:spacing w:after="0" w:line="24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anticipate that we will need to raise additional funds through equity or debt financings. Our business is capital-intensive, and we expect the costs and expenses associated with our planned operations will continue to increase in the near term. We do not expect to achieve positive cash flow from operations for several years, if at all. In addition, during the first year following the Closing, we expect to settle tax withholding obligations in connection with vesting of the CEO RSU Award (as defined in “</w:t>
      </w:r>
      <w:r>
        <w:rPr>
          <w:rFonts w:ascii="Arial" w:cs="Arial" w:eastAsia="Arial" w:hAnsi="Arial"/>
          <w:sz w:val="17"/>
          <w:szCs w:val="17"/>
          <w:i w:val="1"/>
          <w:iCs w:val="1"/>
          <w:color w:val="auto"/>
        </w:rPr>
        <w:t>Management’s Discussion and Analysis of Financial Condition and Results of Operations—Critical</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Policies and Estimates—CEO RSU Award</w:t>
      </w:r>
      <w:r>
        <w:rPr>
          <w:rFonts w:ascii="Arial" w:cs="Arial" w:eastAsia="Arial" w:hAnsi="Arial"/>
          <w:sz w:val="17"/>
          <w:szCs w:val="17"/>
          <w:color w:val="auto"/>
        </w:rPr>
        <w:t>”) through “net settlement,” i.e., by remitting cash to satisfy the tax withholding obligation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a number of the vested shares on each vesting date. The amount of the tax withholding due on each vesting date will be based on the fair value of our common stock on such vesting date. Depending on the fair value of our common stock and the number of RSUs vesting on any applicable vesting date, such net settlement could require us to expend substantial funds to</w:t>
      </w:r>
    </w:p>
    <w:p>
      <w:pPr>
        <w:sectPr>
          <w:pgSz w:w="11900" w:h="16838" w:orient="portrait"/>
          <w:cols w:equalWidth="0" w:num="1">
            <w:col w:w="11240"/>
          </w:cols>
          <w:pgMar w:left="320" w:top="989" w:right="339" w:bottom="144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75" w:name="page76"/>
    <w:bookmarkEnd w:id="75"/>
    <w:p>
      <w:pPr>
        <w:ind w:right="80"/>
        <w:spacing w:after="0" w:line="279" w:lineRule="auto"/>
        <w:rPr>
          <w:sz w:val="20"/>
          <w:szCs w:val="20"/>
          <w:color w:val="auto"/>
        </w:rPr>
      </w:pPr>
      <w:r>
        <w:rPr>
          <w:rFonts w:ascii="Arial" w:cs="Arial" w:eastAsia="Arial" w:hAnsi="Arial"/>
          <w:sz w:val="17"/>
          <w:szCs w:val="17"/>
          <w:color w:val="auto"/>
        </w:rPr>
        <w:t>satisfy tax withholding. Our plan to continue the commercial production of our vehicles and grow our business is dependent upon the timely availability of funds and further investment in design, engineering, component procurement, testing, and the build-out of manufacturing capabilities.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7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results of operations, prospects and financial condition.</w:t>
      </w:r>
    </w:p>
    <w:p>
      <w:pPr>
        <w:spacing w:after="0" w:line="1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have broad discretion over the use of proceeds from the exercise of our warrants, and we may invest or spend the proceeds in ways with which investors do not agree and in ways that may not yield a return.</w:t>
      </w:r>
    </w:p>
    <w:p>
      <w:pPr>
        <w:spacing w:after="0" w:line="17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will have broad discretion over the use of proceeds from the exercises of our warrants and options. Investors may not agree with our decisions, and our use of the proceeds may not yield a return on investment. We intend to use these net proceeds for general corporate purposes, which may include capital expenditures and working capital. Our use of these proceeds may differ substantially from our current plans. Our failure to apply the net proceeds from the exercises of warrants and options effectively could impair our ability to pursue our growth strategy or could require us to raise additional capital.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identify adequate strategic relationship opportunities or form strategic relationships, in the future.</w:t>
      </w:r>
    </w:p>
    <w:p>
      <w:pPr>
        <w:spacing w:after="0" w:line="22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expect that strategic business relationships will be an important factor in the growth and success of our business. However, there are no assurances that we will be able to identify or secure suitable business relationship opportunities in the future or that our competitors will not capitalize on such opportunities before we do.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179"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its business, dilute stockholder value and adversely affect our results of operations.</w:t>
      </w:r>
    </w:p>
    <w:p>
      <w:pPr>
        <w:spacing w:after="0" w:line="170"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6" w:name="page77"/>
    <w:bookmarkEnd w:id="76"/>
    <w:p>
      <w:pPr>
        <w:ind w:right="120"/>
        <w:spacing w:after="0" w:line="291" w:lineRule="auto"/>
        <w:rPr>
          <w:sz w:val="20"/>
          <w:szCs w:val="20"/>
          <w:color w:val="auto"/>
        </w:rPr>
      </w:pPr>
      <w:r>
        <w:rPr>
          <w:rFonts w:ascii="Arial" w:cs="Arial" w:eastAsia="Arial" w:hAnsi="Arial"/>
          <w:sz w:val="16"/>
          <w:szCs w:val="16"/>
          <w:color w:val="auto"/>
        </w:rPr>
        <w:t>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would result in increased fixed obligations and exposure to potential unknown liabilities of the acquired business and could also include covenants or other restrictions that would impede our ability to manage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vary significantly from period to period due to fluctuations in our operating costs, product demand and other factors.</w:t>
      </w:r>
    </w:p>
    <w:p>
      <w:pPr>
        <w:spacing w:after="0" w:line="248"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We expect our period-to-period financial results to vary based on our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In addition, automotive manufacturers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and certain other tax attributes may be limited.</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of September 30, 2021, we had accumulated U.S. federal and state net operating loss carryforwards and research and development credits which may be available to offset and reduce future taxable income.</w:t>
      </w:r>
    </w:p>
    <w:p>
      <w:pPr>
        <w:spacing w:after="0" w:line="170"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However, the U.S. federal and state net operating loss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its pre-change net operating loss carryforwards and other pre-change attributes, such as research tax credits, to offset its post-change income or tax may be limited.</w:t>
      </w:r>
    </w:p>
    <w:p>
      <w:pPr>
        <w:spacing w:after="0" w:line="187"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general, an “ownership change” will occur if there is a cumulative change in our ownership by “5-percent shareholders” that exceeds 50 percentage points over a rolling three-year period. Similar rules may apply under state tax laws. We have not yet completed an analysis of whether the business combination caused an “ownership change” for these purposes. In addition, we may experience ownership changes in the future as a result of subsequent shifts in our stock ownership, some of which may be outside of our control. If we undergo an ownership change, we may be prevented from fully utilizing the net operating loss carryforwards and tax credits existing at the time of the ownership change prior to their expiration. Future regulatory changes could also limit our ability to utilize net operating loss carryforwards and tax credits. To the extent we are not able to offset future taxable income with our net operating loss carryforwards and tax credits, our net income and cash flows may be adversely affected.</w:t>
      </w:r>
    </w:p>
    <w:p>
      <w:pPr>
        <w:spacing w:after="0" w:line="16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U.S. federal net operating losses that were incurred prior to 2018 and the California net operating losses are generally available and can be carried forward for 20 years. The U.S. federal research and development credits can be carried forward for 20 years, and the California research and development credits have no expiration date. It is possible that we will not generate taxable income in time to use these net operating loss carryforwards and research and development credits before their expiration. Under legislative changes enacted in December 2017, U.S. federal net operating losses incurred in 2018 and subsequent years can be carried forward indefinitely, but the annual utilizable net operating losses may not be more than 80% of the taxable income. It is uncertain if and to what extent various states will conform to the newly enacted federal tax law.</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Unanticipated tax laws or any change in the application of existing tax laws to us or our customers may adversely impact our profitability and business.</w:t>
      </w:r>
    </w:p>
    <w:p>
      <w:pPr>
        <w:spacing w:after="0" w:line="26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operate and are subject to income and other taxes in the United States and a growing number of other jurisdictions throughout the world. Existing domestic and foreign tax laws, statutes, rules, regulations, or ordinances could be interpreted, changed, modified, or applied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7" w:name="page78"/>
    <w:bookmarkEnd w:id="77"/>
    <w:p>
      <w:pPr>
        <w:ind w:right="120"/>
        <w:spacing w:after="0" w:line="290" w:lineRule="auto"/>
        <w:rPr>
          <w:sz w:val="20"/>
          <w:szCs w:val="20"/>
          <w:color w:val="auto"/>
        </w:rPr>
      </w:pPr>
      <w:r>
        <w:rPr>
          <w:rFonts w:ascii="Arial" w:cs="Arial" w:eastAsia="Arial" w:hAnsi="Arial"/>
          <w:sz w:val="16"/>
          <w:szCs w:val="16"/>
          <w:color w:val="auto"/>
        </w:rPr>
        <w:t>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 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spacing w:after="0" w:line="16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 April 7, 2021 the current presidential administration proposed changes to the U.S. tax system. The proposals under discussion include changes to the U.S. corporate tax system that would increase U.S. corporate tax rates, impose a corporate minimum book tax and double the tax rate on and make other tax changes to broad categories of income earned by foreign subsidiaries. Many aspects of the current proposals are unclear or underdeveloped, and we are unable to predict which, if any, U.S. tax reform proposals will be enacted into law, and what effects any enacted legislation might have on our liability for U.S. federal income taxes. However, it is possible that the enactment of changes in the U.S. corporate tax system could have a material adverse effect on our liability for U.S. corporate tax and our consolidated effective tax 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Restatement of Our Previously Issued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23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public statement (the “</w:t>
      </w:r>
      <w:r>
        <w:rPr>
          <w:rFonts w:ascii="Arial" w:cs="Arial" w:eastAsia="Arial" w:hAnsi="Arial"/>
          <w:sz w:val="16"/>
          <w:szCs w:val="16"/>
          <w:i w:val="1"/>
          <w:iCs w:val="1"/>
          <w:color w:val="auto"/>
        </w:rPr>
        <w:t>SEC Warrant Accounting Statement</w:t>
      </w:r>
      <w:r>
        <w:rPr>
          <w:rFonts w:ascii="Arial" w:cs="Arial" w:eastAsia="Arial" w:hAnsi="Arial"/>
          <w:sz w:val="16"/>
          <w:szCs w:val="16"/>
          <w:color w:val="auto"/>
        </w:rPr>
        <w:t>”) on accounting and reporting considerations for warrants issued by special purpose acquisition companies (“SPACs”)</w:t>
      </w:r>
      <w:r>
        <w:rPr>
          <w:rFonts w:ascii="Arial" w:cs="Arial" w:eastAsia="Arial" w:hAnsi="Arial"/>
          <w:sz w:val="16"/>
          <w:szCs w:val="16"/>
          <w:i w:val="1"/>
          <w:iCs w:val="1"/>
          <w:color w:val="auto"/>
        </w:rPr>
        <w:t>.</w:t>
      </w:r>
      <w:r>
        <w:rPr>
          <w:rFonts w:ascii="Arial" w:cs="Arial" w:eastAsia="Arial" w:hAnsi="Arial"/>
          <w:sz w:val="16"/>
          <w:szCs w:val="16"/>
          <w:color w:val="auto"/>
        </w:rPr>
        <w:t xml:space="preserve">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00" w:lineRule="exact"/>
        <w:rPr>
          <w:sz w:val="20"/>
          <w:szCs w:val="20"/>
          <w:color w:val="auto"/>
        </w:rPr>
      </w:pPr>
    </w:p>
    <w:p>
      <w:pPr>
        <w:ind w:firstLine="324"/>
        <w:spacing w:after="0" w:line="237" w:lineRule="auto"/>
        <w:rPr>
          <w:sz w:val="20"/>
          <w:szCs w:val="20"/>
          <w:color w:val="auto"/>
        </w:rPr>
      </w:pPr>
      <w:r>
        <w:rPr>
          <w:rFonts w:ascii="Arial" w:cs="Arial" w:eastAsia="Arial" w:hAnsi="Arial"/>
          <w:sz w:val="17"/>
          <w:szCs w:val="17"/>
          <w:color w:val="auto"/>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 As part of such process, Churchill identified a material weakness in its internal controls over financial reporting, solely related to Churchill’s accounting for warrants. See “—</w:t>
      </w:r>
      <w:r>
        <w:rPr>
          <w:rFonts w:ascii="Arial" w:cs="Arial" w:eastAsia="Arial" w:hAnsi="Arial"/>
          <w:sz w:val="17"/>
          <w:szCs w:val="17"/>
          <w:i w:val="1"/>
          <w:iCs w:val="1"/>
          <w:color w:val="auto"/>
        </w:rPr>
        <w:t>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Public Company Requirements- We have 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r>
        <w:rPr>
          <w:rFonts w:ascii="Arial" w:cs="Arial" w:eastAsia="Arial" w:hAnsi="Arial"/>
          <w:sz w:val="17"/>
          <w:szCs w:val="17"/>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Public Company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cash flows and financial condition. In addition, we expect to hire additional personnel to support our operations as a public company, which will increase our operating costs in future periods.</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8" w:name="page79"/>
    <w:bookmarkEnd w:id="78"/>
    <w:p>
      <w:pPr>
        <w:ind w:firstLine="324"/>
        <w:spacing w:after="0" w:line="269"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JOBS Act. As such, we take and will continue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and prospectus. As a result, our stockholders may not have access to certain information they deem important. We will remain an emerging growth company until the earliest of (i) the last day of the fiscal year: (a) following August 3, 2025, the fifth anniversary of the Churchill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(ii) the date on which we have issued more than $1.0 billion in non-convertible debt during the prior three-year period. We expect that we will cease to be an emerging growth company as of December 31, 2021.</w:t>
      </w:r>
    </w:p>
    <w:p>
      <w:pPr>
        <w:spacing w:after="0" w:line="182"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6"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intend to continue to take advantage of the exemptions described above for as long as we continue to be an emerging growth company. See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Related to Our Business and Operations—Risks Related to Public Company Requirements —The requirements of being a public company may strain our resources and distract our management, which could make it difficult to manage our business, particularly after we are no longer an “emerging growth company</w:t>
      </w:r>
      <w:r>
        <w:rPr>
          <w:rFonts w:ascii="Arial" w:cs="Arial" w:eastAsia="Arial" w:hAnsi="Arial"/>
          <w:sz w:val="18"/>
          <w:szCs w:val="18"/>
          <w:color w:val="auto"/>
        </w:rPr>
        <w:t>.”</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Following the Closing, we are required to comply with various regulatory and reporting requirements, including those required by the SEC and Nasdaq. Complying with these reporting and other regulatory requirements will be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Lastly, a failure to comply with such requirements, as interpreted and applied, could also have a material adverse effect on our results of operations, financial condition or business.</w:t>
      </w:r>
    </w:p>
    <w:p>
      <w:pPr>
        <w:spacing w:after="0" w:line="192"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To implement, maintain and improve the effectiveness of our disclosure controls and procedures, we will need to commit significant resources, hire additional staff and provide additional management oversight. We will be implementing additional procedures and processes 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qualify as an “emerging growth company” as defined in the JOBS Act, and we intend to take advantage of certain temporary exemptions from various reporting requirements including, but not limited to, not being required to comply with the auditor attestation requirements of Section 404 of the Sarbanes-Oxley Act and reduced disclosure obligations regarding executive compensation in the combined company’s periodic reports and proxy statements. We may also delay adoption of new or revised accounting pronouncements applicable to public companies until such pronouncements are made applicable to private companies, as permitted by the JOBS Act.</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9" w:name="page80"/>
    <w:bookmarkEnd w:id="79"/>
    <w:p>
      <w:pPr>
        <w:ind w:right="120" w:firstLine="324"/>
        <w:spacing w:after="0" w:line="275"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the combined company’s internal control over financial reporting until the later of our second annual report or the first annual report required to be filed with the SEC following the date we are no longer an “emerging growth company” as defined in the JOBS Act. We expect that we will cease to be an emerging growth company as of December 31, 2021. We have identified material weaknesses in our internal control over financial reporting for the year ended December 31, 2020 and cannot assure you that there will not be material weaknesses or significant deficiencies in our internal controls in the future.</w:t>
      </w:r>
    </w:p>
    <w:p>
      <w:pPr>
        <w:spacing w:after="0" w:line="17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87"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As a privately-held company, Lucid was not required to evaluate its internal control over financial reporting in a manner that meets the standards of publicly traded companies required by Section 404(a) of the Sarbanes-Oxley Act. As a public company, we will be required to provide management’s attestation on internal control over financial reporting. If we are unable to establish or maintain appropriate internal control over financial reporting or implement these additional requirements in a timely manner or with adequate compliance, it could result in material misstatements in our consolidated financial statements, failure to meet our reporting obligations on a timely basis, increases in compliance costs, and subject us to adverse regulatory consequences, all of which may adversely affect investor confidence in us and the value of our common stock.</w:t>
      </w:r>
    </w:p>
    <w:p>
      <w:pPr>
        <w:spacing w:after="0" w:line="164"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connection with the preparation and audit of Lucid’s consolidated financial statements as of and for the years ended December 31, 2020 and 2019, material weaknesses were identified in its internal control over financial reporting. A material weakness is a deficiency, or combination of deficiencies, in internal control over financial reporting such that there is a reasonable possibility that a material misstatement of the financial statements will not be prevented or detected on a timely basis. The following material weaknesses were identified:</w:t>
      </w:r>
    </w:p>
    <w:p>
      <w:pPr>
        <w:spacing w:after="0" w:line="171" w:lineRule="exact"/>
        <w:rPr>
          <w:sz w:val="20"/>
          <w:szCs w:val="20"/>
          <w:color w:val="auto"/>
        </w:rPr>
      </w:pPr>
    </w:p>
    <w:p>
      <w:pPr>
        <w:ind w:left="660" w:right="8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Lucid did not maintain a sufficient complement of personnel with accounting knowledge, experience and training to appropriately analyze, record and disclose accounting matters to provide reasonable assurance of preventing material misstatements;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Lucid did not maintain an effective process to verify changes to vendor records for payment remittances; and</w:t>
      </w:r>
    </w:p>
    <w:p>
      <w:pPr>
        <w:spacing w:after="0" w:line="225" w:lineRule="exact"/>
        <w:rPr>
          <w:rFonts w:ascii="Arial" w:cs="Arial" w:eastAsia="Arial" w:hAnsi="Arial"/>
          <w:sz w:val="18"/>
          <w:szCs w:val="18"/>
          <w:color w:val="auto"/>
        </w:rPr>
      </w:pPr>
    </w:p>
    <w:p>
      <w:pPr>
        <w:jc w:val="both"/>
        <w:ind w:left="660" w:right="120" w:hanging="328"/>
        <w:spacing w:after="0" w:line="286"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Lucid did not maintain effective controls over certain information technology (“</w:t>
      </w:r>
      <w:r>
        <w:rPr>
          <w:rFonts w:ascii="Arial" w:cs="Arial" w:eastAsia="Arial" w:hAnsi="Arial"/>
          <w:sz w:val="17"/>
          <w:szCs w:val="17"/>
          <w:i w:val="1"/>
          <w:iCs w:val="1"/>
          <w:color w:val="auto"/>
        </w:rPr>
        <w:t>IT</w:t>
      </w:r>
      <w:r>
        <w:rPr>
          <w:rFonts w:ascii="Arial" w:cs="Arial" w:eastAsia="Arial" w:hAnsi="Arial"/>
          <w:sz w:val="17"/>
          <w:szCs w:val="17"/>
          <w:color w:val="auto"/>
        </w:rPr>
        <w:t>”) general controls for information systems that are relevant to the preparation of its consolidated financial statements. Specifically, Lucid did not design and maintain user access controls to ensure appropriate segregation of duties and restrict user access to its financial applications to appropriate company personnel.</w:t>
      </w:r>
    </w:p>
    <w:p>
      <w:pPr>
        <w:spacing w:after="0" w:line="165" w:lineRule="exact"/>
        <w:rPr>
          <w:sz w:val="20"/>
          <w:szCs w:val="20"/>
          <w:color w:val="auto"/>
        </w:rPr>
      </w:pPr>
    </w:p>
    <w:p>
      <w:pPr>
        <w:ind w:right="460" w:firstLine="324"/>
        <w:spacing w:after="0" w:line="301" w:lineRule="auto"/>
        <w:rPr>
          <w:sz w:val="20"/>
          <w:szCs w:val="20"/>
          <w:color w:val="auto"/>
        </w:rPr>
      </w:pPr>
      <w:r>
        <w:rPr>
          <w:rFonts w:ascii="Arial" w:cs="Arial" w:eastAsia="Arial" w:hAnsi="Arial"/>
          <w:sz w:val="16"/>
          <w:szCs w:val="16"/>
          <w:color w:val="auto"/>
        </w:rPr>
        <w:t>The material weaknesses related to the insufficient complement of personnel and formal accounting policies, procedures and controls resulted in adjustments to several accounts and disclosures. The IT deficiencies did not result in a material misstatement to the consolidated financial statements, however, the deficiencies, when aggregated, could result in potential misstatements that would not be prevented or detected. Each of these material weaknesses could result in a material misstatement to the annual or interim consolidated financial statements that would not be prevented or detected.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begun implementing a plan to remediate these material weaknesses. These remediation measures are ongoing and include the following steps:</w:t>
      </w:r>
    </w:p>
    <w:p>
      <w:pPr>
        <w:spacing w:after="0" w:line="248" w:lineRule="exact"/>
        <w:rPr>
          <w:sz w:val="20"/>
          <w:szCs w:val="20"/>
          <w:color w:val="auto"/>
        </w:rPr>
      </w:pPr>
    </w:p>
    <w:p>
      <w:pPr>
        <w:ind w:left="660" w:right="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hiring additional accounting and financial reporting personnel with appropriate technical accounting knowledge and public company experience in financial reporting;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designing and implementing effective processes and controls to prevent payment to unverified vendors;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designing and implementing security management and change management controls over IT systems, including adjusting user access levels and implementing external logging of activity and periodic review of such logs; and</w:t>
      </w:r>
    </w:p>
    <w:p>
      <w:pPr>
        <w:spacing w:after="0" w:line="170" w:lineRule="exact"/>
        <w:rPr>
          <w:rFonts w:ascii="Arial" w:cs="Arial" w:eastAsia="Arial" w:hAnsi="Arial"/>
          <w:sz w:val="18"/>
          <w:szCs w:val="18"/>
          <w:color w:val="auto"/>
        </w:rPr>
      </w:pPr>
    </w:p>
    <w:p>
      <w:pPr>
        <w:jc w:val="both"/>
        <w:ind w:left="660" w:right="18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engaging an accounting advisory firm to assist with the documentation, evaluation, remediation and testing of our internal control over financial reporting based on the criteria established in Internal Control — Integrated Framework issued by the Committee of Sponsoring Organizations of the Treadway Commission.</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0" w:name="page81"/>
    <w:bookmarkEnd w:id="80"/>
    <w:p>
      <w:pPr>
        <w:ind w:right="60" w:firstLine="324"/>
        <w:spacing w:after="0" w:line="228" w:lineRule="auto"/>
        <w:rPr>
          <w:sz w:val="20"/>
          <w:szCs w:val="20"/>
          <w:color w:val="auto"/>
        </w:rPr>
      </w:pPr>
      <w:r>
        <w:rPr>
          <w:rFonts w:ascii="Arial" w:cs="Arial" w:eastAsia="Arial" w:hAnsi="Arial"/>
          <w:sz w:val="18"/>
          <w:szCs w:val="18"/>
          <w:color w:val="auto"/>
        </w:rPr>
        <w:t>In addition, in connection with the restatement of Churchill’s financial statement reflected in Churchill’s Annual Report on Form 10-K/A filed on May 14, 2021, Churchill’s management concluded that its disclosure controls and procedures and internal control over financial reporting were not effective as of December 31, 2020 due to a material weakness in internal controls over financial reporting solely related to its accounting for warrants. See “—</w:t>
      </w:r>
      <w:r>
        <w:rPr>
          <w:rFonts w:ascii="Arial" w:cs="Arial" w:eastAsia="Arial" w:hAnsi="Arial"/>
          <w:sz w:val="18"/>
          <w:szCs w:val="18"/>
          <w:i w:val="1"/>
          <w:iCs w:val="1"/>
          <w:color w:val="auto"/>
        </w:rPr>
        <w:t>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Restatement of Our Previously Issued Financial Statements —Our warrants are accounted for as liabilities and the changes in value of our warrants could have a material effect on our financial results</w:t>
      </w:r>
      <w:r>
        <w:rPr>
          <w:rFonts w:ascii="Arial" w:cs="Arial" w:eastAsia="Arial" w:hAnsi="Arial"/>
          <w:sz w:val="18"/>
          <w:szCs w:val="18"/>
          <w:color w:val="auto"/>
        </w:rPr>
        <w:t>.”</w:t>
      </w:r>
    </w:p>
    <w:p>
      <w:pPr>
        <w:spacing w:after="0" w:line="191"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While we are designing and implementing measures to remediate existing material weaknesses, we cannot predict the success of such measures or the outcome of our assessment of these measures at this time. Our current controls and any new controls that we develop may become inadequate because of changes in conditions in our business, personnel, IT systems and applications, or other factors. If we fail to remediate existing material weaknesses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it is possible that a material misstatement of our financial statements would not be prevented or detected on a timely basis, investors may lose confidence in the accuracy and completeness of our financial reports, and the market price of our common stock could be negatively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Transactions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Legal proceedings in connection with the Transactions, the outcomes of which are uncertain, could divert management’s attention and adversely affect our daily operations.</w:t>
      </w:r>
    </w:p>
    <w:p>
      <w:pPr>
        <w:spacing w:after="0" w:line="17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March 3, 2021, Richard Hofman, a purported stockholder of Churchill, filed a complaint, individually and on behalf of other Churchill stockholders, in the Superior Court of the State of California against Churchill, Lucid, and other unnamed defendants. The complaint alleged claims for fraud, negligent misrepresentation, and false advertising and unfair business practices in connection with allegedly false and misleading statements and omissions in Churchill’s public filings, concerning the proposed merger between Churchill and Lucid. The complaint sought injunctive relief, as well as compensatory and punitive damages. On March 8, 2021, plaintiff filed an ex parte application for a temporary restraining order and preliminary injunction, which Churchill opposed and the court denied on March 10, 2021. Plaintiff filed an amended complaint on March 22, 2021, solely in a personal capacity and not on behalf of any other Churchill stockholders. The amended complaint alleges claims for fraud against defendants Lucid and Peter Rawlinson, and negligent misrepresentation against Churchill, Lucid, and Mr. Rawlinson. The amended complaint seeks compensatory and punitive damages. On June 7, 2021, the plaintiff voluntarily dismissed the action without prejudice.</w:t>
      </w:r>
    </w:p>
    <w:p>
      <w:pPr>
        <w:spacing w:after="0" w:line="194" w:lineRule="exact"/>
        <w:rPr>
          <w:sz w:val="20"/>
          <w:szCs w:val="20"/>
          <w:color w:val="auto"/>
        </w:rPr>
      </w:pPr>
    </w:p>
    <w:p>
      <w:pPr>
        <w:ind w:firstLine="324"/>
        <w:spacing w:after="0" w:line="237" w:lineRule="auto"/>
        <w:rPr>
          <w:sz w:val="20"/>
          <w:szCs w:val="20"/>
          <w:color w:val="auto"/>
        </w:rPr>
      </w:pPr>
      <w:r>
        <w:rPr>
          <w:rFonts w:ascii="Arial" w:cs="Arial" w:eastAsia="Arial" w:hAnsi="Arial"/>
          <w:sz w:val="17"/>
          <w:szCs w:val="17"/>
          <w:color w:val="auto"/>
        </w:rPr>
        <w:t xml:space="preserve">Since April 18, 2021, four actions asserting claims under the federal securities laws have been filed in federal courts in Alabama, California, New Jersey and Indiana, including two putative class actions: Randy Phillips v. Churchill Capital Corporation IV, et al., 1:21-cv-00539-ACA (N.D. Ala., filed Apr. 18, 2021); Arec D. Simeri v. Churchill Capital Corporation IV, et al., 2:21-cv-04295 (C.D. Cal., filed May 24, 2021); Chris Arico v. Churchill Capital Corporation IV, et al., 1:21-cv-12355 (D.N.J., filed June 9, 2021); and Gregory Slabaugh v. Churchill Capital Corporation IV, et al., 1:21-cv-01652 (S.D. Ind., filed June 11, 2021). The complaints name Churchill, Atieva, Inc. (doing business as Lucid), Michael Klein, Jay Taragin, and Peter Rawlinson as defendants and generally allege violations of Sections 10(b) and 20(a) of the Exchange Act in connection with alleged false and misleading statements concerning Lucid’s business plans and prospects, as well as the proposed merger between Churchill and Lucid. The complaints generally seek compensatory and/or punitive damages. The </w:t>
      </w:r>
      <w:r>
        <w:rPr>
          <w:rFonts w:ascii="Arial" w:cs="Arial" w:eastAsia="Arial" w:hAnsi="Arial"/>
          <w:sz w:val="17"/>
          <w:szCs w:val="17"/>
          <w:i w:val="1"/>
          <w:iCs w:val="1"/>
          <w:color w:val="auto"/>
        </w:rPr>
        <w:t>Arico</w:t>
      </w:r>
      <w:r>
        <w:rPr>
          <w:rFonts w:ascii="Arial" w:cs="Arial" w:eastAsia="Arial" w:hAnsi="Arial"/>
          <w:sz w:val="17"/>
          <w:szCs w:val="17"/>
          <w:color w:val="auto"/>
        </w:rPr>
        <w:t xml:space="preserve"> matter was voluntarily dismissed on September 15, 2021 due to the existence of an earlier filed class action (</w:t>
      </w:r>
      <w:r>
        <w:rPr>
          <w:rFonts w:ascii="Arial" w:cs="Arial" w:eastAsia="Arial" w:hAnsi="Arial"/>
          <w:sz w:val="17"/>
          <w:szCs w:val="17"/>
          <w:i w:val="1"/>
          <w:iCs w:val="1"/>
          <w:color w:val="auto"/>
        </w:rPr>
        <w:t>Phillips</w:t>
      </w:r>
      <w:r>
        <w:rPr>
          <w:rFonts w:ascii="Arial" w:cs="Arial" w:eastAsia="Arial" w:hAnsi="Arial"/>
          <w:sz w:val="17"/>
          <w:szCs w:val="17"/>
          <w:color w:val="auto"/>
        </w:rPr>
        <w:t xml:space="preserve">). Upon motion, both the </w:t>
      </w:r>
      <w:r>
        <w:rPr>
          <w:rFonts w:ascii="Arial" w:cs="Arial" w:eastAsia="Arial" w:hAnsi="Arial"/>
          <w:sz w:val="17"/>
          <w:szCs w:val="17"/>
          <w:i w:val="1"/>
          <w:iCs w:val="1"/>
          <w:color w:val="auto"/>
        </w:rPr>
        <w:t>Simeri</w:t>
      </w:r>
      <w:r>
        <w:rPr>
          <w:rFonts w:ascii="Arial" w:cs="Arial" w:eastAsia="Arial" w:hAnsi="Arial"/>
          <w:sz w:val="17"/>
          <w:szCs w:val="17"/>
          <w:color w:val="auto"/>
        </w:rPr>
        <w:t xml:space="preserve"> and </w:t>
      </w:r>
      <w:r>
        <w:rPr>
          <w:rFonts w:ascii="Arial" w:cs="Arial" w:eastAsia="Arial" w:hAnsi="Arial"/>
          <w:sz w:val="17"/>
          <w:szCs w:val="17"/>
          <w:i w:val="1"/>
          <w:iCs w:val="1"/>
          <w:color w:val="auto"/>
        </w:rPr>
        <w:t>Slabaugh</w:t>
      </w:r>
      <w:r>
        <w:rPr>
          <w:rFonts w:ascii="Arial" w:cs="Arial" w:eastAsia="Arial" w:hAnsi="Arial"/>
          <w:sz w:val="17"/>
          <w:szCs w:val="17"/>
          <w:color w:val="auto"/>
        </w:rPr>
        <w:t xml:space="preserve"> have been transferred to the Northern District of Alabama, the location of the first filed action (</w:t>
      </w:r>
      <w:r>
        <w:rPr>
          <w:rFonts w:ascii="Arial" w:cs="Arial" w:eastAsia="Arial" w:hAnsi="Arial"/>
          <w:sz w:val="17"/>
          <w:szCs w:val="17"/>
          <w:i w:val="1"/>
          <w:iCs w:val="1"/>
          <w:color w:val="auto"/>
        </w:rPr>
        <w:t>Phillips</w:t>
      </w:r>
      <w:r>
        <w:rPr>
          <w:rFonts w:ascii="Arial" w:cs="Arial" w:eastAsia="Arial" w:hAnsi="Arial"/>
          <w:sz w:val="17"/>
          <w:szCs w:val="17"/>
          <w:color w:val="auto"/>
        </w:rPr>
        <w:t>).We believe the claims are without merit and intend to defend ourselves vigorously.</w:t>
      </w:r>
    </w:p>
    <w:p>
      <w:pPr>
        <w:spacing w:after="0" w:line="18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Additional lawsuits may be filed against us or our directors and officers in connection with the Transactions. Defending such additional lawsuits could require us to incur significant costs and draw the attention of our management team away from the daily operations of Lucid. Further, the defense or settlement of any lawsuit or claim may also adversely affect our business, financial condition, results of operations and cash flows.</w:t>
      </w:r>
    </w:p>
    <w:p>
      <w:pPr>
        <w:spacing w:after="0" w:line="16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24"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Although Churchill has conducted due diligence on the Lucid business, we cannot assure you that this diligence surfaced all material issues that may have been present in such business, that it was possible to uncover all material issues through a customary amount of due diligence, or that factors outside of the Lucid business and outside of our control will not later arise. As a result of these factors, we may be forced to later write-down or write-off assets, restructure operations, or incur impairment or other charges that could result in losses. Even if Churchill’s due diligence successfully identified certain risks, unexpected risks may arise and previously known risks may materialize in a manner not consistent with Churchill’s preliminary risk analysis.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1" w:name="page82"/>
    <w:bookmarkEnd w:id="81"/>
    <w:p>
      <w:pPr>
        <w:ind w:right="200"/>
        <w:spacing w:after="0" w:line="277" w:lineRule="auto"/>
        <w:rPr>
          <w:sz w:val="20"/>
          <w:szCs w:val="20"/>
          <w:color w:val="auto"/>
        </w:rPr>
      </w:pPr>
      <w:r>
        <w:rPr>
          <w:rFonts w:ascii="Arial" w:cs="Arial" w:eastAsia="Arial" w:hAnsi="Arial"/>
          <w:sz w:val="18"/>
          <w:szCs w:val="18"/>
          <w:b w:val="1"/>
          <w:bCs w:val="1"/>
          <w:i w:val="1"/>
          <w:iCs w:val="1"/>
          <w:color w:val="auto"/>
        </w:rPr>
        <w:t>If the benefits of the Transactions do not meet the expectations of investors, stockholders or financial analysts, the market price of our securities may decline.</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If the benefits of the Transactions do not meet the expectations of investors, stockholders or securities analysts, the market price of our securities may decline.</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Fluctuations in the price of our securities could contribute to the loss of all or part of your investment. Immediately prior to the Transactions, there has not been a public market for stock relating to the Lucid business and trading in shares of Churchill’s Class A common stock has not been active. Accordingly, the valuation ascribed to the Lucid business and Churchill’s Class A common stock in the Transactions may not be indicative of the price that will prevail in the trading market following the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an active and liquid public market for our securities will develop.</w:t>
      </w:r>
    </w:p>
    <w:p>
      <w:pPr>
        <w:spacing w:after="0" w:line="225"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Churchill was a blank check company and there was no public market for Lucid Common Shares since Lucid was a private company. A liquid trading market for our common stock may never develop or, if developed, it may not be sustained. In the absence of a liquid public trading market:</w:t>
      </w:r>
    </w:p>
    <w:p>
      <w:pPr>
        <w:spacing w:after="0" w:line="14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may not be able to liquidate your investment in shares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may not be able to resell your shares of our common stock at or above the price you paid for them;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market price of shares of our common stock may experience significant price volatility;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may be less efficiency in carrying out your purchase and sale orders.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securities depends on many factors, including those described elsewhere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many of which are beyond our control and may not be related to our operating performance. These fluctuations could cause you to lose all or part of your investment in our securities since you might be unable to sell them at or above the price you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financial results or the quarterly financial results of companies perceived to be similar to ours;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92" w:lineRule="exact"/>
        <w:rPr>
          <w:rFonts w:ascii="Arial" w:cs="Arial" w:eastAsia="Arial" w:hAnsi="Arial"/>
          <w:sz w:val="18"/>
          <w:szCs w:val="18"/>
          <w:color w:val="auto"/>
        </w:rPr>
      </w:pPr>
    </w:p>
    <w:p>
      <w:pPr>
        <w:ind w:left="660" w:right="20" w:hanging="328"/>
        <w:spacing w:after="0" w:line="232"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the public’s reaction to the number of unit reservations, financial projections and any other guidance or metrics that we may publicly disclose from time to time;</w:t>
      </w:r>
    </w:p>
    <w:p>
      <w:pPr>
        <w:spacing w:after="0" w:line="203"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ectPr>
          <w:pgSz w:w="11900" w:h="16838" w:orient="portrait"/>
          <w:cols w:equalWidth="0" w:num="1">
            <w:col w:w="11240"/>
          </w:cols>
          <w:pgMar w:left="320" w:top="989"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82" w:name="page83"/>
    <w:bookmarkEnd w:id="82"/>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timing of the achievement of objectives under our business plan and the timing and amount of costs we incur in connection therewith;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commencement of, or involvement in, litigation or investigations involving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volume of our common stock available for public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substantial amounts of our common stock by our directors, officers or significant stockholders or the perception that such sales could occur;</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“trade wars,” pandemics (such as COVID-19) and acts of war or terrorism;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 factors listed under “Risk Factors.”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our common stock,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w:t>
      </w:r>
    </w:p>
    <w:p>
      <w:pPr>
        <w:spacing w:after="0" w:line="192"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3" w:name="page84"/>
    <w:bookmarkEnd w:id="83"/>
    <w:p>
      <w:pPr>
        <w:ind w:right="260"/>
        <w:spacing w:after="0" w:line="277" w:lineRule="auto"/>
        <w:rPr>
          <w:sz w:val="20"/>
          <w:szCs w:val="20"/>
          <w:color w:val="auto"/>
        </w:rPr>
      </w:pPr>
      <w:r>
        <w:rPr>
          <w:rFonts w:ascii="Arial" w:cs="Arial" w:eastAsia="Arial" w:hAnsi="Arial"/>
          <w:sz w:val="18"/>
          <w:szCs w:val="18"/>
          <w:b w:val="1"/>
          <w:bCs w:val="1"/>
          <w:i w:val="1"/>
          <w:iCs w:val="1"/>
          <w:color w:val="auto"/>
        </w:rPr>
        <w:t>Nasdaq may not continue to list our securities, which could limit investors’ ability to make transactions in our securities and subject us to additional trading restrictions.</w:t>
      </w:r>
    </w:p>
    <w:p>
      <w:pPr>
        <w:spacing w:after="0" w:line="170" w:lineRule="exact"/>
        <w:rPr>
          <w:sz w:val="20"/>
          <w:szCs w:val="20"/>
          <w:color w:val="auto"/>
        </w:rPr>
      </w:pPr>
    </w:p>
    <w:p>
      <w:pPr>
        <w:jc w:val="both"/>
        <w:ind w:right="540" w:firstLine="324"/>
        <w:spacing w:after="0" w:line="263" w:lineRule="auto"/>
        <w:rPr>
          <w:sz w:val="20"/>
          <w:szCs w:val="20"/>
          <w:color w:val="auto"/>
        </w:rPr>
      </w:pPr>
      <w:r>
        <w:rPr>
          <w:rFonts w:ascii="Arial" w:cs="Arial" w:eastAsia="Arial" w:hAnsi="Arial"/>
          <w:sz w:val="18"/>
          <w:szCs w:val="18"/>
          <w:color w:val="auto"/>
        </w:rPr>
        <w:t>Our common stock are currently listed on the Nasdaq Global Select Market.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spacing w:after="0" w:line="18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such securities to adhere to more stringent rules and possibly result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 significant portion of our common stock is restricted from immediate resale, but may be sold into the market in the future. This could cause the market price of our common stock to drop significantly, even if our business is doing well.</w:t>
      </w:r>
    </w:p>
    <w:p>
      <w:pPr>
        <w:spacing w:after="0" w:line="170"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immediately after the Closing, we had outstanding (i) 1,618,621,534 shares of our common stock, (ii) warrants to purchase 85,750,000 shares of our common stock, and (iii) options and restricted stock units covering 111,531,080 shares of our common stock.</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Pursuant to the Investor Rights Agreement and our current bylaws, and subject to certain exceptions, the holders of: (i) shares of common stock issued as consideration pursuant to the Merger, (ii) any assumed Lucid Equity Awards; or (iii) shares of common stock underlying such assumed Lucid Equity Awards, in each case, are restricted from selling or transferring any of the securities described in clauses (i), (ii) or (iii). Such restrictions began at the Closing and will end at the date that is 180 days after the Closing. Pursuant to the Investor Rights Agreement, the Sponsor has agreed to similar restrictions for a period of 18 months with respect to our common stock and Private Placement Warrants held by it. However, following the expiration of such lock-up periods, the Sponsor and the other lock-up parties will not be restricted from selling our securities held by them,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6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addition, pursuant to the Investor Rights Agreement, the Sponsor, Ayar and certain other parties thereto are entitled to, among other things, certain registration rights, including demand, piggy-back and shelf registration rights, subject to cut-back provisions.</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applicable rules of Nasdaq and, as a result, qualify for exemptions from certain corporate governance requirements. Our stockholders will not have the same protections afforded to stockholders of companies that are not controlled companies.</w:t>
      </w:r>
    </w:p>
    <w:p>
      <w:pPr>
        <w:spacing w:after="0" w:line="18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of the Closing Date, Ayar held approximately 62.7%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as of the date of this report,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6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w:t>
      </w:r>
    </w:p>
    <w:p>
      <w:pPr>
        <w:sectPr>
          <w:pgSz w:w="11900" w:h="16838" w:orient="portrait"/>
          <w:cols w:equalWidth="0" w:num="1">
            <w:col w:w="11220"/>
          </w:cols>
          <w:pgMar w:left="320" w:top="989" w:right="359" w:bottom="1440" w:gutter="0" w:footer="0" w:header="0"/>
        </w:sect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84" w:name="page85"/>
    <w:bookmarkEnd w:id="84"/>
    <w:p>
      <w:pPr>
        <w:ind w:right="400"/>
        <w:spacing w:after="0" w:line="263" w:lineRule="auto"/>
        <w:rPr>
          <w:sz w:val="20"/>
          <w:szCs w:val="20"/>
          <w:color w:val="auto"/>
        </w:rPr>
      </w:pPr>
      <w:r>
        <w:rPr>
          <w:rFonts w:ascii="Arial" w:cs="Arial" w:eastAsia="Arial" w:hAnsi="Arial"/>
          <w:sz w:val="18"/>
          <w:szCs w:val="18"/>
          <w:color w:val="auto"/>
        </w:rPr>
        <w:t>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Sponsor and Ayar beneficially own a significant equity interest in us and may take actions that conflict with your interests.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interests of Sponsor and Ayar may not align with our interests and the interests of our other stockholders. The Sponsor and Ayar are each in the business of making investments in companies and may acquire and hold interests in businesses that compete directly or indirectly with us. The Sponsor and Ayar and their respective affiliates, may also pursue acquisition opportunities that may be complementary to our business and, as a result, those acquisition opportunities may not be available to us.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issue additional shares of our common stock or other equity securities without your approval, which would dilute your ownership interests and may depress the market price of your shares.</w:t>
      </w:r>
    </w:p>
    <w:p>
      <w:pPr>
        <w:spacing w:after="0" w:line="170"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We may issue additional shares of our common stock or other equity securities of equal or senior rank in the future in connection with, among other things, future acquisitions, repayment of outstanding indebtedness or under our Incentive Plan, without stockholder approval, in a number of circumstances. In connection with the Transactions, we assumed Lucid Equity Awards covering approximately 111.5 million shares of our common stock.</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issuance of additional shares of our common stock or other equity securities of equal or senior rank could have the following effects:</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your proportionate ownership interest in us will decrease;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common stock may be diminished;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market price of our stock may decline.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may differ significantly from the unaudited pro forma condensed combined financial information included in this report.</w:t>
      </w:r>
    </w:p>
    <w:p>
      <w:pPr>
        <w:spacing w:after="0" w:line="24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This report includes our unaudited pro forma condensed combined financial statements. Our unaudited pro forma condensed combined statement of loss combines the historical results of operations of Churchill.</w:t>
      </w:r>
    </w:p>
    <w:p>
      <w:pPr>
        <w:spacing w:after="0" w:line="17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The unaudited pro forma condensed combined financial statements are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been consummated on the dates set forth in such unaudited pro forma condensed combined financial statements, or the future consolidated results of operations or financial position of Lucid. Accordingly, our business, assets, cash flows, results of operations and financial condition may differ significantly from those indicated by the unaudited pro forma condensed combined financial statements included in this report. For more information, please see the section entitled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have never declared or paid cash dividends on our capital stock, and we do not anticipate paying any cash dividends in the foreseeable future. We currently intend to retain its future earnings, if any, for the foreseeable future, to fund the development and growth of our business.</w:t>
      </w:r>
    </w:p>
    <w:p>
      <w:pPr>
        <w:spacing w:after="0" w:line="14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spacing w:after="0" w:line="18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Please see the section titled “</w:t>
      </w:r>
      <w:r>
        <w:rPr>
          <w:rFonts w:ascii="Arial" w:cs="Arial" w:eastAsia="Arial" w:hAnsi="Arial"/>
          <w:sz w:val="18"/>
          <w:szCs w:val="18"/>
          <w:i w:val="1"/>
          <w:iCs w:val="1"/>
          <w:color w:val="auto"/>
        </w:rPr>
        <w:t>Management’s Discussion and Analysis of Financial Condition and Results of Operations—Liquidity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Resources</w:t>
      </w:r>
      <w:r>
        <w:rPr>
          <w:rFonts w:ascii="Arial" w:cs="Arial" w:eastAsia="Arial" w:hAnsi="Arial"/>
          <w:sz w:val="18"/>
          <w:szCs w:val="18"/>
          <w:color w:val="auto"/>
        </w:rPr>
        <w:t>” for more information.</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85" w:name="page86"/>
    <w:bookmarkEnd w:id="85"/>
    <w:p>
      <w:pPr>
        <w:spacing w:after="0" w:line="340" w:lineRule="auto"/>
        <w:rPr>
          <w:sz w:val="20"/>
          <w:szCs w:val="20"/>
          <w:color w:val="auto"/>
        </w:rPr>
      </w:pPr>
      <w:r>
        <w:rPr>
          <w:rFonts w:ascii="Arial" w:cs="Arial" w:eastAsia="Arial" w:hAnsi="Arial"/>
          <w:sz w:val="15"/>
          <w:szCs w:val="15"/>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131"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spacing w:after="0" w:line="18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or employees to us or our stockholders;</w:t>
      </w:r>
    </w:p>
    <w:p>
      <w:pPr>
        <w:spacing w:after="0" w:line="236" w:lineRule="exact"/>
        <w:rPr>
          <w:rFonts w:ascii="Arial" w:cs="Arial" w:eastAsia="Arial" w:hAnsi="Arial"/>
          <w:sz w:val="17"/>
          <w:szCs w:val="17"/>
          <w:color w:val="auto"/>
        </w:rPr>
      </w:pPr>
    </w:p>
    <w:p>
      <w:pPr>
        <w:ind w:left="660" w:right="80" w:hanging="328"/>
        <w:spacing w:after="0" w:line="308"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action asserting a claim against us or any of our directors or officers or other employees governed by the internal affairs doctrine.</w:t>
      </w:r>
    </w:p>
    <w:p>
      <w:pPr>
        <w:spacing w:after="0" w:line="23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Some provisions of Delaware law and our current certificate of incorporation and our current bylaws may deter third parties from acquiring us and diminish the value of our common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certificate of incorporation and our current bylaws provide for, among other things:</w:t>
      </w:r>
    </w:p>
    <w:p>
      <w:pPr>
        <w:spacing w:after="0" w:line="225" w:lineRule="exact"/>
        <w:rPr>
          <w:sz w:val="20"/>
          <w:szCs w:val="20"/>
          <w:color w:val="auto"/>
        </w:rPr>
      </w:pPr>
    </w:p>
    <w:p>
      <w:pPr>
        <w:ind w:left="660" w:right="5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the Investor Rights Agreement, advance notice for nominations of directors by stockholders and for stockholders to include matters to be considered at stockholder meetings;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660" w:right="22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6" w:name="page87"/>
    <w:bookmarkEnd w:id="86"/>
    <w:p>
      <w:pPr>
        <w:ind w:left="660" w:right="2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8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76"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if they are viewed as discouraging future takeover attempts. These provisions could also make it more difficult for stockholders to nominate directors for election to our Board and take other corporate actions.</w:t>
      </w:r>
    </w:p>
    <w:p>
      <w:pPr>
        <w:spacing w:after="0" w:line="188" w:lineRule="exact"/>
        <w:rPr>
          <w:sz w:val="20"/>
          <w:szCs w:val="20"/>
          <w:color w:val="auto"/>
        </w:rPr>
      </w:pPr>
    </w:p>
    <w:p>
      <w:pPr>
        <w:jc w:val="both"/>
        <w:ind w:right="940"/>
        <w:spacing w:after="0" w:line="381" w:lineRule="auto"/>
        <w:rPr>
          <w:sz w:val="20"/>
          <w:szCs w:val="20"/>
          <w:color w:val="auto"/>
        </w:rPr>
      </w:pPr>
      <w:r>
        <w:rPr>
          <w:rFonts w:ascii="Arial" w:cs="Arial" w:eastAsia="Arial" w:hAnsi="Arial"/>
          <w:sz w:val="15"/>
          <w:szCs w:val="15"/>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0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would likely decline. If any analyst who do cover us were to cease coverage of us or fail to regularly publish reports on us, we could lose visibility in the financial markets, which could cause our stock price or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ind w:firstLine="405"/>
        <w:spacing w:after="0" w:line="231" w:lineRule="auto"/>
        <w:rPr>
          <w:sz w:val="20"/>
          <w:szCs w:val="20"/>
          <w:color w:val="auto"/>
        </w:rPr>
      </w:pPr>
      <w:r>
        <w:rPr>
          <w:rFonts w:ascii="Arial" w:cs="Arial" w:eastAsia="Arial" w:hAnsi="Arial"/>
          <w:sz w:val="18"/>
          <w:szCs w:val="18"/>
          <w:color w:val="auto"/>
        </w:rPr>
        <w:t>In February 2021, Churchill entered into the Subscription Agreements pursuant to which certain investors agreed to subscribe for 166,666,667 shares of Class A common stock at a purchase price of $15.00 per share for an aggregate commitment of $2,500,000,005. Ayar, Lucid’s majority shareholder, agreed to purchase 13,333,333 of such shares. At the Closing, the Company consummated such PIPE Investment and issued 166,666,667 shares of its Class A common stock for aggregate gross proceeds of $2,500,000,005.</w:t>
      </w:r>
    </w:p>
    <w:p>
      <w:pPr>
        <w:spacing w:after="0" w:line="202" w:lineRule="exact"/>
        <w:rPr>
          <w:sz w:val="20"/>
          <w:szCs w:val="20"/>
          <w:color w:val="auto"/>
        </w:rPr>
      </w:pPr>
    </w:p>
    <w:p>
      <w:pPr>
        <w:ind w:right="340" w:firstLine="324"/>
        <w:spacing w:after="0" w:line="246" w:lineRule="auto"/>
        <w:rPr>
          <w:sz w:val="20"/>
          <w:szCs w:val="20"/>
          <w:color w:val="auto"/>
        </w:rPr>
      </w:pPr>
      <w:r>
        <w:rPr>
          <w:rFonts w:ascii="Arial" w:cs="Arial" w:eastAsia="Arial" w:hAnsi="Arial"/>
          <w:sz w:val="18"/>
          <w:szCs w:val="18"/>
          <w:color w:val="auto"/>
        </w:rPr>
        <w:t>BofA Securities, Inc. and Citigroup Global Markets Inc., as placement agents for the PIPE Investment, received customary fees in connection with such Closing equal to approximately $12.6 million and $12.6 million, respectively.</w:t>
      </w:r>
    </w:p>
    <w:p>
      <w:pPr>
        <w:spacing w:after="0" w:line="197" w:lineRule="exact"/>
        <w:rPr>
          <w:sz w:val="20"/>
          <w:szCs w:val="20"/>
          <w:color w:val="auto"/>
        </w:rPr>
      </w:pPr>
    </w:p>
    <w:p>
      <w:pPr>
        <w:ind w:right="20" w:firstLine="324"/>
        <w:spacing w:after="0" w:line="235" w:lineRule="auto"/>
        <w:rPr>
          <w:sz w:val="20"/>
          <w:szCs w:val="20"/>
          <w:color w:val="auto"/>
        </w:rPr>
      </w:pPr>
      <w:r>
        <w:rPr>
          <w:rFonts w:ascii="Arial" w:cs="Arial" w:eastAsia="Arial" w:hAnsi="Arial"/>
          <w:sz w:val="18"/>
          <w:szCs w:val="18"/>
          <w:color w:val="auto"/>
        </w:rPr>
        <w:t>The sales of the shares of Class A common stock as part of such PIPE Investment were deemed to be exempt from registration under the Securities Act in reliance upon Section 4(a)(2) of the Securities Act (or Regulation D or Regulation S promulgated thereunder) as transactions by an issuer not involving any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right="1400"/>
        <w:spacing w:after="0" w:line="291" w:lineRule="auto"/>
        <w:rPr>
          <w:sz w:val="20"/>
          <w:szCs w:val="20"/>
          <w:color w:val="auto"/>
        </w:rPr>
      </w:pPr>
      <w:r>
        <w:rPr>
          <w:rFonts w:ascii="Arial" w:cs="Arial" w:eastAsia="Arial" w:hAnsi="Arial"/>
          <w:sz w:val="16"/>
          <w:szCs w:val="16"/>
          <w:color w:val="auto"/>
        </w:rPr>
        <w:t>On November 13, 2021, our compensation committee approved the payment of annual cash bonuses for 2021 to certain executive officers in view of the successful achievement of the start of production and start of customer deliveries of the Lucid Air, as well as their</w:t>
      </w:r>
    </w:p>
    <w:p>
      <w:pPr>
        <w:spacing w:after="0"/>
        <w:rPr>
          <w:sz w:val="20"/>
          <w:szCs w:val="20"/>
          <w:color w:val="auto"/>
        </w:rPr>
      </w:pPr>
      <w:r>
        <w:rPr>
          <w:rFonts w:ascii="Arial" w:cs="Arial" w:eastAsia="Arial" w:hAnsi="Arial"/>
          <w:sz w:val="16"/>
          <w:szCs w:val="16"/>
          <w:color w:val="auto"/>
        </w:rPr>
        <w:t>respective contributions to the Company’s overall success in 2021, as follows: Mr. Rawlinson will receive $400,000, Mr. Bach will receive $282,000, 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House will receive $166,000 Mr. Bell will receive $268,000, and Mr. Smuts will receive $81,000.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exhibits listed on the Exhibit Index to this Form 10-Q are filed herewith or incorporated by reference herein: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7" w:name="page88"/>
    <w:bookmarkEnd w:id="87"/>
    <w:tbl>
      <w:tblPr>
        <w:tblLayout w:type="fixed"/>
        <w:tblInd w:w="72"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gridSpan w:val="10"/>
          </w:tcPr>
          <w:p>
            <w:pPr>
              <w:ind w:left="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80"/>
        </w:trPr>
        <w:tc>
          <w:tcPr>
            <w:tcW w:w="80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0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00" w:type="dxa"/>
            <w:vAlign w:val="bottom"/>
          </w:tcPr>
          <w:p>
            <w:pPr>
              <w:jc w:val="center"/>
              <w:ind w:right="80"/>
              <w:spacing w:after="0"/>
              <w:rPr>
                <w:sz w:val="20"/>
                <w:szCs w:val="20"/>
                <w:color w:val="auto"/>
              </w:rPr>
            </w:pPr>
            <w:r>
              <w:rPr>
                <w:rFonts w:ascii="Arial" w:cs="Arial" w:eastAsia="Arial" w:hAnsi="Arial"/>
                <w:sz w:val="16"/>
                <w:szCs w:val="16"/>
                <w:color w:val="auto"/>
                <w:w w:val="89"/>
              </w:rPr>
              <w:t>3.1</w:t>
            </w:r>
          </w:p>
        </w:tc>
        <w:tc>
          <w:tcPr>
            <w:tcW w:w="3860" w:type="dxa"/>
            <w:vAlign w:val="bottom"/>
            <w:tcBorders>
              <w:bottom w:val="single" w:sz="8" w:color="0000FF"/>
            </w:tcBorders>
            <w:gridSpan w:val="10"/>
          </w:tcPr>
          <w:p>
            <w:pPr>
              <w:spacing w:after="0"/>
              <w:rPr>
                <w:rFonts w:ascii="Arial" w:cs="Arial" w:eastAsia="Arial" w:hAnsi="Arial"/>
                <w:sz w:val="16"/>
                <w:szCs w:val="16"/>
                <w:color w:val="0000FF"/>
                <w:w w:val="91"/>
              </w:rPr>
            </w:pPr>
            <w:hyperlink r:id="rId105">
              <w:r>
                <w:rPr>
                  <w:rFonts w:ascii="Arial" w:cs="Arial" w:eastAsia="Arial" w:hAnsi="Arial"/>
                  <w:sz w:val="16"/>
                  <w:szCs w:val="16"/>
                  <w:color w:val="0000FF"/>
                  <w:w w:val="91"/>
                </w:rPr>
                <w:t>Second Amended and Restated Certificate of Incorporation</w:t>
              </w:r>
            </w:hyperlink>
          </w:p>
        </w:tc>
        <w:tc>
          <w:tcPr>
            <w:tcW w:w="180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ind w:right="80"/>
              <w:spacing w:after="0"/>
              <w:rPr>
                <w:sz w:val="20"/>
                <w:szCs w:val="20"/>
                <w:color w:val="auto"/>
              </w:rPr>
            </w:pPr>
            <w:r>
              <w:rPr>
                <w:rFonts w:ascii="Arial" w:cs="Arial" w:eastAsia="Arial" w:hAnsi="Arial"/>
                <w:sz w:val="16"/>
                <w:szCs w:val="16"/>
                <w:color w:val="auto"/>
                <w:w w:val="89"/>
              </w:rPr>
              <w:t>3.2</w:t>
            </w:r>
          </w:p>
        </w:tc>
        <w:tc>
          <w:tcPr>
            <w:tcW w:w="5660" w:type="dxa"/>
            <w:vAlign w:val="bottom"/>
            <w:gridSpan w:val="20"/>
          </w:tcPr>
          <w:p>
            <w:pPr>
              <w:spacing w:after="0"/>
              <w:rPr>
                <w:rFonts w:ascii="Arial" w:cs="Arial" w:eastAsia="Arial" w:hAnsi="Arial"/>
                <w:sz w:val="16"/>
                <w:szCs w:val="16"/>
                <w:color w:val="0000FF"/>
              </w:rPr>
            </w:pPr>
            <w:hyperlink r:id="rId106">
              <w:r>
                <w:rPr>
                  <w:rFonts w:ascii="Arial" w:cs="Arial" w:eastAsia="Arial" w:hAnsi="Arial"/>
                  <w:sz w:val="16"/>
                  <w:szCs w:val="16"/>
                  <w:color w:val="0000FF"/>
                </w:rPr>
                <w:t>Amended and Restated Bylaws</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ind w:right="80"/>
              <w:spacing w:after="0"/>
              <w:rPr>
                <w:sz w:val="20"/>
                <w:szCs w:val="20"/>
                <w:color w:val="auto"/>
              </w:rPr>
            </w:pPr>
            <w:r>
              <w:rPr>
                <w:rFonts w:ascii="Arial" w:cs="Arial" w:eastAsia="Arial" w:hAnsi="Arial"/>
                <w:sz w:val="16"/>
                <w:szCs w:val="16"/>
                <w:color w:val="auto"/>
                <w:w w:val="89"/>
              </w:rPr>
              <w:t>10.1</w:t>
            </w:r>
          </w:p>
        </w:tc>
        <w:tc>
          <w:tcPr>
            <w:tcW w:w="5660" w:type="dxa"/>
            <w:vAlign w:val="bottom"/>
            <w:gridSpan w:val="20"/>
          </w:tcPr>
          <w:p>
            <w:pPr>
              <w:spacing w:after="0"/>
              <w:rPr>
                <w:rFonts w:ascii="Arial" w:cs="Arial" w:eastAsia="Arial" w:hAnsi="Arial"/>
                <w:sz w:val="16"/>
                <w:szCs w:val="16"/>
                <w:color w:val="0000FF"/>
                <w:w w:val="93"/>
              </w:rPr>
            </w:pPr>
            <w:hyperlink w:anchor="page90">
              <w:r>
                <w:rPr>
                  <w:rFonts w:ascii="Arial" w:cs="Arial" w:eastAsia="Arial" w:hAnsi="Arial"/>
                  <w:sz w:val="16"/>
                  <w:szCs w:val="16"/>
                  <w:color w:val="0000FF"/>
                  <w:w w:val="93"/>
                </w:rPr>
                <w:t>Form of Repurchase Agreement, dated as of October 8, 2021, between Lucid Group,</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4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w:anchor="page90">
              <w:r>
                <w:rPr>
                  <w:rFonts w:ascii="Arial" w:cs="Arial" w:eastAsia="Arial" w:hAnsi="Arial"/>
                  <w:sz w:val="16"/>
                  <w:szCs w:val="16"/>
                  <w:color w:val="0000FF"/>
                </w:rPr>
                <w:t>Inc. and each signatory thereto</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ind w:right="80"/>
              <w:spacing w:after="0"/>
              <w:rPr>
                <w:sz w:val="20"/>
                <w:szCs w:val="20"/>
                <w:color w:val="auto"/>
              </w:rPr>
            </w:pPr>
            <w:r>
              <w:rPr>
                <w:rFonts w:ascii="Arial" w:cs="Arial" w:eastAsia="Arial" w:hAnsi="Arial"/>
                <w:sz w:val="16"/>
                <w:szCs w:val="16"/>
                <w:color w:val="auto"/>
                <w:w w:val="89"/>
              </w:rPr>
              <w:t>10.2</w:t>
            </w:r>
          </w:p>
        </w:tc>
        <w:tc>
          <w:tcPr>
            <w:tcW w:w="2360" w:type="dxa"/>
            <w:vAlign w:val="bottom"/>
            <w:tcBorders>
              <w:bottom w:val="single" w:sz="8" w:color="0000FF"/>
            </w:tcBorders>
            <w:gridSpan w:val="4"/>
          </w:tcPr>
          <w:p>
            <w:pPr>
              <w:spacing w:after="0"/>
              <w:rPr>
                <w:rFonts w:ascii="Arial" w:cs="Arial" w:eastAsia="Arial" w:hAnsi="Arial"/>
                <w:sz w:val="16"/>
                <w:szCs w:val="16"/>
                <w:color w:val="0000FF"/>
                <w:w w:val="93"/>
              </w:rPr>
            </w:pPr>
            <w:hyperlink r:id="rId107">
              <w:r>
                <w:rPr>
                  <w:rFonts w:ascii="Arial" w:cs="Arial" w:eastAsia="Arial" w:hAnsi="Arial"/>
                  <w:sz w:val="16"/>
                  <w:szCs w:val="16"/>
                  <w:color w:val="0000FF"/>
                  <w:w w:val="93"/>
                </w:rPr>
                <w:t>Form of Indemnification Agreement</w:t>
              </w:r>
            </w:hyperlink>
          </w:p>
        </w:tc>
        <w:tc>
          <w:tcPr>
            <w:tcW w:w="330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0" w:type="dxa"/>
            <w:vAlign w:val="bottom"/>
          </w:tcPr>
          <w:p>
            <w:pPr>
              <w:jc w:val="center"/>
              <w:ind w:right="80"/>
              <w:spacing w:after="0"/>
              <w:rPr>
                <w:sz w:val="20"/>
                <w:szCs w:val="20"/>
                <w:color w:val="auto"/>
              </w:rPr>
            </w:pPr>
            <w:r>
              <w:rPr>
                <w:rFonts w:ascii="Arial" w:cs="Arial" w:eastAsia="Arial" w:hAnsi="Arial"/>
                <w:sz w:val="16"/>
                <w:szCs w:val="16"/>
                <w:color w:val="auto"/>
                <w:w w:val="88"/>
              </w:rPr>
              <w:t>10.3˄</w:t>
            </w:r>
          </w:p>
        </w:tc>
        <w:tc>
          <w:tcPr>
            <w:tcW w:w="3220" w:type="dxa"/>
            <w:vAlign w:val="bottom"/>
            <w:tcBorders>
              <w:bottom w:val="single" w:sz="8" w:color="0000FF"/>
            </w:tcBorders>
            <w:gridSpan w:val="6"/>
          </w:tcPr>
          <w:p>
            <w:pPr>
              <w:spacing w:after="0"/>
              <w:rPr>
                <w:rFonts w:ascii="Arial" w:cs="Arial" w:eastAsia="Arial" w:hAnsi="Arial"/>
                <w:sz w:val="16"/>
                <w:szCs w:val="16"/>
                <w:color w:val="0000FF"/>
                <w:w w:val="91"/>
              </w:rPr>
            </w:pPr>
            <w:hyperlink r:id="rId108">
              <w:r>
                <w:rPr>
                  <w:rFonts w:ascii="Arial" w:cs="Arial" w:eastAsia="Arial" w:hAnsi="Arial"/>
                  <w:sz w:val="16"/>
                  <w:szCs w:val="16"/>
                  <w:color w:val="0000FF"/>
                  <w:w w:val="91"/>
                </w:rPr>
                <w:t>Lucid Group, Inc. 2021. Performance Bonus Plan</w:t>
              </w:r>
            </w:hyperlink>
          </w:p>
        </w:tc>
        <w:tc>
          <w:tcPr>
            <w:tcW w:w="244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00" w:type="dxa"/>
            <w:vAlign w:val="bottom"/>
          </w:tcPr>
          <w:p>
            <w:pPr>
              <w:jc w:val="center"/>
              <w:ind w:right="80"/>
              <w:spacing w:after="0"/>
              <w:rPr>
                <w:sz w:val="20"/>
                <w:szCs w:val="20"/>
                <w:color w:val="auto"/>
              </w:rPr>
            </w:pPr>
            <w:r>
              <w:rPr>
                <w:rFonts w:ascii="Arial" w:cs="Arial" w:eastAsia="Arial" w:hAnsi="Arial"/>
                <w:sz w:val="16"/>
                <w:szCs w:val="16"/>
                <w:color w:val="auto"/>
                <w:w w:val="88"/>
              </w:rPr>
              <w:t>10.4˄</w:t>
            </w:r>
          </w:p>
        </w:tc>
        <w:tc>
          <w:tcPr>
            <w:tcW w:w="5660" w:type="dxa"/>
            <w:vAlign w:val="bottom"/>
            <w:gridSpan w:val="20"/>
          </w:tcPr>
          <w:p>
            <w:pPr>
              <w:spacing w:after="0"/>
              <w:rPr>
                <w:rFonts w:ascii="Arial" w:cs="Arial" w:eastAsia="Arial" w:hAnsi="Arial"/>
                <w:sz w:val="16"/>
                <w:szCs w:val="16"/>
                <w:color w:val="0000FF"/>
              </w:rPr>
            </w:pPr>
            <w:hyperlink r:id="rId109">
              <w:r>
                <w:rPr>
                  <w:rFonts w:ascii="Arial" w:cs="Arial" w:eastAsia="Arial" w:hAnsi="Arial"/>
                  <w:sz w:val="16"/>
                  <w:szCs w:val="16"/>
                  <w:color w:val="0000FF"/>
                </w:rPr>
                <w:t>Lucid Group, Inc. 2021 Executive Severance Benefit Plan and Summary Plan</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109">
              <w:r>
                <w:rPr>
                  <w:rFonts w:ascii="Arial" w:cs="Arial" w:eastAsia="Arial" w:hAnsi="Arial"/>
                  <w:sz w:val="16"/>
                  <w:szCs w:val="16"/>
                  <w:color w:val="0000FF"/>
                  <w:w w:val="92"/>
                </w:rPr>
                <w:t>Description</w:t>
              </w:r>
            </w:hyperlink>
          </w:p>
        </w:tc>
        <w:tc>
          <w:tcPr>
            <w:tcW w:w="428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800" w:type="dxa"/>
            <w:vAlign w:val="bottom"/>
          </w:tcPr>
          <w:p>
            <w:pPr>
              <w:jc w:val="center"/>
              <w:ind w:right="80"/>
              <w:spacing w:after="0"/>
              <w:rPr>
                <w:sz w:val="20"/>
                <w:szCs w:val="20"/>
                <w:color w:val="auto"/>
              </w:rPr>
            </w:pPr>
            <w:r>
              <w:rPr>
                <w:rFonts w:ascii="Arial" w:cs="Arial" w:eastAsia="Arial" w:hAnsi="Arial"/>
                <w:sz w:val="16"/>
                <w:szCs w:val="16"/>
                <w:color w:val="auto"/>
                <w:w w:val="88"/>
              </w:rPr>
              <w:t>10.5˄</w:t>
            </w:r>
          </w:p>
        </w:tc>
        <w:tc>
          <w:tcPr>
            <w:tcW w:w="5660" w:type="dxa"/>
            <w:vAlign w:val="bottom"/>
            <w:gridSpan w:val="20"/>
          </w:tcPr>
          <w:p>
            <w:pPr>
              <w:spacing w:after="0"/>
              <w:rPr>
                <w:rFonts w:ascii="Arial" w:cs="Arial" w:eastAsia="Arial" w:hAnsi="Arial"/>
                <w:sz w:val="16"/>
                <w:szCs w:val="16"/>
                <w:color w:val="0000FF"/>
              </w:rPr>
            </w:pPr>
            <w:hyperlink r:id="rId110">
              <w:r>
                <w:rPr>
                  <w:rFonts w:ascii="Arial" w:cs="Arial" w:eastAsia="Arial" w:hAnsi="Arial"/>
                  <w:sz w:val="16"/>
                  <w:szCs w:val="16"/>
                  <w:color w:val="0000FF"/>
                </w:rPr>
                <w:t>Form of Participation Agreement under the Lucid Group, Inc. 2021 Executive</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06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Severance Benefit Plan</w:t>
              </w:r>
            </w:hyperlink>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ind w:right="80"/>
              <w:spacing w:after="0"/>
              <w:rPr>
                <w:sz w:val="20"/>
                <w:szCs w:val="20"/>
                <w:color w:val="auto"/>
              </w:rPr>
            </w:pPr>
            <w:r>
              <w:rPr>
                <w:rFonts w:ascii="Arial" w:cs="Arial" w:eastAsia="Arial" w:hAnsi="Arial"/>
                <w:sz w:val="16"/>
                <w:szCs w:val="16"/>
                <w:color w:val="auto"/>
                <w:w w:val="88"/>
              </w:rPr>
              <w:t>10.6˄</w:t>
            </w:r>
          </w:p>
        </w:tc>
        <w:tc>
          <w:tcPr>
            <w:tcW w:w="1500" w:type="dxa"/>
            <w:vAlign w:val="bottom"/>
            <w:gridSpan w:val="2"/>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00" w:type="dxa"/>
            <w:vAlign w:val="bottom"/>
            <w:vMerge w:val="continue"/>
          </w:tcPr>
          <w:p>
            <w:pPr>
              <w:spacing w:after="0"/>
              <w:rPr>
                <w:sz w:val="24"/>
                <w:szCs w:val="24"/>
                <w:color w:val="auto"/>
              </w:rPr>
            </w:pPr>
          </w:p>
        </w:tc>
        <w:tc>
          <w:tcPr>
            <w:tcW w:w="5660" w:type="dxa"/>
            <w:vAlign w:val="bottom"/>
            <w:gridSpan w:val="20"/>
          </w:tcPr>
          <w:p>
            <w:pPr>
              <w:spacing w:after="0"/>
              <w:rPr>
                <w:rFonts w:ascii="Arial" w:cs="Arial" w:eastAsia="Arial" w:hAnsi="Arial"/>
                <w:sz w:val="16"/>
                <w:szCs w:val="16"/>
                <w:color w:val="0000FF"/>
                <w:w w:val="97"/>
              </w:rPr>
            </w:pPr>
            <w:hyperlink r:id="rId111">
              <w:r>
                <w:rPr>
                  <w:rFonts w:ascii="Arial" w:cs="Arial" w:eastAsia="Arial" w:hAnsi="Arial"/>
                  <w:sz w:val="16"/>
                  <w:szCs w:val="16"/>
                  <w:color w:val="0000FF"/>
                  <w:w w:val="97"/>
                </w:rPr>
                <w:t>Lucid Group, Inc. 2021 Stock Incentive Plan (including the Lucid Group, Inc. 2021</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4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Employee Stock Purchase Plan, attached thereto)</w:t>
              </w:r>
            </w:hyperlink>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180" w:type="dxa"/>
            <w:vAlign w:val="bottom"/>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 w:type="dxa"/>
            <w:vAlign w:val="bottom"/>
          </w:tcPr>
          <w:p>
            <w:pPr>
              <w:jc w:val="center"/>
              <w:ind w:right="80"/>
              <w:spacing w:after="0"/>
              <w:rPr>
                <w:sz w:val="20"/>
                <w:szCs w:val="20"/>
                <w:color w:val="auto"/>
              </w:rPr>
            </w:pPr>
            <w:r>
              <w:rPr>
                <w:rFonts w:ascii="Arial" w:cs="Arial" w:eastAsia="Arial" w:hAnsi="Arial"/>
                <w:sz w:val="16"/>
                <w:szCs w:val="16"/>
                <w:color w:val="auto"/>
                <w:w w:val="89"/>
              </w:rPr>
              <w:t>31.1</w:t>
            </w:r>
          </w:p>
        </w:tc>
        <w:tc>
          <w:tcPr>
            <w:tcW w:w="5660" w:type="dxa"/>
            <w:vAlign w:val="bottom"/>
            <w:gridSpan w:val="20"/>
          </w:tcPr>
          <w:p>
            <w:pPr>
              <w:spacing w:after="0"/>
              <w:rPr>
                <w:rFonts w:ascii="Arial" w:cs="Arial" w:eastAsia="Arial" w:hAnsi="Arial"/>
                <w:sz w:val="16"/>
                <w:szCs w:val="16"/>
                <w:color w:val="0000FF"/>
                <w:w w:val="95"/>
              </w:rPr>
            </w:pPr>
            <w:hyperlink w:anchor="page100">
              <w:r>
                <w:rPr>
                  <w:rFonts w:ascii="Arial" w:cs="Arial" w:eastAsia="Arial" w:hAnsi="Arial"/>
                  <w:sz w:val="16"/>
                  <w:szCs w:val="16"/>
                  <w:color w:val="0000FF"/>
                  <w:w w:val="95"/>
                </w:rPr>
                <w:t>Certification of Principal Executive Officer Required Under Rule 13a-14(a) and 15d-</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52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w:anchor="page100">
              <w:r>
                <w:rPr>
                  <w:rFonts w:ascii="Arial" w:cs="Arial" w:eastAsia="Arial" w:hAnsi="Arial"/>
                  <w:sz w:val="16"/>
                  <w:szCs w:val="16"/>
                  <w:color w:val="0000FF"/>
                </w:rPr>
                <w:t>14(a) of the Securities Exchange Act of 1934, as amended</w:t>
              </w:r>
            </w:hyperlink>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380" w:type="dxa"/>
            <w:vAlign w:val="bottom"/>
            <w:gridSpan w:val="7"/>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ind w:right="80"/>
              <w:spacing w:after="0"/>
              <w:rPr>
                <w:sz w:val="20"/>
                <w:szCs w:val="20"/>
                <w:color w:val="auto"/>
              </w:rPr>
            </w:pPr>
            <w:r>
              <w:rPr>
                <w:rFonts w:ascii="Arial" w:cs="Arial" w:eastAsia="Arial" w:hAnsi="Arial"/>
                <w:sz w:val="16"/>
                <w:szCs w:val="16"/>
                <w:color w:val="auto"/>
                <w:w w:val="89"/>
              </w:rPr>
              <w:t>31.2</w:t>
            </w:r>
          </w:p>
        </w:tc>
        <w:tc>
          <w:tcPr>
            <w:tcW w:w="5660" w:type="dxa"/>
            <w:vAlign w:val="bottom"/>
            <w:gridSpan w:val="20"/>
          </w:tcPr>
          <w:p>
            <w:pPr>
              <w:spacing w:after="0"/>
              <w:rPr>
                <w:rFonts w:ascii="Arial" w:cs="Arial" w:eastAsia="Arial" w:hAnsi="Arial"/>
                <w:sz w:val="16"/>
                <w:szCs w:val="16"/>
                <w:color w:val="0000FF"/>
                <w:w w:val="94"/>
              </w:rPr>
            </w:pPr>
            <w:hyperlink w:anchor="page101">
              <w:r>
                <w:rPr>
                  <w:rFonts w:ascii="Arial" w:cs="Arial" w:eastAsia="Arial" w:hAnsi="Arial"/>
                  <w:sz w:val="16"/>
                  <w:szCs w:val="16"/>
                  <w:color w:val="0000FF"/>
                  <w:w w:val="94"/>
                </w:rPr>
                <w:t>Certification of Chief Financial Officer Required Under Rule 13a-14(a) and 15d-14(a)</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5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w:anchor="page101">
              <w:r>
                <w:rPr>
                  <w:rFonts w:ascii="Arial" w:cs="Arial" w:eastAsia="Arial" w:hAnsi="Arial"/>
                  <w:sz w:val="16"/>
                  <w:szCs w:val="16"/>
                  <w:color w:val="0000FF"/>
                </w:rPr>
                <w:t>of the Securities Exchange Act of 1934, as amended</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380" w:type="dxa"/>
            <w:vAlign w:val="bottom"/>
            <w:gridSpan w:val="7"/>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ind w:right="80"/>
              <w:spacing w:after="0"/>
              <w:rPr>
                <w:sz w:val="20"/>
                <w:szCs w:val="20"/>
                <w:color w:val="auto"/>
              </w:rPr>
            </w:pPr>
            <w:r>
              <w:rPr>
                <w:rFonts w:ascii="Arial" w:cs="Arial" w:eastAsia="Arial" w:hAnsi="Arial"/>
                <w:sz w:val="16"/>
                <w:szCs w:val="16"/>
                <w:color w:val="auto"/>
                <w:w w:val="89"/>
              </w:rPr>
              <w:t>32.1</w:t>
            </w:r>
          </w:p>
        </w:tc>
        <w:tc>
          <w:tcPr>
            <w:tcW w:w="5660" w:type="dxa"/>
            <w:vAlign w:val="bottom"/>
            <w:gridSpan w:val="20"/>
          </w:tcPr>
          <w:p>
            <w:pPr>
              <w:spacing w:after="0"/>
              <w:rPr>
                <w:rFonts w:ascii="Arial" w:cs="Arial" w:eastAsia="Arial" w:hAnsi="Arial"/>
                <w:sz w:val="16"/>
                <w:szCs w:val="16"/>
                <w:color w:val="0000FF"/>
                <w:w w:val="98"/>
              </w:rPr>
            </w:pPr>
            <w:hyperlink w:anchor="page102">
              <w:r>
                <w:rPr>
                  <w:rFonts w:ascii="Arial" w:cs="Arial" w:eastAsia="Arial" w:hAnsi="Arial"/>
                  <w:sz w:val="16"/>
                  <w:szCs w:val="16"/>
                  <w:color w:val="0000FF"/>
                  <w:w w:val="98"/>
                </w:rPr>
                <w:t>Certification of Principal Executive Officer pursuant to 18 U.S.C. Section 1350, as</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3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w:anchor="page102">
              <w:r>
                <w:rPr>
                  <w:rFonts w:ascii="Arial" w:cs="Arial" w:eastAsia="Arial" w:hAnsi="Arial"/>
                  <w:sz w:val="16"/>
                  <w:szCs w:val="16"/>
                  <w:color w:val="0000FF"/>
                </w:rPr>
                <w:t>adopted pursuant to Section 906 of the Sarbanes-Oxley Act of 2002</w:t>
              </w:r>
            </w:hyperlink>
          </w:p>
        </w:tc>
        <w:tc>
          <w:tcPr>
            <w:tcW w:w="28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840" w:type="dxa"/>
            <w:vAlign w:val="bottom"/>
            <w:gridSpan w:val="9"/>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ind w:right="80"/>
              <w:spacing w:after="0"/>
              <w:rPr>
                <w:sz w:val="20"/>
                <w:szCs w:val="20"/>
                <w:color w:val="auto"/>
              </w:rPr>
            </w:pPr>
            <w:r>
              <w:rPr>
                <w:rFonts w:ascii="Arial" w:cs="Arial" w:eastAsia="Arial" w:hAnsi="Arial"/>
                <w:sz w:val="16"/>
                <w:szCs w:val="16"/>
                <w:color w:val="auto"/>
                <w:w w:val="89"/>
              </w:rPr>
              <w:t>32.2</w:t>
            </w:r>
          </w:p>
        </w:tc>
        <w:tc>
          <w:tcPr>
            <w:tcW w:w="5660" w:type="dxa"/>
            <w:vAlign w:val="bottom"/>
            <w:gridSpan w:val="20"/>
          </w:tcPr>
          <w:p>
            <w:pPr>
              <w:spacing w:after="0"/>
              <w:rPr>
                <w:rFonts w:ascii="Arial" w:cs="Arial" w:eastAsia="Arial" w:hAnsi="Arial"/>
                <w:sz w:val="16"/>
                <w:szCs w:val="16"/>
                <w:color w:val="0000FF"/>
                <w:w w:val="92"/>
              </w:rPr>
            </w:pPr>
            <w:hyperlink w:anchor="page103">
              <w:r>
                <w:rPr>
                  <w:rFonts w:ascii="Arial" w:cs="Arial" w:eastAsia="Arial" w:hAnsi="Arial"/>
                  <w:sz w:val="16"/>
                  <w:szCs w:val="16"/>
                  <w:color w:val="0000FF"/>
                  <w:w w:val="92"/>
                </w:rPr>
                <w:t>Certification of Chief Financial Officer pursuant to 18 U.S.C. Section 1350, as adopted</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1"/>
              </w:rPr>
            </w:pPr>
            <w:hyperlink w:anchor="page103">
              <w:r>
                <w:rPr>
                  <w:rFonts w:ascii="Arial" w:cs="Arial" w:eastAsia="Arial" w:hAnsi="Arial"/>
                  <w:sz w:val="16"/>
                  <w:szCs w:val="16"/>
                  <w:color w:val="0000FF"/>
                  <w:w w:val="91"/>
                </w:rPr>
                <w:t>pursuant to Section 906 of the Sarbanes-Oxley Act of 2002</w:t>
              </w:r>
            </w:hyperlink>
          </w:p>
        </w:tc>
        <w:tc>
          <w:tcPr>
            <w:tcW w:w="180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800" w:type="dxa"/>
            <w:vAlign w:val="bottom"/>
          </w:tcPr>
          <w:p>
            <w:pPr>
              <w:jc w:val="center"/>
              <w:ind w:right="100"/>
              <w:spacing w:after="0"/>
              <w:rPr>
                <w:sz w:val="20"/>
                <w:szCs w:val="20"/>
                <w:color w:val="auto"/>
              </w:rPr>
            </w:pPr>
            <w:r>
              <w:rPr>
                <w:rFonts w:ascii="Arial" w:cs="Arial" w:eastAsia="Arial" w:hAnsi="Arial"/>
                <w:sz w:val="16"/>
                <w:szCs w:val="16"/>
                <w:color w:val="auto"/>
                <w:w w:val="93"/>
              </w:rPr>
              <w:t>101.INS</w:t>
            </w:r>
          </w:p>
        </w:tc>
        <w:tc>
          <w:tcPr>
            <w:tcW w:w="5660" w:type="dxa"/>
            <w:vAlign w:val="bottom"/>
            <w:gridSpan w:val="20"/>
          </w:tcPr>
          <w:p>
            <w:pPr>
              <w:spacing w:after="0"/>
              <w:rPr>
                <w:sz w:val="20"/>
                <w:szCs w:val="20"/>
                <w:color w:val="auto"/>
              </w:rPr>
            </w:pPr>
            <w:r>
              <w:rPr>
                <w:rFonts w:ascii="Arial" w:cs="Arial" w:eastAsia="Arial" w:hAnsi="Arial"/>
                <w:sz w:val="16"/>
                <w:szCs w:val="16"/>
                <w:color w:val="auto"/>
              </w:rPr>
              <w:t>Inline XBRL Instance Document (the instance document does not appear in the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660" w:type="dxa"/>
            <w:vAlign w:val="bottom"/>
            <w:gridSpan w:val="20"/>
          </w:tcPr>
          <w:p>
            <w:pPr>
              <w:spacing w:after="0" w:line="162" w:lineRule="exact"/>
              <w:rPr>
                <w:sz w:val="20"/>
                <w:szCs w:val="20"/>
                <w:color w:val="auto"/>
              </w:rPr>
            </w:pPr>
            <w:r>
              <w:rPr>
                <w:rFonts w:ascii="Arial" w:cs="Arial" w:eastAsia="Arial" w:hAnsi="Arial"/>
                <w:sz w:val="16"/>
                <w:szCs w:val="16"/>
                <w:color w:val="auto"/>
                <w:w w:val="97"/>
              </w:rPr>
              <w:t>Interactive Data File because its XBRL tags are embedded within the Inline XBRL</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5660" w:type="dxa"/>
            <w:vAlign w:val="bottom"/>
            <w:gridSpan w:val="20"/>
          </w:tcPr>
          <w:p>
            <w:pPr>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270"/>
        </w:trPr>
        <w:tc>
          <w:tcPr>
            <w:tcW w:w="800" w:type="dxa"/>
            <w:vAlign w:val="bottom"/>
          </w:tcPr>
          <w:p>
            <w:pPr>
              <w:jc w:val="center"/>
              <w:ind w:right="80"/>
              <w:spacing w:after="0"/>
              <w:rPr>
                <w:sz w:val="20"/>
                <w:szCs w:val="20"/>
                <w:color w:val="auto"/>
              </w:rPr>
            </w:pPr>
            <w:r>
              <w:rPr>
                <w:rFonts w:ascii="Arial" w:cs="Arial" w:eastAsia="Arial" w:hAnsi="Arial"/>
                <w:sz w:val="16"/>
                <w:szCs w:val="16"/>
                <w:color w:val="auto"/>
                <w:w w:val="92"/>
              </w:rPr>
              <w:t>101.SCH</w:t>
            </w:r>
          </w:p>
        </w:tc>
        <w:tc>
          <w:tcPr>
            <w:tcW w:w="5660" w:type="dxa"/>
            <w:vAlign w:val="bottom"/>
            <w:gridSpan w:val="20"/>
          </w:tcPr>
          <w:p>
            <w:pPr>
              <w:spacing w:after="0"/>
              <w:rPr>
                <w:sz w:val="20"/>
                <w:szCs w:val="20"/>
                <w:color w:val="auto"/>
              </w:rPr>
            </w:pPr>
            <w:r>
              <w:rPr>
                <w:rFonts w:ascii="Arial" w:cs="Arial" w:eastAsia="Arial" w:hAnsi="Arial"/>
                <w:sz w:val="16"/>
                <w:szCs w:val="16"/>
                <w:color w:val="auto"/>
              </w:rPr>
              <w:t>Inline XBRL Taxonomy Schema Linkbase Document</w:t>
            </w:r>
          </w:p>
        </w:tc>
        <w:tc>
          <w:tcPr>
            <w:tcW w:w="0" w:type="dxa"/>
            <w:vAlign w:val="bottom"/>
          </w:tcPr>
          <w:p>
            <w:pPr>
              <w:spacing w:after="0"/>
              <w:rPr>
                <w:sz w:val="1"/>
                <w:szCs w:val="1"/>
                <w:color w:val="auto"/>
              </w:rPr>
            </w:pPr>
          </w:p>
        </w:tc>
      </w:tr>
      <w:tr>
        <w:trPr>
          <w:trHeight w:val="270"/>
        </w:trPr>
        <w:tc>
          <w:tcPr>
            <w:tcW w:w="800" w:type="dxa"/>
            <w:vAlign w:val="bottom"/>
          </w:tcPr>
          <w:p>
            <w:pPr>
              <w:jc w:val="center"/>
              <w:ind w:right="100"/>
              <w:spacing w:after="0"/>
              <w:rPr>
                <w:sz w:val="20"/>
                <w:szCs w:val="20"/>
                <w:color w:val="auto"/>
              </w:rPr>
            </w:pPr>
            <w:r>
              <w:rPr>
                <w:rFonts w:ascii="Arial" w:cs="Arial" w:eastAsia="Arial" w:hAnsi="Arial"/>
                <w:sz w:val="16"/>
                <w:szCs w:val="16"/>
                <w:color w:val="auto"/>
                <w:w w:val="99"/>
              </w:rPr>
              <w:t>101.CAL</w:t>
            </w:r>
          </w:p>
        </w:tc>
        <w:tc>
          <w:tcPr>
            <w:tcW w:w="5660" w:type="dxa"/>
            <w:vAlign w:val="bottom"/>
            <w:gridSpan w:val="20"/>
          </w:tcPr>
          <w:p>
            <w:pPr>
              <w:spacing w:after="0"/>
              <w:rPr>
                <w:sz w:val="20"/>
                <w:szCs w:val="20"/>
                <w:color w:val="auto"/>
              </w:rPr>
            </w:pPr>
            <w:r>
              <w:rPr>
                <w:rFonts w:ascii="Arial" w:cs="Arial" w:eastAsia="Arial" w:hAnsi="Arial"/>
                <w:sz w:val="16"/>
                <w:szCs w:val="16"/>
                <w:color w:val="auto"/>
              </w:rPr>
              <w:t>Inline XBRL Taxonomy Calculation Linkbase Document</w:t>
            </w:r>
          </w:p>
        </w:tc>
        <w:tc>
          <w:tcPr>
            <w:tcW w:w="0" w:type="dxa"/>
            <w:vAlign w:val="bottom"/>
          </w:tcPr>
          <w:p>
            <w:pPr>
              <w:spacing w:after="0"/>
              <w:rPr>
                <w:sz w:val="1"/>
                <w:szCs w:val="1"/>
                <w:color w:val="auto"/>
              </w:rPr>
            </w:pPr>
          </w:p>
        </w:tc>
      </w:tr>
      <w:tr>
        <w:trPr>
          <w:trHeight w:val="270"/>
        </w:trPr>
        <w:tc>
          <w:tcPr>
            <w:tcW w:w="800" w:type="dxa"/>
            <w:vAlign w:val="bottom"/>
          </w:tcPr>
          <w:p>
            <w:pPr>
              <w:jc w:val="center"/>
              <w:ind w:right="100"/>
              <w:spacing w:after="0"/>
              <w:rPr>
                <w:sz w:val="20"/>
                <w:szCs w:val="20"/>
                <w:color w:val="auto"/>
              </w:rPr>
            </w:pPr>
            <w:r>
              <w:rPr>
                <w:rFonts w:ascii="Arial" w:cs="Arial" w:eastAsia="Arial" w:hAnsi="Arial"/>
                <w:sz w:val="16"/>
                <w:szCs w:val="16"/>
                <w:color w:val="auto"/>
                <w:w w:val="91"/>
              </w:rPr>
              <w:t>101.DEF</w:t>
            </w:r>
          </w:p>
        </w:tc>
        <w:tc>
          <w:tcPr>
            <w:tcW w:w="5660" w:type="dxa"/>
            <w:vAlign w:val="bottom"/>
            <w:gridSpan w:val="20"/>
          </w:tcPr>
          <w:p>
            <w:pPr>
              <w:spacing w:after="0"/>
              <w:rPr>
                <w:sz w:val="20"/>
                <w:szCs w:val="20"/>
                <w:color w:val="auto"/>
              </w:rPr>
            </w:pPr>
            <w:r>
              <w:rPr>
                <w:rFonts w:ascii="Arial" w:cs="Arial" w:eastAsia="Arial" w:hAnsi="Arial"/>
                <w:sz w:val="16"/>
                <w:szCs w:val="16"/>
                <w:color w:val="auto"/>
              </w:rPr>
              <w:t>Inline XBRL Taxonomy Definition Linkbase Document</w:t>
            </w:r>
          </w:p>
        </w:tc>
        <w:tc>
          <w:tcPr>
            <w:tcW w:w="0" w:type="dxa"/>
            <w:vAlign w:val="bottom"/>
          </w:tcPr>
          <w:p>
            <w:pPr>
              <w:spacing w:after="0"/>
              <w:rPr>
                <w:sz w:val="1"/>
                <w:szCs w:val="1"/>
                <w:color w:val="auto"/>
              </w:rPr>
            </w:pPr>
          </w:p>
        </w:tc>
      </w:tr>
      <w:tr>
        <w:trPr>
          <w:trHeight w:val="270"/>
        </w:trPr>
        <w:tc>
          <w:tcPr>
            <w:tcW w:w="800" w:type="dxa"/>
            <w:vAlign w:val="bottom"/>
          </w:tcPr>
          <w:p>
            <w:pPr>
              <w:jc w:val="center"/>
              <w:ind w:right="100"/>
              <w:spacing w:after="0"/>
              <w:rPr>
                <w:sz w:val="20"/>
                <w:szCs w:val="20"/>
                <w:color w:val="auto"/>
              </w:rPr>
            </w:pPr>
            <w:r>
              <w:rPr>
                <w:rFonts w:ascii="Arial" w:cs="Arial" w:eastAsia="Arial" w:hAnsi="Arial"/>
                <w:sz w:val="16"/>
                <w:szCs w:val="16"/>
                <w:color w:val="auto"/>
              </w:rPr>
              <w:t>101.LAB</w:t>
            </w:r>
          </w:p>
        </w:tc>
        <w:tc>
          <w:tcPr>
            <w:tcW w:w="5660" w:type="dxa"/>
            <w:vAlign w:val="bottom"/>
            <w:gridSpan w:val="20"/>
          </w:tcPr>
          <w:p>
            <w:pPr>
              <w:spacing w:after="0"/>
              <w:rPr>
                <w:sz w:val="20"/>
                <w:szCs w:val="20"/>
                <w:color w:val="auto"/>
              </w:rPr>
            </w:pPr>
            <w:r>
              <w:rPr>
                <w:rFonts w:ascii="Arial" w:cs="Arial" w:eastAsia="Arial" w:hAnsi="Arial"/>
                <w:sz w:val="16"/>
                <w:szCs w:val="16"/>
                <w:color w:val="auto"/>
              </w:rPr>
              <w:t>Inline XBRL Taxonomy Labels Linkbase Document</w:t>
            </w:r>
          </w:p>
        </w:tc>
        <w:tc>
          <w:tcPr>
            <w:tcW w:w="0" w:type="dxa"/>
            <w:vAlign w:val="bottom"/>
          </w:tcPr>
          <w:p>
            <w:pPr>
              <w:spacing w:after="0"/>
              <w:rPr>
                <w:sz w:val="1"/>
                <w:szCs w:val="1"/>
                <w:color w:val="auto"/>
              </w:rPr>
            </w:pPr>
          </w:p>
        </w:tc>
      </w:tr>
      <w:tr>
        <w:trPr>
          <w:trHeight w:val="270"/>
        </w:trPr>
        <w:tc>
          <w:tcPr>
            <w:tcW w:w="800" w:type="dxa"/>
            <w:vAlign w:val="bottom"/>
          </w:tcPr>
          <w:p>
            <w:pPr>
              <w:jc w:val="center"/>
              <w:ind w:right="100"/>
              <w:spacing w:after="0"/>
              <w:rPr>
                <w:sz w:val="20"/>
                <w:szCs w:val="20"/>
                <w:color w:val="auto"/>
              </w:rPr>
            </w:pPr>
            <w:r>
              <w:rPr>
                <w:rFonts w:ascii="Arial" w:cs="Arial" w:eastAsia="Arial" w:hAnsi="Arial"/>
                <w:sz w:val="16"/>
                <w:szCs w:val="16"/>
                <w:color w:val="auto"/>
                <w:w w:val="90"/>
              </w:rPr>
              <w:t>101.PRE</w:t>
            </w:r>
          </w:p>
        </w:tc>
        <w:tc>
          <w:tcPr>
            <w:tcW w:w="5660" w:type="dxa"/>
            <w:vAlign w:val="bottom"/>
            <w:gridSpan w:val="20"/>
          </w:tcPr>
          <w:p>
            <w:pPr>
              <w:spacing w:after="0"/>
              <w:rPr>
                <w:sz w:val="20"/>
                <w:szCs w:val="20"/>
                <w:color w:val="auto"/>
              </w:rPr>
            </w:pPr>
            <w:r>
              <w:rPr>
                <w:rFonts w:ascii="Arial" w:cs="Arial" w:eastAsia="Arial" w:hAnsi="Arial"/>
                <w:sz w:val="16"/>
                <w:szCs w:val="16"/>
                <w:color w:val="auto"/>
              </w:rPr>
              <w:t>Inline XBRL Taxonomy Presentation Linkbase Document</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872" w:right="100" w:hanging="609"/>
        <w:spacing w:after="0"/>
        <w:tabs>
          <w:tab w:leader="none" w:pos="872" w:val="left"/>
        </w:tabs>
        <w:numPr>
          <w:ilvl w:val="1"/>
          <w:numId w:val="41"/>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91" w:lineRule="exact"/>
        <w:rPr>
          <w:rFonts w:ascii="Arial" w:cs="Arial" w:eastAsia="Arial" w:hAnsi="Arial"/>
          <w:sz w:val="16"/>
          <w:szCs w:val="16"/>
          <w:color w:val="auto"/>
        </w:rPr>
      </w:pPr>
    </w:p>
    <w:p>
      <w:pPr>
        <w:ind w:left="112" w:hanging="112"/>
        <w:spacing w:after="0"/>
        <w:tabs>
          <w:tab w:leader="none" w:pos="11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71"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Incorporation by Reference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File Number</w:t>
            </w:r>
          </w:p>
        </w:tc>
        <w:tc>
          <w:tcPr>
            <w:tcW w:w="1120" w:type="dxa"/>
            <w:vAlign w:val="bottom"/>
            <w:tcBorders>
              <w:top w:val="single" w:sz="8" w:color="auto"/>
            </w:tcBorders>
          </w:tcPr>
          <w:p>
            <w:pPr>
              <w:jc w:val="center"/>
              <w:ind w:right="1"/>
              <w:spacing w:after="0" w:line="141" w:lineRule="exact"/>
              <w:rPr>
                <w:sz w:val="20"/>
                <w:szCs w:val="20"/>
                <w:color w:val="auto"/>
              </w:rPr>
            </w:pPr>
            <w:r>
              <w:rPr>
                <w:rFonts w:ascii="Arial" w:cs="Arial" w:eastAsia="Arial" w:hAnsi="Arial"/>
                <w:sz w:val="14"/>
                <w:szCs w:val="14"/>
                <w:b w:val="1"/>
                <w:bCs w:val="1"/>
                <w:color w:val="auto"/>
                <w:w w:val="96"/>
              </w:rPr>
              <w:t>Filing</w:t>
            </w:r>
          </w:p>
        </w:tc>
        <w:tc>
          <w:tcPr>
            <w:tcW w:w="84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8"/>
              </w:rPr>
              <w:t>Exhibit</w:t>
            </w:r>
          </w:p>
        </w:tc>
        <w:tc>
          <w:tcPr>
            <w:tcW w:w="8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6"/>
        </w:trPr>
        <w:tc>
          <w:tcPr>
            <w:tcW w:w="5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67"/>
        </w:trPr>
        <w:tc>
          <w:tcPr>
            <w:tcW w:w="56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001-39408</w:t>
            </w:r>
          </w:p>
        </w:tc>
        <w:tc>
          <w:tcPr>
            <w:tcW w:w="1120" w:type="dxa"/>
            <w:vAlign w:val="bottom"/>
          </w:tcPr>
          <w:p>
            <w:pPr>
              <w:jc w:val="center"/>
              <w:spacing w:after="0"/>
              <w:rPr>
                <w:sz w:val="20"/>
                <w:szCs w:val="20"/>
                <w:color w:val="auto"/>
              </w:rPr>
            </w:pPr>
            <w:r>
              <w:rPr>
                <w:rFonts w:ascii="Arial" w:cs="Arial" w:eastAsia="Arial" w:hAnsi="Arial"/>
                <w:sz w:val="16"/>
                <w:szCs w:val="16"/>
                <w:color w:val="auto"/>
                <w:w w:val="90"/>
              </w:rPr>
              <w:t>July 26, 2021</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001-39408</w:t>
            </w:r>
          </w:p>
        </w:tc>
        <w:tc>
          <w:tcPr>
            <w:tcW w:w="1120" w:type="dxa"/>
            <w:vAlign w:val="bottom"/>
          </w:tcPr>
          <w:p>
            <w:pPr>
              <w:jc w:val="center"/>
              <w:spacing w:after="0"/>
              <w:rPr>
                <w:sz w:val="20"/>
                <w:szCs w:val="20"/>
                <w:color w:val="auto"/>
              </w:rPr>
            </w:pPr>
            <w:r>
              <w:rPr>
                <w:rFonts w:ascii="Arial" w:cs="Arial" w:eastAsia="Arial" w:hAnsi="Arial"/>
                <w:sz w:val="16"/>
                <w:szCs w:val="16"/>
                <w:color w:val="auto"/>
                <w:w w:val="90"/>
              </w:rPr>
              <w:t>July 26, 2021</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432"/>
        </w:trPr>
        <w:tc>
          <w:tcPr>
            <w:tcW w:w="56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001-39408</w:t>
            </w:r>
          </w:p>
        </w:tc>
        <w:tc>
          <w:tcPr>
            <w:tcW w:w="1120" w:type="dxa"/>
            <w:vAlign w:val="bottom"/>
          </w:tcPr>
          <w:p>
            <w:pPr>
              <w:jc w:val="center"/>
              <w:spacing w:after="0"/>
              <w:rPr>
                <w:sz w:val="20"/>
                <w:szCs w:val="20"/>
                <w:color w:val="auto"/>
              </w:rPr>
            </w:pPr>
            <w:r>
              <w:rPr>
                <w:rFonts w:ascii="Arial" w:cs="Arial" w:eastAsia="Arial" w:hAnsi="Arial"/>
                <w:sz w:val="16"/>
                <w:szCs w:val="16"/>
                <w:color w:val="auto"/>
                <w:w w:val="90"/>
              </w:rPr>
              <w:t>July 26, 2021</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001-39408</w:t>
            </w:r>
          </w:p>
        </w:tc>
        <w:tc>
          <w:tcPr>
            <w:tcW w:w="1120" w:type="dxa"/>
            <w:vAlign w:val="bottom"/>
          </w:tcPr>
          <w:p>
            <w:pPr>
              <w:jc w:val="center"/>
              <w:spacing w:after="0"/>
              <w:rPr>
                <w:sz w:val="20"/>
                <w:szCs w:val="20"/>
                <w:color w:val="auto"/>
              </w:rPr>
            </w:pPr>
            <w:r>
              <w:rPr>
                <w:rFonts w:ascii="Arial" w:cs="Arial" w:eastAsia="Arial" w:hAnsi="Arial"/>
                <w:sz w:val="16"/>
                <w:szCs w:val="16"/>
                <w:color w:val="auto"/>
                <w:w w:val="90"/>
              </w:rPr>
              <w:t>July 26, 2021</w:t>
            </w: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10.25</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56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001-39408</w:t>
            </w:r>
          </w:p>
        </w:tc>
        <w:tc>
          <w:tcPr>
            <w:tcW w:w="1120" w:type="dxa"/>
            <w:vAlign w:val="bottom"/>
          </w:tcPr>
          <w:p>
            <w:pPr>
              <w:jc w:val="center"/>
              <w:spacing w:after="0"/>
              <w:rPr>
                <w:sz w:val="20"/>
                <w:szCs w:val="20"/>
                <w:color w:val="auto"/>
              </w:rPr>
            </w:pPr>
            <w:r>
              <w:rPr>
                <w:rFonts w:ascii="Arial" w:cs="Arial" w:eastAsia="Arial" w:hAnsi="Arial"/>
                <w:sz w:val="16"/>
                <w:szCs w:val="16"/>
                <w:color w:val="auto"/>
                <w:w w:val="90"/>
              </w:rPr>
              <w:t>July 26, 2021</w:t>
            </w: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10.26</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001-39408</w:t>
            </w:r>
          </w:p>
        </w:tc>
        <w:tc>
          <w:tcPr>
            <w:tcW w:w="1120" w:type="dxa"/>
            <w:vAlign w:val="bottom"/>
          </w:tcPr>
          <w:p>
            <w:pPr>
              <w:jc w:val="center"/>
              <w:spacing w:after="0"/>
              <w:rPr>
                <w:sz w:val="20"/>
                <w:szCs w:val="20"/>
                <w:color w:val="auto"/>
              </w:rPr>
            </w:pPr>
            <w:r>
              <w:rPr>
                <w:rFonts w:ascii="Arial" w:cs="Arial" w:eastAsia="Arial" w:hAnsi="Arial"/>
                <w:sz w:val="16"/>
                <w:szCs w:val="16"/>
                <w:color w:val="auto"/>
                <w:w w:val="90"/>
              </w:rPr>
              <w:t>July 26, 2021</w:t>
            </w: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10.27</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6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001-39408</w:t>
            </w:r>
          </w:p>
        </w:tc>
        <w:tc>
          <w:tcPr>
            <w:tcW w:w="1120" w:type="dxa"/>
            <w:vAlign w:val="bottom"/>
          </w:tcPr>
          <w:p>
            <w:pPr>
              <w:jc w:val="center"/>
              <w:spacing w:after="0"/>
              <w:rPr>
                <w:sz w:val="20"/>
                <w:szCs w:val="20"/>
                <w:color w:val="auto"/>
              </w:rPr>
            </w:pPr>
            <w:r>
              <w:rPr>
                <w:rFonts w:ascii="Arial" w:cs="Arial" w:eastAsia="Arial" w:hAnsi="Arial"/>
                <w:sz w:val="16"/>
                <w:szCs w:val="16"/>
                <w:color w:val="auto"/>
                <w:w w:val="90"/>
              </w:rPr>
              <w:t>July 26, 2021</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X</w:t>
      </w:r>
    </w:p>
    <w:p>
      <w:pPr>
        <w:spacing w:after="0" w:line="24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X</w:t>
      </w:r>
    </w:p>
    <w:p>
      <w:pPr>
        <w:spacing w:after="0" w:line="24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X</w:t>
      </w:r>
    </w:p>
    <w:p>
      <w:pPr>
        <w:spacing w:after="0" w:line="24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X</w:t>
      </w:r>
    </w:p>
    <w:p>
      <w:pPr>
        <w:spacing w:after="0" w:line="24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10"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6512" w:space="200"/>
            <w:col w:w="4380"/>
          </w:cols>
          <w:pgMar w:left="328" w:top="985" w:right="47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20" w:type="dxa"/>
            <w:vAlign w:val="bottom"/>
            <w:gridSpan w:val="2"/>
          </w:tcPr>
          <w:p>
            <w:pPr>
              <w:ind w:left="1820"/>
              <w:spacing w:after="0"/>
              <w:rPr>
                <w:sz w:val="20"/>
                <w:szCs w:val="20"/>
                <w:color w:val="auto"/>
              </w:rPr>
            </w:pPr>
            <w:r>
              <w:rPr>
                <w:rFonts w:ascii="Arial" w:cs="Arial" w:eastAsia="Arial" w:hAnsi="Arial"/>
                <w:sz w:val="18"/>
                <w:szCs w:val="18"/>
                <w:b w:val="1"/>
                <w:bCs w:val="1"/>
                <w:color w:val="auto"/>
              </w:rPr>
              <w:t>LUCID GROUP, INC.</w:t>
            </w:r>
          </w:p>
        </w:tc>
      </w:tr>
      <w:tr>
        <w:trPr>
          <w:trHeight w:val="527"/>
        </w:trPr>
        <w:tc>
          <w:tcPr>
            <w:tcW w:w="3700" w:type="dxa"/>
            <w:vAlign w:val="bottom"/>
          </w:tcPr>
          <w:p>
            <w:pPr>
              <w:spacing w:after="0"/>
              <w:rPr>
                <w:sz w:val="20"/>
                <w:szCs w:val="20"/>
                <w:color w:val="auto"/>
              </w:rPr>
            </w:pPr>
            <w:r>
              <w:rPr>
                <w:rFonts w:ascii="Arial" w:cs="Arial" w:eastAsia="Arial" w:hAnsi="Arial"/>
                <w:sz w:val="18"/>
                <w:szCs w:val="18"/>
                <w:color w:val="auto"/>
              </w:rPr>
              <w:t>Date: November 15, 2021</w:t>
            </w:r>
          </w:p>
        </w:tc>
        <w:tc>
          <w:tcPr>
            <w:tcW w:w="7520" w:type="dxa"/>
            <w:vAlign w:val="bottom"/>
            <w:gridSpan w:val="2"/>
          </w:tcPr>
          <w:p>
            <w:pPr>
              <w:ind w:left="1820"/>
              <w:spacing w:after="0"/>
              <w:rPr>
                <w:sz w:val="20"/>
                <w:szCs w:val="20"/>
                <w:color w:val="auto"/>
              </w:rPr>
            </w:pPr>
            <w:r>
              <w:rPr>
                <w:rFonts w:ascii="Arial" w:cs="Arial" w:eastAsia="Arial" w:hAnsi="Arial"/>
                <w:sz w:val="18"/>
                <w:szCs w:val="18"/>
                <w:color w:val="auto"/>
              </w:rPr>
              <w:t>By:  /s/ Sherry House</w:t>
            </w:r>
          </w:p>
        </w:tc>
      </w:tr>
      <w:tr>
        <w:trPr>
          <w:trHeight w:val="222"/>
        </w:trPr>
        <w:tc>
          <w:tcPr>
            <w:tcW w:w="37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Sherry House</w:t>
            </w:r>
          </w:p>
        </w:tc>
      </w:tr>
      <w:tr>
        <w:trPr>
          <w:trHeight w:val="230"/>
        </w:trPr>
        <w:tc>
          <w:tcPr>
            <w:tcW w:w="37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Title: Chief Financial Officer</w:t>
            </w:r>
          </w:p>
        </w:tc>
      </w:tr>
      <w:tr>
        <w:trPr>
          <w:trHeight w:val="581"/>
        </w:trPr>
        <w:tc>
          <w:tcPr>
            <w:tcW w:w="3700" w:type="dxa"/>
            <w:vAlign w:val="bottom"/>
          </w:tcPr>
          <w:p>
            <w:pPr>
              <w:spacing w:after="0"/>
              <w:rPr>
                <w:sz w:val="24"/>
                <w:szCs w:val="24"/>
                <w:color w:val="auto"/>
              </w:rPr>
            </w:pPr>
          </w:p>
        </w:tc>
        <w:tc>
          <w:tcPr>
            <w:tcW w:w="2200" w:type="dxa"/>
            <w:vAlign w:val="bottom"/>
          </w:tcPr>
          <w:p>
            <w:pPr>
              <w:ind w:left="1820"/>
              <w:spacing w:after="0"/>
              <w:rPr>
                <w:sz w:val="20"/>
                <w:szCs w:val="20"/>
                <w:color w:val="auto"/>
              </w:rPr>
            </w:pPr>
            <w:r>
              <w:rPr>
                <w:rFonts w:ascii="Arial" w:cs="Arial" w:eastAsia="Arial" w:hAnsi="Arial"/>
                <w:sz w:val="18"/>
                <w:szCs w:val="18"/>
                <w:color w:val="auto"/>
              </w:rPr>
              <w:t>89</w:t>
            </w:r>
          </w:p>
        </w:tc>
        <w:tc>
          <w:tcPr>
            <w:tcW w:w="5320" w:type="dxa"/>
            <w:vAlign w:val="bottom"/>
          </w:tcPr>
          <w:p>
            <w:pPr>
              <w:spacing w:after="0"/>
              <w:rPr>
                <w:sz w:val="24"/>
                <w:szCs w:val="24"/>
                <w:color w:val="auto"/>
              </w:rPr>
            </w:pPr>
          </w:p>
        </w:tc>
      </w:tr>
    </w:tbl>
    <w:p>
      <w:pPr>
        <w:sectPr>
          <w:pgSz w:w="11900" w:h="16838" w:orient="portrait"/>
          <w:cols w:equalWidth="0" w:num="1">
            <w:col w:w="11240"/>
          </w:cols>
          <w:pgMar w:left="320" w:top="98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LUCID GROUP,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REPURCHASE AGREEMENT</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This Stock Repurchase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made as of October 8, 2021, by and between Lucid Group,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the individual identified on the signature page below (the “</w:t>
      </w:r>
      <w:r>
        <w:rPr>
          <w:rFonts w:ascii="Arial" w:cs="Arial" w:eastAsia="Arial" w:hAnsi="Arial"/>
          <w:sz w:val="20"/>
          <w:szCs w:val="20"/>
          <w:b w:val="1"/>
          <w:bCs w:val="1"/>
          <w:color w:val="auto"/>
        </w:rPr>
        <w:t>Selling Stockholder</w:t>
      </w:r>
      <w:r>
        <w:rPr>
          <w:rFonts w:ascii="Arial" w:cs="Arial" w:eastAsia="Arial" w:hAnsi="Arial"/>
          <w:sz w:val="20"/>
          <w:szCs w:val="20"/>
          <w:color w:val="auto"/>
        </w:rPr>
        <w:t>”).</w:t>
      </w:r>
    </w:p>
    <w:p>
      <w:pPr>
        <w:spacing w:after="0" w:line="11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Selling Stockholder purchased shares of Atieva, Inc. Series E Preferred Shares in a sale that closed on April 2, 2021 at a purchase price of $7.90 per share (the “</w:t>
      </w:r>
      <w:r>
        <w:rPr>
          <w:rFonts w:ascii="Arial" w:cs="Arial" w:eastAsia="Arial" w:hAnsi="Arial"/>
          <w:sz w:val="20"/>
          <w:szCs w:val="20"/>
          <w:b w:val="1"/>
          <w:bCs w:val="1"/>
          <w:color w:val="auto"/>
        </w:rPr>
        <w:t>Series E Sale</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WHEREAS, it was subsequently determined that the fair market value of Series E Preferred Shares on April 2, 2021 exceeded $7.90 per share and that the difference between the purchase price and the fair market value must be treated as compensation for tax purposes with respect to the Selling Stockholder;</w:t>
      </w:r>
    </w:p>
    <w:p>
      <w:pPr>
        <w:spacing w:after="0" w:line="12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WHEREAS, the Selling Stockholder is liable for the Tax Withholding Amount and the Other Taxes Amount (each as defined below) as a result of the Series E Sale;</w:t>
      </w:r>
    </w:p>
    <w:p>
      <w:pPr>
        <w:spacing w:after="0" w:line="123" w:lineRule="exact"/>
        <w:rPr>
          <w:sz w:val="20"/>
          <w:szCs w:val="20"/>
          <w:color w:val="auto"/>
        </w:rPr>
      </w:pPr>
    </w:p>
    <w:p>
      <w:pPr>
        <w:jc w:val="both"/>
        <w:ind w:right="20" w:firstLine="648"/>
        <w:spacing w:after="0" w:line="300" w:lineRule="auto"/>
        <w:rPr>
          <w:sz w:val="20"/>
          <w:szCs w:val="20"/>
          <w:color w:val="auto"/>
        </w:rPr>
      </w:pPr>
      <w:r>
        <w:rPr>
          <w:rFonts w:ascii="Arial" w:cs="Arial" w:eastAsia="Arial" w:hAnsi="Arial"/>
          <w:sz w:val="18"/>
          <w:szCs w:val="18"/>
          <w:color w:val="auto"/>
        </w:rPr>
        <w:t>WHEREAS, at the closing of the Company’s business combination with Atieva, Inc. on July 23, 2021, each share of Atieva, Inc. Series E Preferred Stock automatically converted into 2.644 shares of the Company’s Class A common stock, par value $0.0001 per share;</w:t>
      </w:r>
    </w:p>
    <w:p>
      <w:pPr>
        <w:spacing w:after="0" w:line="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WHEREAS, the Board has duly authorized the Selling Stockholder to sell to the Company on the Closing Date (as defined below), subject to the terms of this Agreement, a number of shares of the Company’s Class A common stock, par value $0.0001 per share, as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to this Agreement (the “</w:t>
      </w:r>
      <w:r>
        <w:rPr>
          <w:rFonts w:ascii="Arial" w:cs="Arial" w:eastAsia="Arial" w:hAnsi="Arial"/>
          <w:sz w:val="19"/>
          <w:szCs w:val="19"/>
          <w:b w:val="1"/>
          <w:bCs w:val="1"/>
          <w:color w:val="auto"/>
        </w:rPr>
        <w:t>Shares</w:t>
      </w:r>
      <w:r>
        <w:rPr>
          <w:rFonts w:ascii="Arial" w:cs="Arial" w:eastAsia="Arial" w:hAnsi="Arial"/>
          <w:sz w:val="19"/>
          <w:szCs w:val="19"/>
          <w:color w:val="auto"/>
        </w:rPr>
        <w:t xml:space="preserve">”) at the Per Share Price (as defined below), for the sole purpose of generating cash to satisfy (i) the tax withholding due in connection with the Series E Sale (as defined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the “</w:t>
      </w:r>
      <w:r>
        <w:rPr>
          <w:rFonts w:ascii="Arial" w:cs="Arial" w:eastAsia="Arial" w:hAnsi="Arial"/>
          <w:sz w:val="19"/>
          <w:szCs w:val="19"/>
          <w:b w:val="1"/>
          <w:bCs w:val="1"/>
          <w:color w:val="auto"/>
        </w:rPr>
        <w:t>Tax Withholding Amount</w:t>
      </w:r>
      <w:r>
        <w:rPr>
          <w:rFonts w:ascii="Arial" w:cs="Arial" w:eastAsia="Arial" w:hAnsi="Arial"/>
          <w:sz w:val="19"/>
          <w:szCs w:val="19"/>
          <w:color w:val="auto"/>
        </w:rPr>
        <w:t xml:space="preserve">”), (ii) other applicable taxes, including Medicare (as defined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the “</w:t>
      </w:r>
      <w:r>
        <w:rPr>
          <w:rFonts w:ascii="Arial" w:cs="Arial" w:eastAsia="Arial" w:hAnsi="Arial"/>
          <w:sz w:val="19"/>
          <w:szCs w:val="19"/>
          <w:b w:val="1"/>
          <w:bCs w:val="1"/>
          <w:color w:val="auto"/>
        </w:rPr>
        <w:t>Other Taxes Amount</w:t>
      </w:r>
      <w:r>
        <w:rPr>
          <w:rFonts w:ascii="Arial" w:cs="Arial" w:eastAsia="Arial" w:hAnsi="Arial"/>
          <w:sz w:val="19"/>
          <w:szCs w:val="19"/>
          <w:color w:val="auto"/>
        </w:rPr>
        <w:t xml:space="preserve">”) and (iii) the tax liability in respect of the capital gains realized in connection with the sale of the Shares to the Company pursuant to this Agreement (as defined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the “</w:t>
      </w:r>
      <w:r>
        <w:rPr>
          <w:rFonts w:ascii="Arial" w:cs="Arial" w:eastAsia="Arial" w:hAnsi="Arial"/>
          <w:sz w:val="19"/>
          <w:szCs w:val="19"/>
          <w:b w:val="1"/>
          <w:bCs w:val="1"/>
          <w:color w:val="auto"/>
        </w:rPr>
        <w:t>Capital Gains Tax Liability Amount</w:t>
      </w:r>
      <w:r>
        <w:rPr>
          <w:rFonts w:ascii="Arial" w:cs="Arial" w:eastAsia="Arial" w:hAnsi="Arial"/>
          <w:sz w:val="19"/>
          <w:szCs w:val="19"/>
          <w:color w:val="auto"/>
        </w:rPr>
        <w:t>”);</w:t>
      </w:r>
    </w:p>
    <w:p>
      <w:pPr>
        <w:spacing w:after="0" w:line="1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WHEREAS, under the Company’s Amended and Restated Bylaws, the Selling Stockholder may not sell Lock-Up Securities (as defined in Section 5.04 of the Company’s Amended and Restated Bylaws) until January 19, 2022 without the prior written consent of the Company’s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which the Board may grant in its sole discretion at any time;</w:t>
      </w:r>
    </w:p>
    <w:p>
      <w:pPr>
        <w:spacing w:after="0" w:line="11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WHEREAS, the Selling Stockholder desires to sell the Shares to the Company, and the Company desires to repurchase the Shares from the Selling Stockholder, on the terms and conditions set forth herein, in order to satisfy the Tax Withholding Amount, the Other Taxes Amount and the Capital Gains Tax Liability Amount.</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NOW, THEREFORE, in consideration of the mutual promises and covenants set forth in this Agreement, and other good and valuable consideration, the receipt and sufficiency of which is hereby acknowledged, the parties hereby agree as follows:</w:t>
      </w:r>
    </w:p>
    <w:p>
      <w:pPr>
        <w:spacing w:after="0" w:line="133" w:lineRule="exact"/>
        <w:rPr>
          <w:sz w:val="20"/>
          <w:szCs w:val="20"/>
          <w:color w:val="auto"/>
        </w:rPr>
      </w:pPr>
    </w:p>
    <w:p>
      <w:pPr>
        <w:ind w:left="600" w:hanging="592"/>
        <w:spacing w:after="0"/>
        <w:tabs>
          <w:tab w:leader="none" w:pos="600" w:val="left"/>
        </w:tabs>
        <w:numPr>
          <w:ilvl w:val="0"/>
          <w:numId w:val="42"/>
        </w:numPr>
        <w:rPr>
          <w:rFonts w:ascii="Arial" w:cs="Arial" w:eastAsia="Arial" w:hAnsi="Arial"/>
          <w:sz w:val="22"/>
          <w:szCs w:val="22"/>
          <w:color w:val="auto"/>
        </w:rPr>
      </w:pPr>
      <w:r>
        <w:rPr>
          <w:rFonts w:ascii="Arial" w:cs="Arial" w:eastAsia="Arial" w:hAnsi="Arial"/>
          <w:sz w:val="20"/>
          <w:szCs w:val="20"/>
          <w:b w:val="1"/>
          <w:bCs w:val="1"/>
          <w:i w:val="1"/>
          <w:iCs w:val="1"/>
          <w:color w:val="auto"/>
        </w:rPr>
        <w:t>Repurchase of Shares</w:t>
      </w:r>
      <w:r>
        <w:rPr>
          <w:rFonts w:ascii="Arial" w:cs="Arial" w:eastAsia="Arial" w:hAnsi="Arial"/>
          <w:sz w:val="20"/>
          <w:szCs w:val="20"/>
          <w:color w:val="auto"/>
        </w:rPr>
        <w:t>.</w:t>
      </w:r>
    </w:p>
    <w:p>
      <w:pPr>
        <w:spacing w:after="0" w:line="137"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19"/>
          <w:szCs w:val="19"/>
          <w:i w:val="1"/>
          <w:iCs w:val="1"/>
          <w:color w:val="auto"/>
        </w:rPr>
        <w:t>Repurchase</w:t>
      </w:r>
      <w:r>
        <w:rPr>
          <w:rFonts w:ascii="Arial" w:cs="Arial" w:eastAsia="Arial" w:hAnsi="Arial"/>
          <w:sz w:val="19"/>
          <w:szCs w:val="19"/>
          <w:color w:val="auto"/>
        </w:rPr>
        <w:t>. Subject to the terms and conditions of this Agreement, the Selling Stockholder hereby agrees to sell to the</w:t>
      </w:r>
      <w:r>
        <w:rPr>
          <w:rFonts w:ascii="Arial" w:cs="Arial" w:eastAsia="Arial" w:hAnsi="Arial"/>
          <w:sz w:val="22"/>
          <w:szCs w:val="22"/>
          <w:color w:val="auto"/>
        </w:rPr>
        <w:t xml:space="preserve"> </w:t>
      </w:r>
      <w:r>
        <w:rPr>
          <w:rFonts w:ascii="Arial" w:cs="Arial" w:eastAsia="Arial" w:hAnsi="Arial"/>
          <w:sz w:val="19"/>
          <w:szCs w:val="19"/>
          <w:color w:val="auto"/>
        </w:rPr>
        <w:t>Company, and the Company hereby agrees to purchase from the Selling Stockholder, the Shares, at the average closing price on the Nasdaq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#95138036v1</w:t>
      </w:r>
    </w:p>
    <w:p>
      <w:pPr>
        <w:sectPr>
          <w:pgSz w:w="11900" w:h="16838" w:orient="portrait"/>
          <w:cols w:equalWidth="0" w:num="1">
            <w:col w:w="11240"/>
          </w:cols>
          <w:pgMar w:left="320" w:top="118" w:right="339" w:bottom="1440" w:gutter="0" w:footer="0" w:header="0"/>
        </w:sectPr>
      </w:pPr>
    </w:p>
    <w:bookmarkStart w:id="90" w:name="page91"/>
    <w:bookmarkEnd w:id="90"/>
    <w:p>
      <w:pPr>
        <w:spacing w:after="0" w:line="14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Select Market of the Common Stock for the three trading day period ending on and including the second trading day immediately preceding the Closing Date (the “</w:t>
      </w:r>
      <w:r>
        <w:rPr>
          <w:rFonts w:ascii="Arial" w:cs="Arial" w:eastAsia="Arial" w:hAnsi="Arial"/>
          <w:sz w:val="20"/>
          <w:szCs w:val="20"/>
          <w:b w:val="1"/>
          <w:bCs w:val="1"/>
          <w:color w:val="auto"/>
        </w:rPr>
        <w:t>Per Share Price</w:t>
      </w:r>
      <w:r>
        <w:rPr>
          <w:rFonts w:ascii="Arial" w:cs="Arial" w:eastAsia="Arial" w:hAnsi="Arial"/>
          <w:sz w:val="20"/>
          <w:szCs w:val="20"/>
          <w:color w:val="auto"/>
        </w:rPr>
        <w:t>”). The product of the Shares, multiplied by the Per Share Price, is referred to in this Agreement as the Purchase Price.</w:t>
      </w:r>
    </w:p>
    <w:p>
      <w:pPr>
        <w:spacing w:after="0" w:line="12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19"/>
          <w:szCs w:val="19"/>
          <w:i w:val="1"/>
          <w:iCs w:val="1"/>
          <w:color w:val="auto"/>
        </w:rPr>
        <w:t>Closing</w:t>
      </w:r>
      <w:r>
        <w:rPr>
          <w:rFonts w:ascii="Arial" w:cs="Arial" w:eastAsia="Arial" w:hAnsi="Arial"/>
          <w:sz w:val="19"/>
          <w:szCs w:val="19"/>
          <w:color w:val="auto"/>
        </w:rPr>
        <w:t>. The closing shall occur on October 8, 2021 (the “</w:t>
      </w:r>
      <w:r>
        <w:rPr>
          <w:rFonts w:ascii="Arial" w:cs="Arial" w:eastAsia="Arial" w:hAnsi="Arial"/>
          <w:sz w:val="19"/>
          <w:szCs w:val="19"/>
          <w:b w:val="1"/>
          <w:bCs w:val="1"/>
          <w:color w:val="auto"/>
        </w:rPr>
        <w:t>Closing Date</w:t>
      </w:r>
      <w:r>
        <w:rPr>
          <w:rFonts w:ascii="Arial" w:cs="Arial" w:eastAsia="Arial" w:hAnsi="Arial"/>
          <w:sz w:val="19"/>
          <w:szCs w:val="19"/>
          <w:color w:val="auto"/>
        </w:rPr>
        <w:t>”), subject to deferral as set forth herein. Delivery of,</w:t>
      </w:r>
      <w:r>
        <w:rPr>
          <w:rFonts w:ascii="Arial" w:cs="Arial" w:eastAsia="Arial" w:hAnsi="Arial"/>
          <w:sz w:val="22"/>
          <w:szCs w:val="22"/>
          <w:color w:val="auto"/>
        </w:rPr>
        <w:t xml:space="preserve"> </w:t>
      </w:r>
      <w:r>
        <w:rPr>
          <w:rFonts w:ascii="Arial" w:cs="Arial" w:eastAsia="Arial" w:hAnsi="Arial"/>
          <w:sz w:val="19"/>
          <w:szCs w:val="19"/>
          <w:color w:val="auto"/>
        </w:rPr>
        <w:t>and payment for, the Shares as set forth herein are referred to as the “</w:t>
      </w:r>
      <w:r>
        <w:rPr>
          <w:rFonts w:ascii="Arial" w:cs="Arial" w:eastAsia="Arial" w:hAnsi="Arial"/>
          <w:sz w:val="19"/>
          <w:szCs w:val="19"/>
          <w:b w:val="1"/>
          <w:bCs w:val="1"/>
          <w:color w:val="auto"/>
        </w:rPr>
        <w:t>Closing.</w:t>
      </w:r>
      <w:r>
        <w:rPr>
          <w:rFonts w:ascii="Arial" w:cs="Arial" w:eastAsia="Arial" w:hAnsi="Arial"/>
          <w:sz w:val="19"/>
          <w:szCs w:val="19"/>
          <w:color w:val="auto"/>
        </w:rPr>
        <w:t>”</w:t>
      </w:r>
    </w:p>
    <w:p>
      <w:pPr>
        <w:spacing w:after="0" w:line="124"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19"/>
          <w:szCs w:val="19"/>
          <w:i w:val="1"/>
          <w:iCs w:val="1"/>
          <w:color w:val="auto"/>
        </w:rPr>
        <w:t>Delivery</w:t>
      </w:r>
      <w:r>
        <w:rPr>
          <w:rFonts w:ascii="Arial" w:cs="Arial" w:eastAsia="Arial" w:hAnsi="Arial"/>
          <w:sz w:val="19"/>
          <w:szCs w:val="19"/>
          <w:color w:val="auto"/>
        </w:rPr>
        <w:t>. On or before the Closing Date, the Selling Stockholder shall deliver to the Company (i) a Stock Power duly</w:t>
      </w:r>
      <w:r>
        <w:rPr>
          <w:rFonts w:ascii="Arial" w:cs="Arial" w:eastAsia="Arial" w:hAnsi="Arial"/>
          <w:sz w:val="22"/>
          <w:szCs w:val="22"/>
          <w:color w:val="auto"/>
        </w:rPr>
        <w:t xml:space="preserve"> </w:t>
      </w:r>
      <w:r>
        <w:rPr>
          <w:rFonts w:ascii="Arial" w:cs="Arial" w:eastAsia="Arial" w:hAnsi="Arial"/>
          <w:sz w:val="19"/>
          <w:szCs w:val="19"/>
          <w:color w:val="auto"/>
        </w:rPr>
        <w:t xml:space="preserve">executed in blank by Seller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assigning all of Selling Stockholder’s right, title and interest in and to the Shares, and (ii) an amount of cash equal to the Cash Remittance (as defined in Annex A), if any.</w:t>
      </w:r>
    </w:p>
    <w:p>
      <w:pPr>
        <w:spacing w:after="0" w:line="12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19"/>
          <w:szCs w:val="19"/>
          <w:i w:val="1"/>
          <w:iCs w:val="1"/>
          <w:color w:val="auto"/>
        </w:rPr>
        <w:t>Payment</w:t>
      </w:r>
      <w:r>
        <w:rPr>
          <w:rFonts w:ascii="Arial" w:cs="Arial" w:eastAsia="Arial" w:hAnsi="Arial"/>
          <w:sz w:val="19"/>
          <w:szCs w:val="19"/>
          <w:color w:val="auto"/>
        </w:rPr>
        <w:t>. Promptly after the Closing Date, subject to the satisfaction of the terms and conditions hereof, the Company</w:t>
      </w:r>
      <w:r>
        <w:rPr>
          <w:rFonts w:ascii="Arial" w:cs="Arial" w:eastAsia="Arial" w:hAnsi="Arial"/>
          <w:sz w:val="22"/>
          <w:szCs w:val="22"/>
          <w:color w:val="auto"/>
        </w:rPr>
        <w:t xml:space="preserve"> </w:t>
      </w:r>
      <w:r>
        <w:rPr>
          <w:rFonts w:ascii="Arial" w:cs="Arial" w:eastAsia="Arial" w:hAnsi="Arial"/>
          <w:sz w:val="19"/>
          <w:szCs w:val="19"/>
          <w:color w:val="auto"/>
        </w:rPr>
        <w:t xml:space="preserve">shall deliver cash to the applicable tax authorities in the amount of the Tax Withholding Amount plus the Other Taxes Amount plus the Capital Gains Tax Liability plus the Cash Remittance (as defined in </w:t>
      </w:r>
      <w:r>
        <w:rPr>
          <w:rFonts w:ascii="Arial" w:cs="Arial" w:eastAsia="Arial" w:hAnsi="Arial"/>
          <w:sz w:val="19"/>
          <w:szCs w:val="19"/>
          <w:u w:val="single" w:color="auto"/>
          <w:color w:val="auto"/>
        </w:rPr>
        <w:t>Annex A</w:t>
      </w:r>
      <w:r>
        <w:rPr>
          <w:rFonts w:ascii="Arial" w:cs="Arial" w:eastAsia="Arial" w:hAnsi="Arial"/>
          <w:sz w:val="19"/>
          <w:szCs w:val="19"/>
          <w:color w:val="auto"/>
        </w:rPr>
        <w:t>). The Selling Stockholder acknowledges and agrees that the Company will not deliver any payment for the Shares to the Selling Stockholder.</w:t>
      </w:r>
    </w:p>
    <w:p>
      <w:pPr>
        <w:spacing w:after="0" w:line="144" w:lineRule="exact"/>
        <w:rPr>
          <w:sz w:val="20"/>
          <w:szCs w:val="20"/>
          <w:color w:val="auto"/>
        </w:rPr>
      </w:pPr>
    </w:p>
    <w:p>
      <w:pPr>
        <w:ind w:firstLine="8"/>
        <w:spacing w:after="0" w:line="238" w:lineRule="auto"/>
        <w:tabs>
          <w:tab w:leader="none" w:pos="607" w:val="left"/>
        </w:tabs>
        <w:numPr>
          <w:ilvl w:val="0"/>
          <w:numId w:val="43"/>
        </w:numPr>
        <w:rPr>
          <w:rFonts w:ascii="Arial" w:cs="Arial" w:eastAsia="Arial" w:hAnsi="Arial"/>
          <w:sz w:val="22"/>
          <w:szCs w:val="22"/>
          <w:color w:val="auto"/>
        </w:rPr>
      </w:pPr>
      <w:r>
        <w:rPr>
          <w:rFonts w:ascii="Arial" w:cs="Arial" w:eastAsia="Arial" w:hAnsi="Arial"/>
          <w:sz w:val="20"/>
          <w:szCs w:val="20"/>
          <w:b w:val="1"/>
          <w:bCs w:val="1"/>
          <w:i w:val="1"/>
          <w:iCs w:val="1"/>
          <w:color w:val="auto"/>
        </w:rPr>
        <w:t>Representations, Warranties and Covenants of the Selling Stockholder</w:t>
      </w:r>
      <w:r>
        <w:rPr>
          <w:rFonts w:ascii="Arial" w:cs="Arial" w:eastAsia="Arial" w:hAnsi="Arial"/>
          <w:sz w:val="20"/>
          <w:szCs w:val="20"/>
          <w:color w:val="auto"/>
        </w:rPr>
        <w:t>. The Selling Stockholder hereby represents, warrants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covenants to the Company as follows:</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2.1. </w:t>
      </w:r>
      <w:r>
        <w:rPr>
          <w:rFonts w:ascii="Arial" w:cs="Arial" w:eastAsia="Arial" w:hAnsi="Arial"/>
          <w:sz w:val="18"/>
          <w:szCs w:val="18"/>
          <w:i w:val="1"/>
          <w:iCs w:val="1"/>
          <w:color w:val="auto"/>
        </w:rPr>
        <w:t>Authority to Sell Shares</w:t>
      </w:r>
      <w:r>
        <w:rPr>
          <w:rFonts w:ascii="Arial" w:cs="Arial" w:eastAsia="Arial" w:hAnsi="Arial"/>
          <w:sz w:val="18"/>
          <w:szCs w:val="18"/>
          <w:color w:val="auto"/>
        </w:rPr>
        <w:t>. As of immediately prior to settlement on the Closing Date the Selling Stockholder will hold the</w:t>
      </w:r>
      <w:r>
        <w:rPr>
          <w:rFonts w:ascii="Arial" w:cs="Arial" w:eastAsia="Arial" w:hAnsi="Arial"/>
          <w:sz w:val="21"/>
          <w:szCs w:val="21"/>
          <w:color w:val="auto"/>
        </w:rPr>
        <w:t xml:space="preserve"> </w:t>
      </w:r>
      <w:r>
        <w:rPr>
          <w:rFonts w:ascii="Arial" w:cs="Arial" w:eastAsia="Arial" w:hAnsi="Arial"/>
          <w:sz w:val="18"/>
          <w:szCs w:val="18"/>
          <w:color w:val="auto"/>
        </w:rPr>
        <w:t>Shares, free and clear of any pledge, lien, security interest, encumbrance, claim or equitable interest other than pursuant to this Agreement and upon transfer of the Shares to the Company, the Company will acquire good, marketable and unencumbered title thereto.</w:t>
      </w:r>
    </w:p>
    <w:p>
      <w:pPr>
        <w:spacing w:after="0" w:line="9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2.2. </w:t>
      </w:r>
      <w:r>
        <w:rPr>
          <w:rFonts w:ascii="Arial" w:cs="Arial" w:eastAsia="Arial" w:hAnsi="Arial"/>
          <w:sz w:val="19"/>
          <w:szCs w:val="19"/>
          <w:i w:val="1"/>
          <w:iCs w:val="1"/>
          <w:color w:val="auto"/>
        </w:rPr>
        <w:t>Authority; Enforceability</w:t>
      </w:r>
      <w:r>
        <w:rPr>
          <w:rFonts w:ascii="Arial" w:cs="Arial" w:eastAsia="Arial" w:hAnsi="Arial"/>
          <w:sz w:val="19"/>
          <w:szCs w:val="19"/>
          <w:color w:val="auto"/>
        </w:rPr>
        <w:t>. The Selling Stockholder has all requisite power and authority to execute and deliver this</w:t>
      </w:r>
      <w:r>
        <w:rPr>
          <w:rFonts w:ascii="Arial" w:cs="Arial" w:eastAsia="Arial" w:hAnsi="Arial"/>
          <w:sz w:val="22"/>
          <w:szCs w:val="22"/>
          <w:color w:val="auto"/>
        </w:rPr>
        <w:t xml:space="preserve"> </w:t>
      </w:r>
      <w:r>
        <w:rPr>
          <w:rFonts w:ascii="Arial" w:cs="Arial" w:eastAsia="Arial" w:hAnsi="Arial"/>
          <w:sz w:val="19"/>
          <w:szCs w:val="19"/>
          <w:color w:val="auto"/>
        </w:rPr>
        <w:t>Agreement and to carry out and perform the obligations under the terms hereof and the transactions contemplated hereby. If the Selling Stockholder is married or in a civil union or domestic partnership, the spouse or partner of the Selling Stockholder has duly executed this Agreement, and references to “Selling Stockholder” refer to the Selling Stockholder together with the Selling Stockholder’s spouse or partner, as applicable. This Agreement has been duly authorized, executed and delivered by the Selling Stockholder and constitutes the valid and binding obligation of the Selling Stockholder, enforceable in accordance with its terms, subject to laws of general application relating to bankruptcy, insolvency and the relief of debtors, and rules of law governing specific performance, injunctive relief or other equitable remedies.</w:t>
      </w:r>
    </w:p>
    <w:p>
      <w:pPr>
        <w:spacing w:after="0" w:line="13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2.3. </w:t>
      </w:r>
      <w:r>
        <w:rPr>
          <w:rFonts w:ascii="Arial" w:cs="Arial" w:eastAsia="Arial" w:hAnsi="Arial"/>
          <w:sz w:val="19"/>
          <w:szCs w:val="19"/>
          <w:i w:val="1"/>
          <w:iCs w:val="1"/>
          <w:color w:val="auto"/>
        </w:rPr>
        <w:t>No Conflicts</w:t>
      </w:r>
      <w:r>
        <w:rPr>
          <w:rFonts w:ascii="Arial" w:cs="Arial" w:eastAsia="Arial" w:hAnsi="Arial"/>
          <w:sz w:val="19"/>
          <w:szCs w:val="19"/>
          <w:color w:val="auto"/>
        </w:rPr>
        <w:t>. Other than the transfer restrictions that apply to the Selling Stockholder in Article 5 Section 5.04 of the</w:t>
      </w:r>
      <w:r>
        <w:rPr>
          <w:rFonts w:ascii="Arial" w:cs="Arial" w:eastAsia="Arial" w:hAnsi="Arial"/>
          <w:sz w:val="22"/>
          <w:szCs w:val="22"/>
          <w:color w:val="auto"/>
        </w:rPr>
        <w:t xml:space="preserve"> </w:t>
      </w:r>
      <w:r>
        <w:rPr>
          <w:rFonts w:ascii="Arial" w:cs="Arial" w:eastAsia="Arial" w:hAnsi="Arial"/>
          <w:sz w:val="19"/>
          <w:szCs w:val="19"/>
          <w:color w:val="auto"/>
        </w:rPr>
        <w:t>Company’s Amended and Restated Bylaws, which the Board has duly waived for the repurchase of Shares described in this Agreement, the execution, delivery and performance of this Agreement by the Selling Stockholder and compliance by the Selling Stockholder with all provisions hereof and the consummation of the transactions contemplated hereby, will not (i) require any consent, approval, authorization or other order of, or qualification with, any court or governmental body or agency (except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#95138036v1</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4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required under the securities or Blue Sky laws of the various states), (ii) constitute a breach or violation of any of the terms or provisions of, or result in a default under any material indenture, loan agreement, mortgage, lease or other agreement or instrument to which any of the Selling Stockholder is a party or by which it is bound, or (iii) violate or conflict with any applicable law or any rule, regulation, judgment, decision, order or decree of any court or any governmental body or agency having jurisdiction over the Selling Stockholder.</w:t>
      </w:r>
    </w:p>
    <w:p>
      <w:pPr>
        <w:spacing w:after="0" w:line="10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 xml:space="preserve">2.4. </w:t>
      </w:r>
      <w:r>
        <w:rPr>
          <w:rFonts w:ascii="Arial" w:cs="Arial" w:eastAsia="Arial" w:hAnsi="Arial"/>
          <w:sz w:val="19"/>
          <w:szCs w:val="19"/>
          <w:i w:val="1"/>
          <w:iCs w:val="1"/>
          <w:color w:val="auto"/>
        </w:rPr>
        <w:t>Opportunity to Obtain Legal, Tax, or Investment Advice</w:t>
      </w:r>
      <w:r>
        <w:rPr>
          <w:rFonts w:ascii="Arial" w:cs="Arial" w:eastAsia="Arial" w:hAnsi="Arial"/>
          <w:sz w:val="19"/>
          <w:szCs w:val="19"/>
          <w:color w:val="auto"/>
        </w:rPr>
        <w:t>. The Selling Stockholder has had an opportunity to review the</w:t>
      </w:r>
      <w:r>
        <w:rPr>
          <w:rFonts w:ascii="Arial" w:cs="Arial" w:eastAsia="Arial" w:hAnsi="Arial"/>
          <w:sz w:val="22"/>
          <w:szCs w:val="22"/>
          <w:color w:val="auto"/>
        </w:rPr>
        <w:t xml:space="preserve"> </w:t>
      </w:r>
      <w:r>
        <w:rPr>
          <w:rFonts w:ascii="Arial" w:cs="Arial" w:eastAsia="Arial" w:hAnsi="Arial"/>
          <w:sz w:val="19"/>
          <w:szCs w:val="19"/>
          <w:color w:val="auto"/>
        </w:rPr>
        <w:t>federal, state, local, and non-U.S. tax consequences of its sale of the Shares to the Company. The Selling Stockholder understands that nothing in this Agreement or any other materials presented to the Selling Stockholder by the Company in connection with the sale and purchase of the Shares constitutes legal, tax, or investment advice. The Company has made available to the Selling Stockholder, at the Company’s expense, certain tax and advisory services provided by Deloitte LLP. Selling Stockholder acknowledges that the Company has not provided, and is not providing, tax advice to the Selling Stockholder. The Selling Stockholder has consulted such legal, tax, and investment advisors as the Selling Stockholder, in the Selling Stockholder’s sole discretion, has deemed necessary or appropriate in connection with the sale of the Shares hereunder. The Selling Stockholder acknowledges responsibility for any tax liability that may arise as a result of the sale of the Shares to the Company or the transactions contemplated by this Agreement.</w:t>
      </w:r>
    </w:p>
    <w:p>
      <w:pPr>
        <w:spacing w:after="0" w:line="12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2.5. </w:t>
      </w:r>
      <w:r>
        <w:rPr>
          <w:rFonts w:ascii="Arial" w:cs="Arial" w:eastAsia="Arial" w:hAnsi="Arial"/>
          <w:sz w:val="19"/>
          <w:szCs w:val="19"/>
          <w:i w:val="1"/>
          <w:iCs w:val="1"/>
          <w:color w:val="auto"/>
        </w:rPr>
        <w:t>Available Information</w:t>
      </w:r>
      <w:r>
        <w:rPr>
          <w:rFonts w:ascii="Arial" w:cs="Arial" w:eastAsia="Arial" w:hAnsi="Arial"/>
          <w:sz w:val="19"/>
          <w:szCs w:val="19"/>
          <w:color w:val="auto"/>
        </w:rPr>
        <w:t>. The Selling Stockholder has adequate information concerning the business and financial condition of</w:t>
      </w:r>
      <w:r>
        <w:rPr>
          <w:rFonts w:ascii="Arial" w:cs="Arial" w:eastAsia="Arial" w:hAnsi="Arial"/>
          <w:sz w:val="22"/>
          <w:szCs w:val="22"/>
          <w:color w:val="auto"/>
        </w:rPr>
        <w:t xml:space="preserve"> </w:t>
      </w:r>
      <w:r>
        <w:rPr>
          <w:rFonts w:ascii="Arial" w:cs="Arial" w:eastAsia="Arial" w:hAnsi="Arial"/>
          <w:sz w:val="19"/>
          <w:szCs w:val="19"/>
          <w:color w:val="auto"/>
        </w:rPr>
        <w:t>the Company as, in the Selling Stockholder’s judgment, is necessary to make an informed decision with respect to the Shares and the Company.</w:t>
      </w:r>
    </w:p>
    <w:p>
      <w:pPr>
        <w:spacing w:after="0" w:line="12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2.6. </w:t>
      </w:r>
      <w:r>
        <w:rPr>
          <w:rFonts w:ascii="Arial" w:cs="Arial" w:eastAsia="Arial" w:hAnsi="Arial"/>
          <w:sz w:val="19"/>
          <w:szCs w:val="19"/>
          <w:i w:val="1"/>
          <w:iCs w:val="1"/>
          <w:color w:val="auto"/>
        </w:rPr>
        <w:t>Tax Treatment of Repurchase.</w:t>
      </w:r>
      <w:r>
        <w:rPr>
          <w:rFonts w:ascii="Arial" w:cs="Arial" w:eastAsia="Arial" w:hAnsi="Arial"/>
          <w:sz w:val="22"/>
          <w:szCs w:val="22"/>
          <w:color w:val="auto"/>
        </w:rPr>
        <w:t xml:space="preserve"> </w:t>
      </w:r>
      <w:r>
        <w:rPr>
          <w:rFonts w:ascii="Arial" w:cs="Arial" w:eastAsia="Arial" w:hAnsi="Arial"/>
          <w:sz w:val="19"/>
          <w:szCs w:val="19"/>
          <w:color w:val="auto"/>
        </w:rPr>
        <w:t>The purchase of Shares pursuant to this Agreement shall be treated as a redemption described</w:t>
      </w:r>
      <w:r>
        <w:rPr>
          <w:rFonts w:ascii="Arial" w:cs="Arial" w:eastAsia="Arial" w:hAnsi="Arial"/>
          <w:sz w:val="22"/>
          <w:szCs w:val="22"/>
          <w:color w:val="auto"/>
        </w:rPr>
        <w:t xml:space="preserve"> </w:t>
      </w:r>
      <w:r>
        <w:rPr>
          <w:rFonts w:ascii="Arial" w:cs="Arial" w:eastAsia="Arial" w:hAnsi="Arial"/>
          <w:sz w:val="19"/>
          <w:szCs w:val="19"/>
          <w:color w:val="auto"/>
        </w:rPr>
        <w:t>in Section 302(a)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w:t>
      </w:r>
    </w:p>
    <w:p>
      <w:pPr>
        <w:spacing w:after="0" w:line="12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2.7. </w:t>
      </w:r>
      <w:r>
        <w:rPr>
          <w:rFonts w:ascii="Arial" w:cs="Arial" w:eastAsia="Arial" w:hAnsi="Arial"/>
          <w:sz w:val="19"/>
          <w:szCs w:val="19"/>
          <w:i w:val="1"/>
          <w:iCs w:val="1"/>
          <w:color w:val="auto"/>
        </w:rPr>
        <w:t>Accredited Purchaser.</w:t>
      </w:r>
      <w:r>
        <w:rPr>
          <w:rFonts w:ascii="Arial" w:cs="Arial" w:eastAsia="Arial" w:hAnsi="Arial"/>
          <w:sz w:val="22"/>
          <w:szCs w:val="22"/>
          <w:color w:val="auto"/>
        </w:rPr>
        <w:t xml:space="preserve"> </w:t>
      </w:r>
      <w:r>
        <w:rPr>
          <w:rFonts w:ascii="Arial" w:cs="Arial" w:eastAsia="Arial" w:hAnsi="Arial"/>
          <w:sz w:val="19"/>
          <w:szCs w:val="19"/>
          <w:color w:val="auto"/>
        </w:rPr>
        <w:t>The Selling Stockholder is an accredited investor as defined in Rule 501(a) of Regulation D</w:t>
      </w:r>
      <w:r>
        <w:rPr>
          <w:rFonts w:ascii="Arial" w:cs="Arial" w:eastAsia="Arial" w:hAnsi="Arial"/>
          <w:sz w:val="22"/>
          <w:szCs w:val="22"/>
          <w:color w:val="auto"/>
        </w:rPr>
        <w:t xml:space="preserve"> </w:t>
      </w:r>
      <w:r>
        <w:rPr>
          <w:rFonts w:ascii="Arial" w:cs="Arial" w:eastAsia="Arial" w:hAnsi="Arial"/>
          <w:sz w:val="19"/>
          <w:szCs w:val="19"/>
          <w:color w:val="auto"/>
        </w:rPr>
        <w:t>promulgated under the Securities Act.</w:t>
      </w:r>
    </w:p>
    <w:p>
      <w:pPr>
        <w:spacing w:after="0" w:line="142" w:lineRule="exact"/>
        <w:rPr>
          <w:sz w:val="20"/>
          <w:szCs w:val="20"/>
          <w:color w:val="auto"/>
        </w:rPr>
      </w:pPr>
    </w:p>
    <w:p>
      <w:pPr>
        <w:ind w:right="20" w:firstLine="8"/>
        <w:spacing w:after="0" w:line="238" w:lineRule="auto"/>
        <w:tabs>
          <w:tab w:leader="none" w:pos="607" w:val="left"/>
        </w:tabs>
        <w:numPr>
          <w:ilvl w:val="0"/>
          <w:numId w:val="44"/>
        </w:numPr>
        <w:rPr>
          <w:rFonts w:ascii="Arial" w:cs="Arial" w:eastAsia="Arial" w:hAnsi="Arial"/>
          <w:sz w:val="22"/>
          <w:szCs w:val="22"/>
          <w:color w:val="auto"/>
        </w:rPr>
      </w:pPr>
      <w:r>
        <w:rPr>
          <w:rFonts w:ascii="Arial" w:cs="Arial" w:eastAsia="Arial" w:hAnsi="Arial"/>
          <w:sz w:val="20"/>
          <w:szCs w:val="20"/>
          <w:b w:val="1"/>
          <w:bCs w:val="1"/>
          <w:i w:val="1"/>
          <w:iCs w:val="1"/>
          <w:color w:val="auto"/>
        </w:rPr>
        <w:t>Representations, Warranties and Covenants of the Company</w:t>
      </w:r>
      <w:r>
        <w:rPr>
          <w:rFonts w:ascii="Arial" w:cs="Arial" w:eastAsia="Arial" w:hAnsi="Arial"/>
          <w:sz w:val="20"/>
          <w:szCs w:val="20"/>
          <w:color w:val="auto"/>
        </w:rPr>
        <w:t>. The Company hereby represents and warrants and covenants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Selling Stockholder as follows:</w:t>
      </w:r>
    </w:p>
    <w:p>
      <w:pPr>
        <w:spacing w:after="0" w:line="12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19"/>
          <w:szCs w:val="19"/>
          <w:i w:val="1"/>
          <w:iCs w:val="1"/>
          <w:color w:val="auto"/>
        </w:rPr>
        <w:t>Authority; Enforceability</w:t>
      </w:r>
      <w:r>
        <w:rPr>
          <w:rFonts w:ascii="Arial" w:cs="Arial" w:eastAsia="Arial" w:hAnsi="Arial"/>
          <w:sz w:val="19"/>
          <w:szCs w:val="19"/>
          <w:color w:val="auto"/>
        </w:rPr>
        <w:t>. The Company has full right, power and authority to execute and deliver this Agreement, and all</w:t>
      </w:r>
      <w:r>
        <w:rPr>
          <w:rFonts w:ascii="Arial" w:cs="Arial" w:eastAsia="Arial" w:hAnsi="Arial"/>
          <w:sz w:val="22"/>
          <w:szCs w:val="22"/>
          <w:color w:val="auto"/>
        </w:rPr>
        <w:t xml:space="preserve"> </w:t>
      </w:r>
      <w:r>
        <w:rPr>
          <w:rFonts w:ascii="Arial" w:cs="Arial" w:eastAsia="Arial" w:hAnsi="Arial"/>
          <w:sz w:val="19"/>
          <w:szCs w:val="19"/>
          <w:color w:val="auto"/>
        </w:rPr>
        <w:t>action required to be taken for the due and proper authorization, execution and delivery by it of this Agreement and the consummation by it of the transactions contemplated hereby has been duly and validly taken and has taken all action necessary to authorize the transactions effected hereby. The Agreement has been duly authorized, executed and delivered by the Company.</w:t>
      </w:r>
    </w:p>
    <w:p>
      <w:pPr>
        <w:spacing w:after="0" w:line="12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19"/>
          <w:szCs w:val="19"/>
          <w:i w:val="1"/>
          <w:iCs w:val="1"/>
          <w:color w:val="auto"/>
        </w:rPr>
        <w:t>No Conflicts</w:t>
      </w:r>
      <w:r>
        <w:rPr>
          <w:rFonts w:ascii="Arial" w:cs="Arial" w:eastAsia="Arial" w:hAnsi="Arial"/>
          <w:sz w:val="19"/>
          <w:szCs w:val="19"/>
          <w:color w:val="auto"/>
        </w:rPr>
        <w:t>. Other than the transfer restrictions in Article 5 Section 5.04 of the Company’s Amended and Restated Bylaws,</w:t>
      </w:r>
      <w:r>
        <w:rPr>
          <w:rFonts w:ascii="Arial" w:cs="Arial" w:eastAsia="Arial" w:hAnsi="Arial"/>
          <w:sz w:val="22"/>
          <w:szCs w:val="22"/>
          <w:color w:val="auto"/>
        </w:rPr>
        <w:t xml:space="preserve"> </w:t>
      </w:r>
      <w:r>
        <w:rPr>
          <w:rFonts w:ascii="Arial" w:cs="Arial" w:eastAsia="Arial" w:hAnsi="Arial"/>
          <w:sz w:val="19"/>
          <w:szCs w:val="19"/>
          <w:color w:val="auto"/>
        </w:rPr>
        <w:t>which the Board has duly waived with respect to the repurchase of Shares contemplated by this Agreement, the execution, delivery and performance of this Agreement and the consummation of the transactions contemplated hereby, including the repurchase of the Shares, do not (i) conflict with or result in a breach or violation of any of the terms or provisions of, or constitute a default under, or result in the creation or imposition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#95138036v1</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in each case, applicable to the Company, except, in the case of clauses (i) and (iii) above, for any such conflict, breach or violation that would not, individually or in the aggregate, have a material adverse effect on the Company and its subsidiaries, taken as a whole.</w:t>
      </w:r>
    </w:p>
    <w:p>
      <w:pPr>
        <w:spacing w:after="0" w:line="145" w:lineRule="exact"/>
        <w:rPr>
          <w:sz w:val="20"/>
          <w:szCs w:val="20"/>
          <w:color w:val="auto"/>
        </w:rPr>
      </w:pPr>
    </w:p>
    <w:p>
      <w:pPr>
        <w:ind w:left="600" w:hanging="592"/>
        <w:spacing w:after="0"/>
        <w:tabs>
          <w:tab w:leader="none" w:pos="600" w:val="left"/>
        </w:tabs>
        <w:numPr>
          <w:ilvl w:val="0"/>
          <w:numId w:val="45"/>
        </w:numPr>
        <w:rPr>
          <w:rFonts w:ascii="Arial" w:cs="Arial" w:eastAsia="Arial" w:hAnsi="Arial"/>
          <w:sz w:val="22"/>
          <w:szCs w:val="22"/>
          <w:color w:val="auto"/>
        </w:rPr>
      </w:pPr>
      <w:r>
        <w:rPr>
          <w:rFonts w:ascii="Arial" w:cs="Arial" w:eastAsia="Arial" w:hAnsi="Arial"/>
          <w:sz w:val="20"/>
          <w:szCs w:val="20"/>
          <w:b w:val="1"/>
          <w:bCs w:val="1"/>
          <w:i w:val="1"/>
          <w:iCs w:val="1"/>
          <w:color w:val="auto"/>
        </w:rPr>
        <w:t>Closing Conditions</w:t>
      </w:r>
      <w:r>
        <w:rPr>
          <w:rFonts w:ascii="Arial" w:cs="Arial" w:eastAsia="Arial" w:hAnsi="Arial"/>
          <w:sz w:val="20"/>
          <w:szCs w:val="20"/>
          <w:color w:val="auto"/>
        </w:rPr>
        <w:t>.</w:t>
      </w:r>
    </w:p>
    <w:p>
      <w:pPr>
        <w:spacing w:after="0" w:line="13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19"/>
          <w:szCs w:val="19"/>
          <w:i w:val="1"/>
          <w:iCs w:val="1"/>
          <w:color w:val="auto"/>
        </w:rPr>
        <w:t>Conditions to Company’s Obligations</w:t>
      </w:r>
      <w:r>
        <w:rPr>
          <w:rFonts w:ascii="Arial" w:cs="Arial" w:eastAsia="Arial" w:hAnsi="Arial"/>
          <w:sz w:val="19"/>
          <w:szCs w:val="19"/>
          <w:color w:val="auto"/>
        </w:rPr>
        <w:t>. The Company’s obligation to purchase the Shares at the Closing is subject to the</w:t>
      </w:r>
      <w:r>
        <w:rPr>
          <w:rFonts w:ascii="Arial" w:cs="Arial" w:eastAsia="Arial" w:hAnsi="Arial"/>
          <w:sz w:val="22"/>
          <w:szCs w:val="22"/>
          <w:color w:val="auto"/>
        </w:rPr>
        <w:t xml:space="preserve"> </w:t>
      </w:r>
      <w:r>
        <w:rPr>
          <w:rFonts w:ascii="Arial" w:cs="Arial" w:eastAsia="Arial" w:hAnsi="Arial"/>
          <w:sz w:val="19"/>
          <w:szCs w:val="19"/>
          <w:color w:val="auto"/>
        </w:rPr>
        <w:t>fulfillment to the Company’s satisfaction on or prior to the Closing of the following conditions, any of which may be waived in whole or in part by Company:</w:t>
      </w:r>
    </w:p>
    <w:p>
      <w:pPr>
        <w:spacing w:after="0" w:line="12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19"/>
          <w:szCs w:val="19"/>
          <w:color w:val="auto"/>
        </w:rPr>
        <w:t>The representations and warranties made by the Selling Stockholder in Section 2 hereof shall be true and correct</w:t>
      </w:r>
      <w:r>
        <w:rPr>
          <w:rFonts w:ascii="Arial" w:cs="Arial" w:eastAsia="Arial" w:hAnsi="Arial"/>
          <w:sz w:val="22"/>
          <w:szCs w:val="22"/>
          <w:color w:val="auto"/>
        </w:rPr>
        <w:t xml:space="preserve"> </w:t>
      </w:r>
      <w:r>
        <w:rPr>
          <w:rFonts w:ascii="Arial" w:cs="Arial" w:eastAsia="Arial" w:hAnsi="Arial"/>
          <w:sz w:val="19"/>
          <w:szCs w:val="19"/>
          <w:color w:val="auto"/>
        </w:rPr>
        <w:t>when made and as of the Closing.</w:t>
      </w:r>
    </w:p>
    <w:p>
      <w:pPr>
        <w:spacing w:after="0" w:line="124"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2"/>
          <w:szCs w:val="22"/>
          <w:color w:val="auto"/>
        </w:rPr>
        <w:t xml:space="preserve">4.1.2. </w:t>
      </w:r>
      <w:r>
        <w:rPr>
          <w:rFonts w:ascii="Arial" w:cs="Arial" w:eastAsia="Arial" w:hAnsi="Arial"/>
          <w:sz w:val="19"/>
          <w:szCs w:val="19"/>
          <w:color w:val="auto"/>
        </w:rPr>
        <w:t>All covenants, agreements and conditions contained in this Agreement to be performed by the Selling Stockholder on</w:t>
      </w:r>
      <w:r>
        <w:rPr>
          <w:rFonts w:ascii="Arial" w:cs="Arial" w:eastAsia="Arial" w:hAnsi="Arial"/>
          <w:sz w:val="22"/>
          <w:szCs w:val="22"/>
          <w:color w:val="auto"/>
        </w:rPr>
        <w:t xml:space="preserve"> </w:t>
      </w:r>
      <w:r>
        <w:rPr>
          <w:rFonts w:ascii="Arial" w:cs="Arial" w:eastAsia="Arial" w:hAnsi="Arial"/>
          <w:sz w:val="19"/>
          <w:szCs w:val="19"/>
          <w:color w:val="auto"/>
        </w:rPr>
        <w:t>or prior to the Closing shall have been performed or complied with.</w:t>
      </w:r>
    </w:p>
    <w:p>
      <w:pPr>
        <w:spacing w:after="0" w:line="124"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4.1.3. </w:t>
      </w:r>
      <w:r>
        <w:rPr>
          <w:rFonts w:ascii="Arial" w:cs="Arial" w:eastAsia="Arial" w:hAnsi="Arial"/>
          <w:sz w:val="19"/>
          <w:szCs w:val="19"/>
          <w:color w:val="auto"/>
        </w:rPr>
        <w:t>No action shall have been taken and no statute, rule, regulation or order shall have been enacted, promulgated or</w:t>
      </w:r>
      <w:r>
        <w:rPr>
          <w:rFonts w:ascii="Arial" w:cs="Arial" w:eastAsia="Arial" w:hAnsi="Arial"/>
          <w:sz w:val="22"/>
          <w:szCs w:val="22"/>
          <w:color w:val="auto"/>
        </w:rPr>
        <w:t xml:space="preserve"> </w:t>
      </w:r>
      <w:r>
        <w:rPr>
          <w:rFonts w:ascii="Arial" w:cs="Arial" w:eastAsia="Arial" w:hAnsi="Arial"/>
          <w:sz w:val="19"/>
          <w:szCs w:val="19"/>
          <w:color w:val="auto"/>
        </w:rPr>
        <w:t>issued or deemed applicable to the proposed transactions by any legislature, administrative agency, court or other governmental authority which would make consummation of the proposed transactions pursuant to this Agreement illegal or render Company or the Selling Stockholder unable to consummate the proposed transactions.</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xml:space="preserve">4.1.4. </w:t>
      </w:r>
      <w:r>
        <w:rPr>
          <w:rFonts w:ascii="Arial" w:cs="Arial" w:eastAsia="Arial" w:hAnsi="Arial"/>
          <w:sz w:val="18"/>
          <w:szCs w:val="18"/>
          <w:color w:val="auto"/>
        </w:rPr>
        <w:t>The Selling Stockholder shall have provided the Company with a completed and executed copy of IRS Form W-4</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(2021), Form W-9, IRS Form W-8ECI, IRS Form W-8BEN or IRS Form W-8BEN-E, as applicable, with respect to the Selling Stockholder.</w:t>
      </w:r>
    </w:p>
    <w:p>
      <w:pPr>
        <w:spacing w:after="0" w:line="15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19"/>
          <w:szCs w:val="19"/>
          <w:i w:val="1"/>
          <w:iCs w:val="1"/>
          <w:color w:val="auto"/>
        </w:rPr>
        <w:t>Conditions to Obligations of the Selling Stockholder</w:t>
      </w:r>
      <w:r>
        <w:rPr>
          <w:rFonts w:ascii="Arial" w:cs="Arial" w:eastAsia="Arial" w:hAnsi="Arial"/>
          <w:sz w:val="19"/>
          <w:szCs w:val="19"/>
          <w:color w:val="auto"/>
        </w:rPr>
        <w:t>. The obligations of the Selling Stockholder to sell and convey the Shares</w:t>
      </w:r>
      <w:r>
        <w:rPr>
          <w:rFonts w:ascii="Arial" w:cs="Arial" w:eastAsia="Arial" w:hAnsi="Arial"/>
          <w:sz w:val="22"/>
          <w:szCs w:val="22"/>
          <w:color w:val="auto"/>
        </w:rPr>
        <w:t xml:space="preserve"> </w:t>
      </w:r>
      <w:r>
        <w:rPr>
          <w:rFonts w:ascii="Arial" w:cs="Arial" w:eastAsia="Arial" w:hAnsi="Arial"/>
          <w:sz w:val="19"/>
          <w:szCs w:val="19"/>
          <w:color w:val="auto"/>
        </w:rPr>
        <w:t>at the Closing is subject to the fulfillment to the satisfaction of the Selling Stockholder, on or prior to the Closing of the following conditions, any of which may be waived in whole or in part by the Selling Stockholder:</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4.2.1. </w:t>
      </w:r>
      <w:r>
        <w:rPr>
          <w:rFonts w:ascii="Arial" w:cs="Arial" w:eastAsia="Arial" w:hAnsi="Arial"/>
          <w:sz w:val="17"/>
          <w:szCs w:val="17"/>
          <w:color w:val="auto"/>
        </w:rPr>
        <w:t>The representations made by Company in Section 3 hereof shall be true and correct when made and as of the Closing</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27"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2"/>
          <w:szCs w:val="22"/>
          <w:color w:val="auto"/>
        </w:rPr>
        <w:t xml:space="preserve">4.2.2. </w:t>
      </w:r>
      <w:r>
        <w:rPr>
          <w:rFonts w:ascii="Arial" w:cs="Arial" w:eastAsia="Arial" w:hAnsi="Arial"/>
          <w:sz w:val="19"/>
          <w:szCs w:val="19"/>
          <w:color w:val="auto"/>
        </w:rPr>
        <w:t>All covenants, agreements and conditions contained in this Agreement to be performed by the Company on or prior</w:t>
      </w:r>
      <w:r>
        <w:rPr>
          <w:rFonts w:ascii="Arial" w:cs="Arial" w:eastAsia="Arial" w:hAnsi="Arial"/>
          <w:sz w:val="22"/>
          <w:szCs w:val="22"/>
          <w:color w:val="auto"/>
        </w:rPr>
        <w:t xml:space="preserve"> </w:t>
      </w:r>
      <w:r>
        <w:rPr>
          <w:rFonts w:ascii="Arial" w:cs="Arial" w:eastAsia="Arial" w:hAnsi="Arial"/>
          <w:sz w:val="19"/>
          <w:szCs w:val="19"/>
          <w:color w:val="auto"/>
        </w:rPr>
        <w:t>to the Closing Date shall have been performed or complied with.</w:t>
      </w:r>
    </w:p>
    <w:p>
      <w:pPr>
        <w:spacing w:after="0" w:line="124"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4.2.3. </w:t>
      </w:r>
      <w:r>
        <w:rPr>
          <w:rFonts w:ascii="Arial" w:cs="Arial" w:eastAsia="Arial" w:hAnsi="Arial"/>
          <w:sz w:val="19"/>
          <w:szCs w:val="19"/>
          <w:color w:val="auto"/>
        </w:rPr>
        <w:t>No action shall have been taken and no statute, rule, regulation or order shall have been enacted, promulgated or</w:t>
      </w:r>
      <w:r>
        <w:rPr>
          <w:rFonts w:ascii="Arial" w:cs="Arial" w:eastAsia="Arial" w:hAnsi="Arial"/>
          <w:sz w:val="22"/>
          <w:szCs w:val="22"/>
          <w:color w:val="auto"/>
        </w:rPr>
        <w:t xml:space="preserve"> </w:t>
      </w:r>
      <w:r>
        <w:rPr>
          <w:rFonts w:ascii="Arial" w:cs="Arial" w:eastAsia="Arial" w:hAnsi="Arial"/>
          <w:sz w:val="19"/>
          <w:szCs w:val="19"/>
          <w:color w:val="auto"/>
        </w:rPr>
        <w:t>issued or deemed applicable to the proposed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#95138036v1</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by any legislature, administrative agency, court or other governmental authority which would make consummation of the proposed transactions pursuant to this Agreement illegal or render the Company or the Selling Stockholder unable to consummate the proposed transactions.</w:t>
      </w:r>
    </w:p>
    <w:p>
      <w:pPr>
        <w:spacing w:after="0" w:line="140" w:lineRule="exact"/>
        <w:rPr>
          <w:sz w:val="20"/>
          <w:szCs w:val="20"/>
          <w:color w:val="auto"/>
        </w:rPr>
      </w:pPr>
    </w:p>
    <w:p>
      <w:pPr>
        <w:ind w:left="600" w:hanging="592"/>
        <w:spacing w:after="0"/>
        <w:tabs>
          <w:tab w:leader="none" w:pos="600" w:val="left"/>
        </w:tabs>
        <w:numPr>
          <w:ilvl w:val="0"/>
          <w:numId w:val="46"/>
        </w:numPr>
        <w:rPr>
          <w:rFonts w:ascii="Arial" w:cs="Arial" w:eastAsia="Arial" w:hAnsi="Arial"/>
          <w:sz w:val="22"/>
          <w:szCs w:val="22"/>
          <w:color w:val="auto"/>
        </w:rPr>
      </w:pPr>
      <w:r>
        <w:rPr>
          <w:rFonts w:ascii="Arial" w:cs="Arial" w:eastAsia="Arial" w:hAnsi="Arial"/>
          <w:sz w:val="20"/>
          <w:szCs w:val="20"/>
          <w:b w:val="1"/>
          <w:bCs w:val="1"/>
          <w:i w:val="1"/>
          <w:iCs w:val="1"/>
          <w:color w:val="auto"/>
        </w:rPr>
        <w:t>Miscellaneous</w:t>
      </w:r>
      <w:r>
        <w:rPr>
          <w:rFonts w:ascii="Arial" w:cs="Arial" w:eastAsia="Arial" w:hAnsi="Arial"/>
          <w:sz w:val="20"/>
          <w:szCs w:val="20"/>
          <w:color w:val="auto"/>
        </w:rPr>
        <w:t>.</w:t>
      </w:r>
    </w:p>
    <w:p>
      <w:pPr>
        <w:spacing w:after="0" w:line="13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in all respects by the laws of the State of New York.</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2"/>
          <w:szCs w:val="22"/>
          <w:color w:val="auto"/>
        </w:rPr>
        <w:t xml:space="preserve">5.2. </w:t>
      </w:r>
      <w:r>
        <w:rPr>
          <w:rFonts w:ascii="Arial" w:cs="Arial" w:eastAsia="Arial" w:hAnsi="Arial"/>
          <w:sz w:val="19"/>
          <w:szCs w:val="19"/>
          <w:i w:val="1"/>
          <w:iCs w:val="1"/>
          <w:color w:val="auto"/>
        </w:rPr>
        <w:t>Successors and Assigns</w:t>
      </w:r>
      <w:r>
        <w:rPr>
          <w:rFonts w:ascii="Arial" w:cs="Arial" w:eastAsia="Arial" w:hAnsi="Arial"/>
          <w:sz w:val="19"/>
          <w:szCs w:val="19"/>
          <w:color w:val="auto"/>
        </w:rPr>
        <w:t>. Except as otherwise provided herein, the provisions hereof shall inure to the benefit of, and be</w:t>
      </w:r>
      <w:r>
        <w:rPr>
          <w:rFonts w:ascii="Arial" w:cs="Arial" w:eastAsia="Arial" w:hAnsi="Arial"/>
          <w:sz w:val="22"/>
          <w:szCs w:val="22"/>
          <w:color w:val="auto"/>
        </w:rPr>
        <w:t xml:space="preserve"> </w:t>
      </w:r>
      <w:r>
        <w:rPr>
          <w:rFonts w:ascii="Arial" w:cs="Arial" w:eastAsia="Arial" w:hAnsi="Arial"/>
          <w:sz w:val="19"/>
          <w:szCs w:val="19"/>
          <w:color w:val="auto"/>
        </w:rPr>
        <w:t>binding upon, the successors, assigns, heirs, executors and administrators of the parties hereto.</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5.3.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full and entire understanding and agreement among the parties regarding</w:t>
      </w:r>
      <w:r>
        <w:rPr>
          <w:rFonts w:ascii="Arial" w:cs="Arial" w:eastAsia="Arial" w:hAnsi="Arial"/>
          <w:sz w:val="21"/>
          <w:szCs w:val="21"/>
          <w:color w:val="auto"/>
        </w:rPr>
        <w:t xml:space="preserve"> </w:t>
      </w:r>
      <w:r>
        <w:rPr>
          <w:rFonts w:ascii="Arial" w:cs="Arial" w:eastAsia="Arial" w:hAnsi="Arial"/>
          <w:sz w:val="18"/>
          <w:szCs w:val="18"/>
          <w:color w:val="auto"/>
        </w:rPr>
        <w:t>its subject matter. Neither this Agreement nor any term hereof may be amended, waived, discharged or terminated other than by a written instrument signed by the Company and the Selling Stockholder. If any provision of this Agreement becomes or is declared by a court of competent jurisdiction to be illegal, unenforceable or void, the Agreement shall continue in full force and effect without said provision.</w:t>
      </w:r>
    </w:p>
    <w:p>
      <w:pPr>
        <w:spacing w:after="0" w:line="10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5.4. </w:t>
      </w:r>
      <w:r>
        <w:rPr>
          <w:rFonts w:ascii="Arial" w:cs="Arial" w:eastAsia="Arial" w:hAnsi="Arial"/>
          <w:sz w:val="19"/>
          <w:szCs w:val="19"/>
          <w:i w:val="1"/>
          <w:iCs w:val="1"/>
          <w:color w:val="auto"/>
        </w:rPr>
        <w:t>Notices</w:t>
      </w:r>
      <w:r>
        <w:rPr>
          <w:rFonts w:ascii="Arial" w:cs="Arial" w:eastAsia="Arial" w:hAnsi="Arial"/>
          <w:sz w:val="19"/>
          <w:szCs w:val="19"/>
          <w:color w:val="auto"/>
        </w:rPr>
        <w:t>. All notices and other communications required or permitted hereunder shall be given in writing and shall be</w:t>
      </w:r>
      <w:r>
        <w:rPr>
          <w:rFonts w:ascii="Arial" w:cs="Arial" w:eastAsia="Arial" w:hAnsi="Arial"/>
          <w:sz w:val="22"/>
          <w:szCs w:val="22"/>
          <w:color w:val="auto"/>
        </w:rPr>
        <w:t xml:space="preserve"> </w:t>
      </w:r>
      <w:r>
        <w:rPr>
          <w:rFonts w:ascii="Arial" w:cs="Arial" w:eastAsia="Arial" w:hAnsi="Arial"/>
          <w:sz w:val="19"/>
          <w:szCs w:val="19"/>
          <w:color w:val="auto"/>
        </w:rPr>
        <w:t>personally delivered; sent by electronic transmission; or sent by registered or certified U.S. mail, return receipt requested and postage prepaid; or by private overnight mail courier service, as follows:</w:t>
      </w:r>
    </w:p>
    <w:p>
      <w:pPr>
        <w:spacing w:after="0" w:line="129" w:lineRule="exact"/>
        <w:rPr>
          <w:sz w:val="20"/>
          <w:szCs w:val="20"/>
          <w:color w:val="auto"/>
        </w:rPr>
      </w:pPr>
    </w:p>
    <w:p>
      <w:pPr>
        <w:ind w:left="1300" w:right="720" w:hanging="644"/>
        <w:spacing w:after="0" w:line="246" w:lineRule="auto"/>
        <w:tabs>
          <w:tab w:leader="none" w:pos="1037" w:val="left"/>
        </w:tabs>
        <w:numPr>
          <w:ilvl w:val="0"/>
          <w:numId w:val="47"/>
        </w:numPr>
        <w:rPr>
          <w:rFonts w:ascii="Arial" w:cs="Arial" w:eastAsia="Arial" w:hAnsi="Arial"/>
          <w:sz w:val="20"/>
          <w:szCs w:val="20"/>
          <w:color w:val="auto"/>
        </w:rPr>
      </w:pPr>
      <w:r>
        <w:rPr>
          <w:rFonts w:ascii="Arial" w:cs="Arial" w:eastAsia="Arial" w:hAnsi="Arial"/>
          <w:sz w:val="20"/>
          <w:szCs w:val="20"/>
          <w:color w:val="auto"/>
        </w:rPr>
        <w:t>If to the Company, to: Lucid Group, Inc., 7373 Gateway Blvd., Newark, CA 94560, Attention: General Counsel; Email: jonathanbutler@lucidmotors.com.</w:t>
      </w:r>
    </w:p>
    <w:p>
      <w:pPr>
        <w:spacing w:after="0" w:line="122" w:lineRule="exact"/>
        <w:rPr>
          <w:rFonts w:ascii="Arial" w:cs="Arial" w:eastAsia="Arial" w:hAnsi="Arial"/>
          <w:sz w:val="20"/>
          <w:szCs w:val="20"/>
          <w:color w:val="auto"/>
        </w:rPr>
      </w:pPr>
    </w:p>
    <w:p>
      <w:pPr>
        <w:ind w:left="1100" w:hanging="444"/>
        <w:spacing w:after="0"/>
        <w:tabs>
          <w:tab w:leader="none" w:pos="11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If to the Selling Stockholder, at the email address and address set forth on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hereto.</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1"/>
          <w:szCs w:val="21"/>
          <w:color w:val="auto"/>
        </w:rPr>
        <w:t xml:space="preserve">5.5. </w:t>
      </w:r>
      <w:r>
        <w:rPr>
          <w:rFonts w:ascii="Arial" w:cs="Arial" w:eastAsia="Arial" w:hAnsi="Arial"/>
          <w:sz w:val="18"/>
          <w:szCs w:val="18"/>
          <w:i w:val="1"/>
          <w:iCs w:val="1"/>
          <w:color w:val="auto"/>
        </w:rPr>
        <w:t>Delays or Omissions</w:t>
      </w:r>
      <w:r>
        <w:rPr>
          <w:rFonts w:ascii="Arial" w:cs="Arial" w:eastAsia="Arial" w:hAnsi="Arial"/>
          <w:sz w:val="18"/>
          <w:szCs w:val="18"/>
          <w:color w:val="auto"/>
        </w:rPr>
        <w:t>. No delay or omission to exercise any right, power or remedy accruing to any party hereto under this</w:t>
      </w:r>
      <w:r>
        <w:rPr>
          <w:rFonts w:ascii="Arial" w:cs="Arial" w:eastAsia="Arial" w:hAnsi="Arial"/>
          <w:sz w:val="21"/>
          <w:szCs w:val="21"/>
          <w:color w:val="auto"/>
        </w:rPr>
        <w:t xml:space="preserve"> </w:t>
      </w:r>
      <w:r>
        <w:rPr>
          <w:rFonts w:ascii="Arial" w:cs="Arial" w:eastAsia="Arial" w:hAnsi="Arial"/>
          <w:sz w:val="18"/>
          <w:szCs w:val="18"/>
          <w:color w:val="auto"/>
        </w:rPr>
        <w:t>Agreement upon the breach or default of any other party hereto under this Agreement shall impair any such right, power or remedy, nor shall it be construed to be a waiver of any such breach or default, or an acquiescence therein, or in any similar breach or default thereafter occurring; nor shall any waiver of any single breach or default be deemed a waiver of any other breach or default theretofore or thereafter occurring. Any waiver, permit, consent or approval of any kind or character on the part of a party hereto under this Agreement of any breach or default under this Agreement, or any waiver on the part of any party hereto of any provisions or conditions of this Agreement, must be in writing and shall be effective only to the extent specifically set forth in such writing or as provided in this Agreement. All remedies, either under this Agreement or by law or otherwise afforded to a party hereto, shall be cumulative and not alternative.</w:t>
      </w:r>
    </w:p>
    <w:p>
      <w:pPr>
        <w:spacing w:after="0" w:line="120"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2"/>
          <w:szCs w:val="22"/>
          <w:color w:val="auto"/>
        </w:rPr>
        <w:t xml:space="preserve">5.6. </w:t>
      </w:r>
      <w:r>
        <w:rPr>
          <w:rFonts w:ascii="Arial" w:cs="Arial" w:eastAsia="Arial" w:hAnsi="Arial"/>
          <w:sz w:val="19"/>
          <w:szCs w:val="19"/>
          <w:i w:val="1"/>
          <w:iCs w:val="1"/>
          <w:color w:val="auto"/>
        </w:rPr>
        <w:t>Expenses</w:t>
      </w:r>
      <w:r>
        <w:rPr>
          <w:rFonts w:ascii="Arial" w:cs="Arial" w:eastAsia="Arial" w:hAnsi="Arial"/>
          <w:sz w:val="19"/>
          <w:szCs w:val="19"/>
          <w:color w:val="auto"/>
        </w:rPr>
        <w:t>. The Company and the Selling Stockholder shall each pay their own expenses, including any legal expenses, in</w:t>
      </w:r>
      <w:r>
        <w:rPr>
          <w:rFonts w:ascii="Arial" w:cs="Arial" w:eastAsia="Arial" w:hAnsi="Arial"/>
          <w:sz w:val="22"/>
          <w:szCs w:val="22"/>
          <w:color w:val="auto"/>
        </w:rPr>
        <w:t xml:space="preserve"> </w:t>
      </w:r>
      <w:r>
        <w:rPr>
          <w:rFonts w:ascii="Arial" w:cs="Arial" w:eastAsia="Arial" w:hAnsi="Arial"/>
          <w:sz w:val="19"/>
          <w:szCs w:val="19"/>
          <w:color w:val="auto"/>
        </w:rPr>
        <w:t>connection with the transactions contemplated herein.</w:t>
      </w:r>
    </w:p>
    <w:p>
      <w:pPr>
        <w:spacing w:after="0" w:line="12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5.7. </w:t>
      </w:r>
      <w:r>
        <w:rPr>
          <w:rFonts w:ascii="Arial" w:cs="Arial" w:eastAsia="Arial" w:hAnsi="Arial"/>
          <w:sz w:val="19"/>
          <w:szCs w:val="19"/>
          <w:i w:val="1"/>
          <w:iCs w:val="1"/>
          <w:color w:val="auto"/>
        </w:rPr>
        <w:t>Counterparts</w:t>
      </w:r>
      <w:r>
        <w:rPr>
          <w:rFonts w:ascii="Arial" w:cs="Arial" w:eastAsia="Arial" w:hAnsi="Arial"/>
          <w:sz w:val="19"/>
          <w:szCs w:val="19"/>
          <w:color w:val="auto"/>
        </w:rPr>
        <w:t>. This Agreement may be executed in any number of counterparts, each of which shall be enforceable against the</w:t>
      </w:r>
      <w:r>
        <w:rPr>
          <w:rFonts w:ascii="Arial" w:cs="Arial" w:eastAsia="Arial" w:hAnsi="Arial"/>
          <w:sz w:val="22"/>
          <w:szCs w:val="22"/>
          <w:color w:val="auto"/>
        </w:rPr>
        <w:t xml:space="preserve"> </w:t>
      </w:r>
      <w:r>
        <w:rPr>
          <w:rFonts w:ascii="Arial" w:cs="Arial" w:eastAsia="Arial" w:hAnsi="Arial"/>
          <w:sz w:val="19"/>
          <w:szCs w:val="19"/>
          <w:color w:val="auto"/>
        </w:rPr>
        <w:t>parties actually executing such counterparts,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#95138036v1</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all of which together shall constitute one instrument. Delivery of an executed signature page of this Agreement by e-mail or other transmission (e.g., “pdf” format) shall be effective as delivery of a manually executed counterpart hereof. Each party agrees that this Agreement and any other documents to be delivered in connection herewith may be electronically signed, and that any electronic signatures appearing on this Agreement or such other documents shall have the same legal validity and enforceability as a manually executed signature or use of a paper-based recordkeeping system to the fullest extent permitted by applicable law.</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#95138036v1</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as of the date first above written.</w:t>
      </w:r>
    </w:p>
    <w:p>
      <w:pPr>
        <w:sectPr>
          <w:pgSz w:w="11900" w:h="16838" w:orient="portrait"/>
          <w:cols w:equalWidth="0" w:num="1">
            <w:col w:w="9479"/>
          </w:cols>
          <w:pgMar w:left="980" w:top="1440" w:right="1440" w:bottom="1440" w:gutter="0" w:footer="0" w:header="0"/>
        </w:sectPr>
      </w:pPr>
    </w:p>
    <w:p>
      <w:pPr>
        <w:spacing w:after="0" w:line="273"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02"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LUCID GROUP, INC.</w:t>
      </w:r>
    </w:p>
    <w:p>
      <w:pPr>
        <w:spacing w:after="0" w:line="200" w:lineRule="exact"/>
        <w:rPr>
          <w:sz w:val="20"/>
          <w:szCs w:val="20"/>
          <w:color w:val="auto"/>
        </w:rPr>
      </w:pPr>
    </w:p>
    <w:p>
      <w:pPr>
        <w:spacing w:after="0" w:line="278"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19050</wp:posOffset>
            </wp:positionV>
            <wp:extent cx="26403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0" w:lineRule="exact"/>
        <w:rPr>
          <w:sz w:val="20"/>
          <w:szCs w:val="20"/>
          <w:color w:val="auto"/>
        </w:rPr>
      </w:pPr>
    </w:p>
    <w:p>
      <w:pPr>
        <w:ind w:left="2600"/>
        <w:spacing w:after="0"/>
        <w:tabs>
          <w:tab w:leader="none" w:pos="33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Sherry House</w:t>
      </w:r>
    </w:p>
    <w:p>
      <w:pPr>
        <w:spacing w:after="0" w:line="40" w:lineRule="exact"/>
        <w:rPr>
          <w:sz w:val="20"/>
          <w:szCs w:val="20"/>
          <w:color w:val="auto"/>
        </w:rPr>
      </w:pPr>
    </w:p>
    <w:p>
      <w:pPr>
        <w:ind w:left="2600"/>
        <w:spacing w:after="0"/>
        <w:tabs>
          <w:tab w:leader="none" w:pos="3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SELLING STOCKHOLDER:</w:t>
      </w:r>
    </w:p>
    <w:p>
      <w:pPr>
        <w:spacing w:after="0" w:line="4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19050</wp:posOffset>
            </wp:positionV>
            <wp:extent cx="26403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SPOUSE OR PARTNER OF SELLING</w:t>
      </w:r>
    </w:p>
    <w:p>
      <w:pPr>
        <w:spacing w:after="0" w:line="8"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STOCKHOLDER:</w:t>
      </w:r>
    </w:p>
    <w:p>
      <w:pPr>
        <w:spacing w:after="0" w:line="200" w:lineRule="exact"/>
        <w:rPr>
          <w:sz w:val="20"/>
          <w:szCs w:val="20"/>
          <w:color w:val="auto"/>
        </w:rPr>
      </w:pPr>
    </w:p>
    <w:p>
      <w:pPr>
        <w:spacing w:after="0" w:line="25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19050</wp:posOffset>
            </wp:positionV>
            <wp:extent cx="26403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00"/>
        <w:spacing w:after="0"/>
        <w:rPr>
          <w:sz w:val="20"/>
          <w:szCs w:val="20"/>
          <w:color w:val="auto"/>
        </w:rPr>
      </w:pPr>
      <w:r>
        <w:rPr>
          <w:rFonts w:ascii="Arial" w:cs="Arial" w:eastAsia="Arial" w:hAnsi="Arial"/>
          <w:sz w:val="19"/>
          <w:szCs w:val="19"/>
          <w:i w:val="1"/>
          <w:iCs w:val="1"/>
          <w:color w:val="auto"/>
        </w:rPr>
        <w:t>Signature Page to Stock Repurchase Agreement</w:t>
      </w:r>
    </w:p>
    <w:p>
      <w:pPr>
        <w:sectPr>
          <w:pgSz w:w="11900" w:h="16838" w:orient="portrait"/>
          <w:cols w:equalWidth="0" w:num="1">
            <w:col w:w="9479"/>
          </w:cols>
          <w:pgMar w:left="980" w:top="1440" w:right="1440"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20"/>
          <w:szCs w:val="20"/>
          <w:b w:val="1"/>
          <w:bCs w:val="1"/>
          <w:color w:val="auto"/>
        </w:rPr>
        <w:t>EXHIBIT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POWER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VALUE RECEIVED and pursuant to that certain Stock Repurchase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Lucid Group,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undersigned (the “</w:t>
      </w:r>
      <w:r>
        <w:rPr>
          <w:rFonts w:ascii="Arial" w:cs="Arial" w:eastAsia="Arial" w:hAnsi="Arial"/>
          <w:sz w:val="18"/>
          <w:szCs w:val="18"/>
          <w:b w:val="1"/>
          <w:bCs w:val="1"/>
          <w:color w:val="auto"/>
        </w:rPr>
        <w:t>Transferor</w:t>
      </w:r>
      <w:r>
        <w:rPr>
          <w:rFonts w:ascii="Arial" w:cs="Arial" w:eastAsia="Arial" w:hAnsi="Arial"/>
          <w:sz w:val="18"/>
          <w:szCs w:val="18"/>
          <w:color w:val="auto"/>
        </w:rPr>
        <w:t>”) dated as of October 8, 2021, Transferor hereby assigns and transfers unto the Company shares of Class A Common Stock, par value $0.0001 per share,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standing in the name of the Transferor on the books of the Company. The Transferor hereby irrevocably constitutes and appoints any officer of the Company attorney-in-fact to transfer the Shares on the books of the Company with full power of substitution.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579755</wp:posOffset>
            </wp:positionV>
            <wp:extent cx="19799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Name:</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(Account No: )</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Spouse or Partner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579755</wp:posOffset>
            </wp:positionV>
            <wp:extent cx="19799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1"/>
          <w:szCs w:val="21"/>
          <w:color w:val="auto"/>
        </w:rPr>
        <w:t>FORMTEXT</w:t>
      </w:r>
    </w:p>
    <w:p>
      <w:pPr>
        <w:sectPr>
          <w:pgSz w:w="11900" w:h="16838" w:orient="portrait"/>
          <w:cols w:equalWidth="0" w:num="1">
            <w:col w:w="11020"/>
          </w:cols>
          <w:pgMar w:left="440" w:top="1413" w:right="439" w:bottom="1440" w:gutter="0" w:footer="0" w:header="0"/>
        </w:sectPr>
      </w:pPr>
    </w:p>
    <w:bookmarkStart w:id="97" w:name="page98"/>
    <w:bookmarkEnd w:id="97"/>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ANNEX A</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Certain Defined Terms in this Agreement: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Tax Withholding Amount: $, which equals $ less the Cash Remittance</w:t>
      </w:r>
    </w:p>
    <w:p>
      <w:pPr>
        <w:spacing w:after="0" w:line="202"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Cash Remittance: $ (In the absence of an indication of the amount of the Cash Remittance by the Selling Stockholder, the Cash Remittance shall be deemed to be zero.)</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Other Taxes Amount: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Capital Gains Tax Liability Amount: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Shares: A number of shares of Common Stock equal to the sum of the following, rounded up to the nearest whole share:</w:t>
      </w:r>
    </w:p>
    <w:p>
      <w:pPr>
        <w:spacing w:after="0" w:line="202"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The Tax Withholding Amount divided by the Per Share Price, </w:t>
      </w:r>
      <w:r>
        <w:rPr>
          <w:rFonts w:ascii="Arial" w:cs="Arial" w:eastAsia="Arial" w:hAnsi="Arial"/>
          <w:sz w:val="20"/>
          <w:szCs w:val="20"/>
          <w:i w:val="1"/>
          <w:iCs w:val="1"/>
          <w:color w:val="auto"/>
        </w:rPr>
        <w:t>plus</w:t>
      </w:r>
    </w:p>
    <w:p>
      <w:pPr>
        <w:spacing w:after="0" w:line="202" w:lineRule="exact"/>
        <w:rPr>
          <w:rFonts w:ascii="Arial" w:cs="Arial" w:eastAsia="Arial" w:hAnsi="Arial"/>
          <w:sz w:val="20"/>
          <w:szCs w:val="20"/>
          <w:color w:val="auto"/>
        </w:rPr>
      </w:pPr>
    </w:p>
    <w:p>
      <w:pPr>
        <w:ind w:left="660" w:hanging="328"/>
        <w:spacing w:after="0"/>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The Other Taxes Amount divided by the Per Share Price, </w:t>
      </w:r>
      <w:r>
        <w:rPr>
          <w:rFonts w:ascii="Arial" w:cs="Arial" w:eastAsia="Arial" w:hAnsi="Arial"/>
          <w:sz w:val="20"/>
          <w:szCs w:val="20"/>
          <w:i w:val="1"/>
          <w:iCs w:val="1"/>
          <w:color w:val="auto"/>
        </w:rPr>
        <w:t>plus</w:t>
      </w:r>
    </w:p>
    <w:p>
      <w:pPr>
        <w:spacing w:after="0" w:line="202" w:lineRule="exact"/>
        <w:rPr>
          <w:rFonts w:ascii="Arial" w:cs="Arial" w:eastAsia="Arial" w:hAnsi="Arial"/>
          <w:sz w:val="20"/>
          <w:szCs w:val="20"/>
          <w:color w:val="auto"/>
        </w:rPr>
      </w:pPr>
    </w:p>
    <w:p>
      <w:pPr>
        <w:ind w:left="640" w:hanging="308"/>
        <w:spacing w:after="0"/>
        <w:tabs>
          <w:tab w:leader="none" w:pos="6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Capital Gains Tax Liability Amount divided by the Per Share Price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Instruction to draw the Shares from specified share lot(s)</w:t>
      </w:r>
    </w:p>
    <w:p>
      <w:pPr>
        <w:spacing w:after="0" w:line="23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If there is a preference, please select the applicable share lot(s) that the Shares will be drawn from and list the applicable number of Shares for each such lot. In the absence of a selection, or in the event of insufficient selections, the Shares will be drawn from the shares of the Company’s Class A Common Stock the Selling Stockholder previously purchased in connection with the Series 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141605</wp:posOffset>
            </wp:positionV>
            <wp:extent cx="7080885" cy="4800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080885" cy="480060"/>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2940" w:type="dxa"/>
            <w:vAlign w:val="bottom"/>
            <w:vMerge w:val="restart"/>
            <w:shd w:val="clear" w:color="auto" w:fill="4D4D4D"/>
          </w:tcPr>
          <w:p>
            <w:pPr>
              <w:ind w:left="1920"/>
              <w:spacing w:after="0"/>
              <w:rPr>
                <w:sz w:val="20"/>
                <w:szCs w:val="20"/>
                <w:color w:val="auto"/>
              </w:rPr>
            </w:pPr>
            <w:r>
              <w:rPr>
                <w:rFonts w:ascii="Arial" w:cs="Arial" w:eastAsia="Arial" w:hAnsi="Arial"/>
                <w:sz w:val="18"/>
                <w:szCs w:val="18"/>
                <w:color w:val="FFFFFF"/>
              </w:rPr>
              <w:t>Source</w:t>
            </w:r>
          </w:p>
        </w:tc>
        <w:tc>
          <w:tcPr>
            <w:tcW w:w="1620" w:type="dxa"/>
            <w:vAlign w:val="bottom"/>
            <w:vMerge w:val="restart"/>
            <w:shd w:val="clear" w:color="auto" w:fill="4D4D4D"/>
          </w:tcPr>
          <w:p>
            <w:pPr>
              <w:ind w:left="440"/>
              <w:spacing w:after="0"/>
              <w:rPr>
                <w:sz w:val="20"/>
                <w:szCs w:val="20"/>
                <w:color w:val="auto"/>
              </w:rPr>
            </w:pPr>
            <w:r>
              <w:rPr>
                <w:rFonts w:ascii="Arial" w:cs="Arial" w:eastAsia="Arial" w:hAnsi="Arial"/>
                <w:sz w:val="18"/>
                <w:szCs w:val="18"/>
                <w:color w:val="FFFFFF"/>
              </w:rPr>
              <w:t>Grant Date</w:t>
            </w:r>
          </w:p>
        </w:tc>
        <w:tc>
          <w:tcPr>
            <w:tcW w:w="1340" w:type="dxa"/>
            <w:vAlign w:val="bottom"/>
            <w:vMerge w:val="restart"/>
            <w:shd w:val="clear" w:color="auto" w:fill="4D4D4D"/>
          </w:tcPr>
          <w:p>
            <w:pPr>
              <w:ind w:left="300"/>
              <w:spacing w:after="0"/>
              <w:rPr>
                <w:sz w:val="20"/>
                <w:szCs w:val="20"/>
                <w:color w:val="auto"/>
              </w:rPr>
            </w:pPr>
            <w:r>
              <w:rPr>
                <w:rFonts w:ascii="Arial" w:cs="Arial" w:eastAsia="Arial" w:hAnsi="Arial"/>
                <w:sz w:val="18"/>
                <w:szCs w:val="18"/>
                <w:color w:val="FFFFFF"/>
              </w:rPr>
              <w:t>Grant Type</w:t>
            </w:r>
          </w:p>
        </w:tc>
        <w:tc>
          <w:tcPr>
            <w:tcW w:w="1860" w:type="dxa"/>
            <w:vAlign w:val="bottom"/>
            <w:shd w:val="clear" w:color="auto" w:fill="4D4D4D"/>
          </w:tcPr>
          <w:p>
            <w:pPr>
              <w:jc w:val="center"/>
              <w:spacing w:after="0"/>
              <w:rPr>
                <w:sz w:val="20"/>
                <w:szCs w:val="20"/>
                <w:color w:val="auto"/>
              </w:rPr>
            </w:pPr>
            <w:r>
              <w:rPr>
                <w:rFonts w:ascii="Arial" w:cs="Arial" w:eastAsia="Arial" w:hAnsi="Arial"/>
                <w:sz w:val="18"/>
                <w:szCs w:val="18"/>
                <w:color w:val="FFFFFF"/>
                <w:w w:val="99"/>
              </w:rPr>
              <w:t>Exercise / Purchase</w:t>
            </w:r>
          </w:p>
        </w:tc>
        <w:tc>
          <w:tcPr>
            <w:tcW w:w="1500" w:type="dxa"/>
            <w:vAlign w:val="bottom"/>
            <w:shd w:val="clear" w:color="auto" w:fill="4D4D4D"/>
          </w:tcPr>
          <w:p>
            <w:pPr>
              <w:jc w:val="center"/>
              <w:spacing w:after="0"/>
              <w:rPr>
                <w:sz w:val="20"/>
                <w:szCs w:val="20"/>
                <w:color w:val="auto"/>
              </w:rPr>
            </w:pPr>
            <w:r>
              <w:rPr>
                <w:rFonts w:ascii="Arial" w:cs="Arial" w:eastAsia="Arial" w:hAnsi="Arial"/>
                <w:sz w:val="18"/>
                <w:szCs w:val="18"/>
                <w:color w:val="FFFFFF"/>
                <w:w w:val="98"/>
              </w:rPr>
              <w:t>Exercise /</w:t>
            </w:r>
          </w:p>
        </w:tc>
        <w:tc>
          <w:tcPr>
            <w:tcW w:w="1880" w:type="dxa"/>
            <w:vAlign w:val="bottom"/>
            <w:shd w:val="clear" w:color="auto" w:fill="4D4D4D"/>
          </w:tcPr>
          <w:p>
            <w:pPr>
              <w:jc w:val="center"/>
              <w:spacing w:after="0"/>
              <w:rPr>
                <w:sz w:val="20"/>
                <w:szCs w:val="20"/>
                <w:color w:val="auto"/>
              </w:rPr>
            </w:pPr>
            <w:r>
              <w:rPr>
                <w:rFonts w:ascii="Arial" w:cs="Arial" w:eastAsia="Arial" w:hAnsi="Arial"/>
                <w:sz w:val="18"/>
                <w:szCs w:val="18"/>
                <w:color w:val="FFFFFF"/>
              </w:rPr>
              <w:t>Shares Exercised /</w:t>
            </w:r>
          </w:p>
        </w:tc>
        <w:tc>
          <w:tcPr>
            <w:tcW w:w="0" w:type="dxa"/>
            <w:vAlign w:val="bottom"/>
          </w:tcPr>
          <w:p>
            <w:pPr>
              <w:spacing w:after="0"/>
              <w:rPr>
                <w:sz w:val="1"/>
                <w:szCs w:val="1"/>
                <w:color w:val="auto"/>
              </w:rPr>
            </w:pPr>
          </w:p>
        </w:tc>
      </w:tr>
      <w:tr>
        <w:trPr>
          <w:trHeight w:val="109"/>
        </w:trPr>
        <w:tc>
          <w:tcPr>
            <w:tcW w:w="2940" w:type="dxa"/>
            <w:vAlign w:val="bottom"/>
            <w:vMerge w:val="continue"/>
            <w:shd w:val="clear" w:color="auto" w:fill="4D4D4D"/>
          </w:tcPr>
          <w:p>
            <w:pPr>
              <w:spacing w:after="0"/>
              <w:rPr>
                <w:sz w:val="9"/>
                <w:szCs w:val="9"/>
                <w:color w:val="auto"/>
              </w:rPr>
            </w:pPr>
          </w:p>
        </w:tc>
        <w:tc>
          <w:tcPr>
            <w:tcW w:w="1620" w:type="dxa"/>
            <w:vAlign w:val="bottom"/>
            <w:vMerge w:val="continue"/>
            <w:shd w:val="clear" w:color="auto" w:fill="4D4D4D"/>
          </w:tcPr>
          <w:p>
            <w:pPr>
              <w:spacing w:after="0"/>
              <w:rPr>
                <w:sz w:val="9"/>
                <w:szCs w:val="9"/>
                <w:color w:val="auto"/>
              </w:rPr>
            </w:pPr>
          </w:p>
        </w:tc>
        <w:tc>
          <w:tcPr>
            <w:tcW w:w="1340" w:type="dxa"/>
            <w:vAlign w:val="bottom"/>
            <w:vMerge w:val="continue"/>
            <w:shd w:val="clear" w:color="auto" w:fill="4D4D4D"/>
          </w:tcPr>
          <w:p>
            <w:pPr>
              <w:spacing w:after="0"/>
              <w:rPr>
                <w:sz w:val="9"/>
                <w:szCs w:val="9"/>
                <w:color w:val="auto"/>
              </w:rPr>
            </w:pPr>
          </w:p>
        </w:tc>
        <w:tc>
          <w:tcPr>
            <w:tcW w:w="1860" w:type="dxa"/>
            <w:vAlign w:val="bottom"/>
            <w:vMerge w:val="restart"/>
            <w:shd w:val="clear" w:color="auto" w:fill="4D4D4D"/>
          </w:tcPr>
          <w:p>
            <w:pPr>
              <w:jc w:val="center"/>
              <w:spacing w:after="0"/>
              <w:rPr>
                <w:sz w:val="20"/>
                <w:szCs w:val="20"/>
                <w:color w:val="auto"/>
              </w:rPr>
            </w:pPr>
            <w:r>
              <w:rPr>
                <w:rFonts w:ascii="Arial" w:cs="Arial" w:eastAsia="Arial" w:hAnsi="Arial"/>
                <w:sz w:val="18"/>
                <w:szCs w:val="18"/>
                <w:color w:val="FFFFFF"/>
                <w:w w:val="99"/>
              </w:rPr>
              <w:t>Date</w:t>
            </w:r>
          </w:p>
        </w:tc>
        <w:tc>
          <w:tcPr>
            <w:tcW w:w="1500" w:type="dxa"/>
            <w:vAlign w:val="bottom"/>
            <w:vMerge w:val="restart"/>
            <w:shd w:val="clear" w:color="auto" w:fill="4D4D4D"/>
          </w:tcPr>
          <w:p>
            <w:pPr>
              <w:jc w:val="center"/>
              <w:spacing w:after="0"/>
              <w:rPr>
                <w:sz w:val="20"/>
                <w:szCs w:val="20"/>
                <w:color w:val="auto"/>
              </w:rPr>
            </w:pPr>
            <w:r>
              <w:rPr>
                <w:rFonts w:ascii="Arial" w:cs="Arial" w:eastAsia="Arial" w:hAnsi="Arial"/>
                <w:sz w:val="18"/>
                <w:szCs w:val="18"/>
                <w:color w:val="FFFFFF"/>
                <w:w w:val="99"/>
              </w:rPr>
              <w:t>Purchase Price</w:t>
            </w:r>
          </w:p>
        </w:tc>
        <w:tc>
          <w:tcPr>
            <w:tcW w:w="1880" w:type="dxa"/>
            <w:vAlign w:val="bottom"/>
            <w:vMerge w:val="restart"/>
            <w:shd w:val="clear" w:color="auto" w:fill="4D4D4D"/>
          </w:tcPr>
          <w:p>
            <w:pPr>
              <w:jc w:val="center"/>
              <w:spacing w:after="0"/>
              <w:rPr>
                <w:sz w:val="20"/>
                <w:szCs w:val="20"/>
                <w:color w:val="auto"/>
              </w:rPr>
            </w:pPr>
            <w:r>
              <w:rPr>
                <w:rFonts w:ascii="Arial" w:cs="Arial" w:eastAsia="Arial" w:hAnsi="Arial"/>
                <w:sz w:val="18"/>
                <w:szCs w:val="18"/>
                <w:color w:val="FFFFFF"/>
                <w:w w:val="99"/>
              </w:rPr>
              <w:t>Purchased</w:t>
            </w:r>
          </w:p>
        </w:tc>
        <w:tc>
          <w:tcPr>
            <w:tcW w:w="0" w:type="dxa"/>
            <w:vAlign w:val="bottom"/>
          </w:tcPr>
          <w:p>
            <w:pPr>
              <w:spacing w:after="0"/>
              <w:rPr>
                <w:sz w:val="1"/>
                <w:szCs w:val="1"/>
                <w:color w:val="auto"/>
              </w:rPr>
            </w:pPr>
          </w:p>
        </w:tc>
      </w:tr>
      <w:tr>
        <w:trPr>
          <w:trHeight w:val="121"/>
        </w:trPr>
        <w:tc>
          <w:tcPr>
            <w:tcW w:w="2940" w:type="dxa"/>
            <w:vAlign w:val="bottom"/>
            <w:shd w:val="clear" w:color="auto" w:fill="4D4D4D"/>
          </w:tcPr>
          <w:p>
            <w:pPr>
              <w:spacing w:after="0"/>
              <w:rPr>
                <w:sz w:val="10"/>
                <w:szCs w:val="10"/>
                <w:color w:val="auto"/>
              </w:rPr>
            </w:pPr>
          </w:p>
        </w:tc>
        <w:tc>
          <w:tcPr>
            <w:tcW w:w="1620" w:type="dxa"/>
            <w:vAlign w:val="bottom"/>
            <w:shd w:val="clear" w:color="auto" w:fill="4D4D4D"/>
          </w:tcPr>
          <w:p>
            <w:pPr>
              <w:spacing w:after="0"/>
              <w:rPr>
                <w:sz w:val="10"/>
                <w:szCs w:val="10"/>
                <w:color w:val="auto"/>
              </w:rPr>
            </w:pPr>
          </w:p>
        </w:tc>
        <w:tc>
          <w:tcPr>
            <w:tcW w:w="1340" w:type="dxa"/>
            <w:vAlign w:val="bottom"/>
            <w:shd w:val="clear" w:color="auto" w:fill="4D4D4D"/>
          </w:tcPr>
          <w:p>
            <w:pPr>
              <w:spacing w:after="0"/>
              <w:rPr>
                <w:sz w:val="10"/>
                <w:szCs w:val="10"/>
                <w:color w:val="auto"/>
              </w:rPr>
            </w:pPr>
          </w:p>
        </w:tc>
        <w:tc>
          <w:tcPr>
            <w:tcW w:w="1860" w:type="dxa"/>
            <w:vAlign w:val="bottom"/>
            <w:vMerge w:val="continue"/>
            <w:shd w:val="clear" w:color="auto" w:fill="4D4D4D"/>
          </w:tcPr>
          <w:p>
            <w:pPr>
              <w:spacing w:after="0"/>
              <w:rPr>
                <w:sz w:val="10"/>
                <w:szCs w:val="10"/>
                <w:color w:val="auto"/>
              </w:rPr>
            </w:pPr>
          </w:p>
        </w:tc>
        <w:tc>
          <w:tcPr>
            <w:tcW w:w="1500" w:type="dxa"/>
            <w:vAlign w:val="bottom"/>
            <w:vMerge w:val="continue"/>
            <w:shd w:val="clear" w:color="auto" w:fill="4D4D4D"/>
          </w:tcPr>
          <w:p>
            <w:pPr>
              <w:spacing w:after="0"/>
              <w:rPr>
                <w:sz w:val="10"/>
                <w:szCs w:val="10"/>
                <w:color w:val="auto"/>
              </w:rPr>
            </w:pPr>
          </w:p>
        </w:tc>
        <w:tc>
          <w:tcPr>
            <w:tcW w:w="1880" w:type="dxa"/>
            <w:vAlign w:val="bottom"/>
            <w:vMerge w:val="continue"/>
            <w:shd w:val="clear" w:color="auto" w:fill="4D4D4D"/>
          </w:tcPr>
          <w:p>
            <w:pPr>
              <w:spacing w:after="0"/>
              <w:rPr>
                <w:sz w:val="10"/>
                <w:szCs w:val="10"/>
                <w:color w:val="auto"/>
              </w:rPr>
            </w:pPr>
          </w:p>
        </w:tc>
        <w:tc>
          <w:tcPr>
            <w:tcW w:w="0" w:type="dxa"/>
            <w:vAlign w:val="bottom"/>
          </w:tcPr>
          <w:p>
            <w:pPr>
              <w:spacing w:after="0"/>
              <w:rPr>
                <w:sz w:val="1"/>
                <w:szCs w:val="1"/>
                <w:color w:val="auto"/>
              </w:rPr>
            </w:pPr>
          </w:p>
        </w:tc>
      </w:tr>
    </w:tbl>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#95138036v1</w:t>
      </w:r>
    </w:p>
    <w:p>
      <w:pPr>
        <w:sectPr>
          <w:pgSz w:w="11900" w:h="16838" w:orient="portrait"/>
          <w:cols w:equalWidth="0" w:num="1">
            <w:col w:w="11180"/>
          </w:cols>
          <w:pgMar w:left="320" w:top="1440" w:right="399" w:bottom="1440" w:gutter="0" w:footer="0" w:header="0"/>
        </w:sectPr>
      </w:pPr>
    </w:p>
    <w:bookmarkStart w:id="98" w:name="page99"/>
    <w:bookmarkEnd w:id="98"/>
    <w:p>
      <w:pPr>
        <w:spacing w:after="0" w:line="29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Selling Stockholder Email Address for Notices</w:t>
      </w:r>
      <w:r>
        <w:rPr>
          <w:rFonts w:ascii="Arial" w:cs="Arial" w:eastAsia="Arial" w:hAnsi="Arial"/>
          <w:sz w:val="19"/>
          <w:szCs w:val="19"/>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Selling Stockholder Address for Notices</w:t>
      </w:r>
      <w:r>
        <w:rPr>
          <w:rFonts w:ascii="Arial" w:cs="Arial" w:eastAsia="Arial" w:hAnsi="Arial"/>
          <w:sz w:val="20"/>
          <w:szCs w:val="20"/>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color w:val="auto"/>
        </w:rPr>
        <w:t>#95138036v1</w:t>
      </w:r>
    </w:p>
    <w:p>
      <w:pPr>
        <w:sectPr>
          <w:pgSz w:w="11900" w:h="16838" w:orient="portrait"/>
          <w:cols w:equalWidth="0" w:num="1">
            <w:col w:w="10139"/>
          </w:cols>
          <w:pgMar w:left="320" w:top="1440"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Rawlinson, certify that:</w:t>
      </w:r>
    </w:p>
    <w:p>
      <w:pPr>
        <w:spacing w:after="0" w:line="23"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Lucid Group, Inc.;</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1300" w:hanging="320"/>
        <w:spacing w:after="0" w:line="250" w:lineRule="auto"/>
        <w:tabs>
          <w:tab w:leader="none" w:pos="129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0" w:lineRule="auto"/>
        <w:tabs>
          <w:tab w:leader="none" w:pos="129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320"/>
        <w:spacing w:after="0" w:line="257" w:lineRule="auto"/>
        <w:tabs>
          <w:tab w:leader="none" w:pos="129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300" w:right="140" w:hanging="320"/>
        <w:spacing w:after="0" w:line="233"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4" w:lineRule="exact"/>
        <w:rPr>
          <w:sz w:val="20"/>
          <w:szCs w:val="20"/>
          <w:color w:val="auto"/>
        </w:rPr>
      </w:pPr>
    </w:p>
    <w:p>
      <w:pPr>
        <w:ind w:left="60"/>
        <w:spacing w:after="0"/>
        <w:tabs>
          <w:tab w:leader="none" w:pos="8040" w:val="left"/>
          <w:tab w:leader="none" w:pos="838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31750</wp:posOffset>
            </wp:positionV>
            <wp:extent cx="2091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Peter Rawlinson</w:t>
      </w:r>
    </w:p>
    <w:p>
      <w:pPr>
        <w:spacing w:after="0" w:line="6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8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Sherry House, certify that:</w:t>
      </w:r>
    </w:p>
    <w:p>
      <w:pPr>
        <w:spacing w:after="0" w:line="23"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Lucid Group, Inc.;</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1300" w:hanging="320"/>
        <w:spacing w:after="0" w:line="250" w:lineRule="auto"/>
        <w:tabs>
          <w:tab w:leader="none" w:pos="12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0" w:lineRule="auto"/>
        <w:tabs>
          <w:tab w:leader="none" w:pos="12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320"/>
        <w:spacing w:after="0" w:line="257" w:lineRule="auto"/>
        <w:tabs>
          <w:tab w:leader="none" w:pos="129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300" w:right="140" w:hanging="320"/>
        <w:spacing w:after="0" w:line="233"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4" w:lineRule="exact"/>
        <w:rPr>
          <w:sz w:val="20"/>
          <w:szCs w:val="20"/>
          <w:color w:val="auto"/>
        </w:rPr>
      </w:pPr>
    </w:p>
    <w:p>
      <w:pPr>
        <w:ind w:left="60"/>
        <w:spacing w:after="0"/>
        <w:tabs>
          <w:tab w:leader="none" w:pos="6660" w:val="left"/>
          <w:tab w:leader="none" w:pos="702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31750</wp:posOffset>
            </wp:positionV>
            <wp:extent cx="29057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4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Sherry House</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Accounting Officer and Financial Officer)</w:t>
      </w:r>
    </w:p>
    <w:p>
      <w:pPr>
        <w:sectPr>
          <w:pgSz w:w="11900" w:h="16838" w:orient="portrait"/>
          <w:cols w:equalWidth="0" w:num="1">
            <w:col w:w="11240"/>
          </w:cols>
          <w:pgMar w:left="320" w:top="985"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 (FURNISHED HEREWITH)</w:t>
      </w:r>
    </w:p>
    <w:p>
      <w:pPr>
        <w:spacing w:after="0" w:line="180"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spacing w:after="0" w:line="1" w:lineRule="exact"/>
        <w:rPr>
          <w:sz w:val="20"/>
          <w:szCs w:val="20"/>
          <w:color w:val="auto"/>
        </w:rPr>
      </w:pPr>
    </w:p>
    <w:p>
      <w:pPr>
        <w:ind w:left="820" w:hanging="326"/>
        <w:spacing w:after="0" w:line="250"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2021 (the “Report”) fully complies with the requirements of Section 13(a) or 15(d), as applicable, of the Securities Exchange Act of 1934; and</w:t>
      </w:r>
    </w:p>
    <w:p>
      <w:pPr>
        <w:ind w:left="820" w:hanging="326"/>
        <w:spacing w:after="0" w:line="260"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79" w:lineRule="exact"/>
        <w:rPr>
          <w:sz w:val="20"/>
          <w:szCs w:val="20"/>
          <w:color w:val="auto"/>
        </w:rPr>
      </w:pPr>
    </w:p>
    <w:p>
      <w:pPr>
        <w:ind w:left="60"/>
        <w:spacing w:after="0"/>
        <w:tabs>
          <w:tab w:leader="none" w:pos="8500" w:val="left"/>
          <w:tab w:leader="none" w:pos="884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31750</wp:posOffset>
            </wp:positionV>
            <wp:extent cx="24860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Peter Rawlinson</w:t>
      </w:r>
    </w:p>
    <w:p>
      <w:pPr>
        <w:spacing w:after="0" w:line="6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8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 (FURNISHED HEREWITH)</w:t>
      </w:r>
    </w:p>
    <w:p>
      <w:pPr>
        <w:spacing w:after="0" w:line="180"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I, Sherry House, Chief Financial Officer of Lucid Group, Inc. (the “Company”), certify, as of the date hereof and solely for purposes of and pursuant to 18 U.S.C. Section 1350 as adopted pursuant to Section 906 of the Sarbanes-Oxley Act of 2002, that, to my knowledge:</w:t>
      </w:r>
    </w:p>
    <w:p>
      <w:pPr>
        <w:spacing w:after="0" w:line="1" w:lineRule="exact"/>
        <w:rPr>
          <w:sz w:val="20"/>
          <w:szCs w:val="20"/>
          <w:color w:val="auto"/>
        </w:rPr>
      </w:pPr>
    </w:p>
    <w:p>
      <w:pPr>
        <w:ind w:left="820" w:hanging="326"/>
        <w:spacing w:after="0" w:line="250"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2021 (the “Report”) fully complies with the requirements of Section 13(a) or 15(d), as applicable, of the Securities Exchange Act of 1934; and</w:t>
      </w:r>
    </w:p>
    <w:p>
      <w:pPr>
        <w:ind w:left="820" w:hanging="326"/>
        <w:spacing w:after="0" w:line="260"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79" w:lineRule="exact"/>
        <w:rPr>
          <w:sz w:val="20"/>
          <w:szCs w:val="20"/>
          <w:color w:val="auto"/>
        </w:rPr>
      </w:pPr>
    </w:p>
    <w:p>
      <w:pPr>
        <w:ind w:left="60"/>
        <w:spacing w:after="0"/>
        <w:tabs>
          <w:tab w:leader="none" w:pos="662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6"/>
          <w:szCs w:val="16"/>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31750</wp:posOffset>
            </wp:positionV>
            <wp:extent cx="29317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Sherry House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Accounting Officer and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lvl w:ilvl="1">
      <w:lvlJc w:val="left"/>
      <w:lvlText w:val="%2"/>
      <w:numFmt w:val="decimal"/>
      <w:start w:val="104"/>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2"/>
    </w:lvl>
  </w:abstractNum>
  <w:abstractNum w:abstractNumId="43">
    <w:nsid w:val="7644A45C"/>
    <w:multiLevelType w:val="hybridMultilevel"/>
    <w:lvl w:ilvl="0">
      <w:lvlJc w:val="left"/>
      <w:lvlText w:val="%1."/>
      <w:numFmt w:val="decimal"/>
      <w:start w:val="3"/>
    </w:lvl>
  </w:abstractNum>
  <w:abstractNum w:abstractNumId="44">
    <w:nsid w:val="32FFF902"/>
    <w:multiLevelType w:val="hybridMultilevel"/>
    <w:lvl w:ilvl="0">
      <w:lvlJc w:val="left"/>
      <w:lvlText w:val="%1."/>
      <w:numFmt w:val="decimal"/>
      <w:start w:val="4"/>
    </w:lvl>
  </w:abstractNum>
  <w:abstractNum w:abstractNumId="45">
    <w:nsid w:val="684A481A"/>
    <w:multiLevelType w:val="hybridMultilevel"/>
    <w:lvl w:ilvl="0">
      <w:lvlJc w:val="left"/>
      <w:lvlText w:val="%1."/>
      <w:numFmt w:val="decimal"/>
      <w:start w:val="5"/>
    </w:lvl>
  </w:abstractNum>
  <w:abstractNum w:abstractNumId="46">
    <w:nsid w:val="579478FE"/>
    <w:multiLevelType w:val="hybridMultilevel"/>
    <w:lvl w:ilvl="0">
      <w:lvlJc w:val="left"/>
      <w:lvlText w:val="(%1)"/>
      <w:numFmt w:val="lowerRoman"/>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05" Type="http://schemas.openxmlformats.org/officeDocument/2006/relationships/hyperlink" Target="https://www.sec.gov/Archives/edgar/data/0001811210/000110465921095842/tm2120294d5_ex3-1.htm" TargetMode="External"/><Relationship Id="rId106" Type="http://schemas.openxmlformats.org/officeDocument/2006/relationships/hyperlink" Target="https://www.sec.gov/Archives/edgar/data/0001811210/000110465921095842/tm2120294d5_ex3-2.htm" TargetMode="External"/><Relationship Id="rId107" Type="http://schemas.openxmlformats.org/officeDocument/2006/relationships/hyperlink" Target="https://www.sec.gov/Archives/edgar/data/0001811210/000110465921067006/tm219359d5_ex10-22.htm" TargetMode="External"/><Relationship Id="rId108" Type="http://schemas.openxmlformats.org/officeDocument/2006/relationships/hyperlink" Target="https://www.sec.gov/Archives/edgar/data/0001811210/000110465921095842/tm2120294d5_ex10-25.htm" TargetMode="External"/><Relationship Id="rId109" Type="http://schemas.openxmlformats.org/officeDocument/2006/relationships/hyperlink" Target="https://www.sec.gov/Archives/edgar/data/0001811210/000110465921095842/tm2120294d5_ex10-26.htm" TargetMode="External"/><Relationship Id="rId110" Type="http://schemas.openxmlformats.org/officeDocument/2006/relationships/hyperlink" Target="https://www.sec.gov/Archives/edgar/data/0001811210/000110465921095842/tm2120294d5_ex10-27.htm" TargetMode="External"/><Relationship Id="rId111" Type="http://schemas.openxmlformats.org/officeDocument/2006/relationships/hyperlink" Target="https://www.sec.gov/Archives/edgar/data/1811210/000110465921039318/tm219359-1_s4.htm#tANNH"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2021-11-15T16:30:27Z</dcterms:created>
  <dcterms:modified xsi:type="dcterms:W3CDTF">2021-11-15T16:30:27Z</dcterms:modified>
</cp:coreProperties>
</file>