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60" w:after="283"/>
        <w:jc w:val="center"/>
        <w:rPr/>
      </w:pPr>
      <w:r>
        <w:rPr>
          <w:rFonts w:ascii="Times New Roman;sans-serif" w:hAnsi="Times New Roman;sans-serif"/>
          <w:b/>
          <w:color w:val="000000"/>
          <w:sz w:val="28"/>
        </w:rPr>
        <w:t>FORM</w:t>
      </w:r>
      <w:r>
        <w:rPr>
          <w:color w:val="000000"/>
        </w:rPr>
        <w:t xml:space="preserve"> </w:t>
      </w:r>
      <w:r>
        <w:rPr>
          <w:rFonts w:ascii="Times New Roman;sans-serif" w:hAnsi="Times New Roman;sans-serif"/>
          <w:b/>
          <w:color w:val="000000"/>
          <w:sz w:val="28"/>
        </w:rPr>
        <w:t>10-Q</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to             </w:t>
            </w:r>
          </w:p>
        </w:tc>
      </w:tr>
    </w:tbl>
    <w:p>
      <w:pPr>
        <w:pStyle w:val="TextBody"/>
        <w:bidi w:val="0"/>
        <w:spacing w:lineRule="auto" w:line="288" w:before="100" w:after="283"/>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001-39408</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004" w:type="dxa"/>
        <w:jc w:val="left"/>
        <w:tblInd w:w="0" w:type="dxa"/>
        <w:tblLayout w:type="fixed"/>
        <w:tblCellMar>
          <w:top w:w="28" w:type="dxa"/>
          <w:left w:w="28" w:type="dxa"/>
          <w:bottom w:w="28" w:type="dxa"/>
          <w:right w:w="28" w:type="dxa"/>
        </w:tblCellMar>
      </w:tblPr>
      <w:tblGrid>
        <w:gridCol w:w="1568"/>
        <w:gridCol w:w="1375"/>
        <w:gridCol w:w="1391"/>
        <w:gridCol w:w="780"/>
        <w:gridCol w:w="780"/>
        <w:gridCol w:w="1110"/>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i/>
                <w:color w:val="000000"/>
                <w:sz w:val="16"/>
              </w:rPr>
            </w:pPr>
            <w:r>
              <w:rPr>
                <w:rFonts w:ascii="Times New Roman;sans-serif" w:hAnsi="Times New Roman;sans-serif"/>
                <w:b/>
                <w:i/>
                <w:color w:val="000000"/>
                <w:sz w:val="16"/>
              </w:rPr>
              <w:t>(I.R.S. Employer Identification No.)</w:t>
            </w:r>
          </w:p>
        </w:tc>
      </w:tr>
    </w:tbl>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7373 Gateway Boulevard, Newark, CA 94560</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(Address of principal executive offices) (Zip code)</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i/>
          <w:color w:val="000000"/>
          <w:sz w:val="16"/>
        </w:rPr>
      </w:pPr>
      <w:r>
        <w:rPr>
          <w:rFonts w:ascii="Times New Roman;sans-serif" w:hAnsi="Times New Roman;sans-serif"/>
          <w:b/>
          <w:i/>
          <w:color w:val="000000"/>
          <w:sz w:val="16"/>
        </w:rPr>
        <w:t>(Registrant’s telephone number, including area code)</w:t>
      </w:r>
    </w:p>
    <w:p>
      <w:pPr>
        <w:pStyle w:val="TextBody"/>
        <w:bidi w:val="0"/>
        <w:spacing w:lineRule="auto" w:line="288" w:before="10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9284" w:type="dxa"/>
        <w:jc w:val="left"/>
        <w:tblInd w:w="0" w:type="dxa"/>
        <w:tblLayout w:type="fixed"/>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ans-serif" w:hAnsi="Times New Roman;sans-serif"/>
                <w:b w:val="false"/>
                <w:color w:val="000000"/>
                <w:sz w:val="16"/>
              </w:rPr>
            </w:pPr>
            <w:r>
              <w:rPr>
                <w:rFonts w:ascii="Times New Roman;sans-serif" w:hAnsi="Times New Roman;sans-serif"/>
                <w:b w:val="false"/>
                <w:color w:val="000000"/>
                <w:sz w:val="16"/>
              </w:rPr>
              <w:t>LCID</w:t>
            </w:r>
          </w:p>
        </w:tc>
        <w:tc>
          <w:tcPr>
            <w:tcW w:w="382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before="100" w:after="283"/>
        <w:jc w:val="both"/>
        <w:rPr/>
      </w:pPr>
      <w:r>
        <w:rPr/>
      </w:r>
    </w:p>
    <w:p>
      <w:pPr>
        <w:pStyle w:val="TextBody"/>
        <w:bidi w:val="0"/>
        <w:spacing w:lineRule="auto" w:line="288" w:before="0" w:after="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1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6"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15"/>
        <w:gridCol w:w="115"/>
        <w:gridCol w:w="116"/>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46"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r>
              <w:rPr>
                <w:rFonts w:ascii="Wingdings;sans-serif" w:hAnsi="Wingdings;sans-serif"/>
                <w:b w:val="false"/>
                <w:color w:val="000000"/>
                <w:sz w:val="16"/>
              </w:rPr>
              <w:t>o</w:t>
            </w:r>
          </w:p>
        </w:tc>
      </w:tr>
    </w:tbl>
    <w:p>
      <w:pPr>
        <w:pStyle w:val="TextBody"/>
        <w:bidi w:val="0"/>
        <w:spacing w:lineRule="auto" w:line="288" w:before="100" w:after="283"/>
        <w:jc w:val="both"/>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Number of shares of the registrant’s common stock outstanding at November 1, 2024: 3,011,686,560</w:t>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285"/>
        <w:gridCol w:w="250"/>
        <w:gridCol w:w="250"/>
        <w:gridCol w:w="250"/>
        <w:gridCol w:w="250"/>
        <w:gridCol w:w="250"/>
        <w:gridCol w:w="2691"/>
        <w:gridCol w:w="2691"/>
        <w:gridCol w:w="2746"/>
        <w:gridCol w:w="158"/>
        <w:gridCol w:w="158"/>
        <w:gridCol w:w="226"/>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75">
              <w:r>
                <w:rPr>
                  <w:rStyle w:val="InternetLink"/>
                  <w:rFonts w:ascii="Times New Roman;sans-serif" w:hAnsi="Times New Roman;sans-serif"/>
                  <w:b w:val="false"/>
                  <w:color w:val="0E32E1"/>
                  <w:sz w:val="20"/>
                  <w:u w:val="single"/>
                </w:rPr>
                <w:t>PART I. FINANCIAL INFORMATION</w:t>
              </w:r>
            </w:hyperlink>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0">
              <w:r>
                <w:rPr>
                  <w:rStyle w:val="InternetLink"/>
                  <w:rFonts w:ascii="Times New Roman;sans-serif" w:hAnsi="Times New Roman;sans-serif"/>
                  <w:b w:val="false"/>
                  <w:color w:val="0E32E1"/>
                  <w:sz w:val="20"/>
                  <w:u w:val="single"/>
                </w:rPr>
                <w:t>Cautionary Note Regarding Forward-Looking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0">
              <w:r>
                <w:rPr>
                  <w:rStyle w:val="InternetLink"/>
                  <w:rFonts w:ascii="Times New Roman;sans-serif" w:hAnsi="Times New Roman;sans-serif"/>
                  <w:b w:val="false"/>
                  <w:strike w:val="false"/>
                  <w:dstrike w:val="false"/>
                  <w:color w:val="242424"/>
                  <w:sz w:val="20"/>
                  <w:u w:val="none"/>
                  <w:effect w:val="none"/>
                </w:rPr>
                <w:t>3</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3">
              <w:r>
                <w:rPr>
                  <w:rStyle w:val="InternetLink"/>
                  <w:rFonts w:ascii="Times New Roman;sans-serif" w:hAnsi="Times New Roman;sans-serif"/>
                  <w:b w:val="false"/>
                  <w:color w:val="0E32E1"/>
                  <w:sz w:val="20"/>
                  <w:u w:val="single"/>
                </w:rPr>
                <w:t>Frequently Used Terms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3">
              <w:r>
                <w:rPr>
                  <w:rStyle w:val="InternetLink"/>
                  <w:rFonts w:ascii="Times New Roman;sans-serif" w:hAnsi="Times New Roman;sans-serif"/>
                  <w:b w:val="false"/>
                  <w:strike w:val="false"/>
                  <w:dstrike w:val="false"/>
                  <w:color w:val="000000"/>
                  <w:sz w:val="20"/>
                  <w:u w:val="none"/>
                  <w:effect w:val="none"/>
                </w:rPr>
                <w:t>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9">
              <w:r>
                <w:rPr>
                  <w:rStyle w:val="InternetLink"/>
                  <w:rFonts w:ascii="Times New Roman;sans-serif" w:hAnsi="Times New Roman;sans-serif"/>
                  <w:b w:val="false"/>
                  <w:color w:val="0E32E1"/>
                  <w:sz w:val="20"/>
                  <w:u w:val="single"/>
                </w:rPr>
                <w:t>Condensed Consolidated 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9">
              <w:r>
                <w:rPr>
                  <w:rStyle w:val="InternetLink"/>
                  <w:rFonts w:ascii="Times New Roman;sans-serif" w:hAnsi="Times New Roman;sans-serif"/>
                  <w:b w:val="false"/>
                  <w:strike w:val="false"/>
                  <w:dstrike w:val="false"/>
                  <w:color w:val="000000"/>
                  <w:sz w:val="20"/>
                  <w:u w:val="none"/>
                  <w:effect w:val="none"/>
                </w:rPr>
                <w:t>6</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22">
              <w:r>
                <w:rPr>
                  <w:rStyle w:val="InternetLink"/>
                  <w:rFonts w:ascii="Times New Roman;sans-serif" w:hAnsi="Times New Roman;sans-serif"/>
                  <w:b w:val="false"/>
                  <w:color w:val="000080"/>
                  <w:sz w:val="20"/>
                  <w:u w:val="single"/>
                </w:rPr>
                <w:t xml:space="preserve">Condensed Consolidated Balance Sheets as of </w:t>
              </w:r>
            </w:hyperlink>
            <w:hyperlink w:anchor="ib9bb93f6b9bd426a9b1dfe187e962258_22">
              <w:r>
                <w:rPr>
                  <w:rStyle w:val="InternetLink"/>
                  <w:rFonts w:ascii="Times New Roman;sans-serif" w:hAnsi="Times New Roman;sans-serif"/>
                  <w:b w:val="false"/>
                  <w:color w:val="000080"/>
                  <w:sz w:val="20"/>
                  <w:u w:val="single"/>
                </w:rPr>
                <w:t>Sept</w:t>
              </w:r>
            </w:hyperlink>
            <w:hyperlink w:anchor="ib9bb93f6b9bd426a9b1dfe187e962258_22">
              <w:r>
                <w:rPr>
                  <w:rStyle w:val="InternetLink"/>
                  <w:rFonts w:ascii="Times New Roman;sans-serif" w:hAnsi="Times New Roman;sans-serif"/>
                  <w:b w:val="false"/>
                  <w:color w:val="000080"/>
                  <w:sz w:val="20"/>
                  <w:u w:val="single"/>
                </w:rPr>
                <w:t>ember</w:t>
              </w:r>
            </w:hyperlink>
            <w:hyperlink w:anchor="ib9bb93f6b9bd426a9b1dfe187e962258_22">
              <w:r>
                <w:rPr>
                  <w:rStyle w:val="InternetLink"/>
                  <w:rFonts w:ascii="Times New Roman;sans-serif" w:hAnsi="Times New Roman;sans-serif"/>
                  <w:b w:val="false"/>
                  <w:color w:val="000080"/>
                  <w:sz w:val="20"/>
                  <w:u w:val="single"/>
                </w:rPr>
                <w:t xml:space="preserve"> 30, 2024 and December 31, 2023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834">
              <w:r>
                <w:rPr>
                  <w:rStyle w:val="InternetLink"/>
                  <w:rFonts w:ascii="Times New Roman;sans-serif" w:hAnsi="Times New Roman;sans-serif"/>
                  <w:b w:val="false"/>
                  <w:strike w:val="false"/>
                  <w:dstrike w:val="false"/>
                  <w:color w:val="000000"/>
                  <w:sz w:val="20"/>
                  <w:u w:val="none"/>
                  <w:effect w:val="none"/>
                </w:rPr>
                <w:t>6</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25">
              <w:r>
                <w:rPr>
                  <w:rStyle w:val="InternetLink"/>
                  <w:rFonts w:ascii="Times New Roman;sans-serif" w:hAnsi="Times New Roman;sans-serif"/>
                  <w:b w:val="false"/>
                  <w:color w:val="000080"/>
                  <w:sz w:val="20"/>
                  <w:u w:val="single"/>
                </w:rPr>
                <w:t xml:space="preserve">Condensed Consolidated Statements of Operations and Comprehensive Loss for the Three and </w:t>
              </w:r>
            </w:hyperlink>
            <w:hyperlink w:anchor="ib9bb93f6b9bd426a9b1dfe187e962258_25">
              <w:r>
                <w:rPr>
                  <w:rStyle w:val="InternetLink"/>
                  <w:rFonts w:ascii="Times New Roman;sans-serif" w:hAnsi="Times New Roman;sans-serif"/>
                  <w:b w:val="false"/>
                  <w:color w:val="000080"/>
                  <w:sz w:val="20"/>
                  <w:u w:val="single"/>
                </w:rPr>
                <w:t>Nine</w:t>
              </w:r>
            </w:hyperlink>
            <w:hyperlink w:anchor="ib9bb93f6b9bd426a9b1dfe187e962258_25">
              <w:r>
                <w:rPr>
                  <w:rStyle w:val="InternetLink"/>
                  <w:rFonts w:ascii="Times New Roman;sans-serif" w:hAnsi="Times New Roman;sans-serif"/>
                  <w:b w:val="false"/>
                  <w:color w:val="000080"/>
                  <w:sz w:val="20"/>
                  <w:u w:val="single"/>
                </w:rPr>
                <w:t xml:space="preserve"> Months Ended </w:t>
              </w:r>
            </w:hyperlink>
            <w:hyperlink w:anchor="ib9bb93f6b9bd426a9b1dfe187e962258_25">
              <w:r>
                <w:rPr>
                  <w:rStyle w:val="InternetLink"/>
                  <w:rFonts w:ascii="Times New Roman;sans-serif" w:hAnsi="Times New Roman;sans-serif"/>
                  <w:b w:val="false"/>
                  <w:color w:val="000080"/>
                  <w:sz w:val="20"/>
                  <w:u w:val="single"/>
                </w:rPr>
                <w:t>September</w:t>
              </w:r>
            </w:hyperlink>
            <w:hyperlink w:anchor="ib9bb93f6b9bd426a9b1dfe187e962258_25">
              <w:r>
                <w:rPr>
                  <w:rStyle w:val="InternetLink"/>
                  <w:rFonts w:ascii="Times New Roman;sans-serif" w:hAnsi="Times New Roman;sans-serif"/>
                  <w:b w:val="false"/>
                  <w:color w:val="000080"/>
                  <w:sz w:val="20"/>
                  <w:u w:val="single"/>
                </w:rPr>
                <w:t xml:space="preserve"> 30, 2024 and 2023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846">
              <w:r>
                <w:rPr>
                  <w:rStyle w:val="InternetLink"/>
                  <w:rFonts w:ascii="Times New Roman;sans-serif" w:hAnsi="Times New Roman;sans-serif"/>
                  <w:b w:val="false"/>
                  <w:strike w:val="false"/>
                  <w:dstrike w:val="false"/>
                  <w:color w:val="000000"/>
                  <w:sz w:val="20"/>
                  <w:u w:val="none"/>
                  <w:effect w:val="none"/>
                </w:rPr>
                <w:t>7</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28">
              <w:r>
                <w:rPr>
                  <w:rStyle w:val="InternetLink"/>
                  <w:rFonts w:ascii="Times New Roman;sans-serif" w:hAnsi="Times New Roman;sans-serif"/>
                  <w:b w:val="false"/>
                  <w:color w:val="000080"/>
                  <w:sz w:val="20"/>
                  <w:u w:val="single"/>
                </w:rPr>
                <w:t xml:space="preserve">Condensed Consolidated Statements of Redeemable Convertible Preferred Stock and Stockholders’ Equity for the Three and </w:t>
              </w:r>
            </w:hyperlink>
            <w:hyperlink w:anchor="ib9bb93f6b9bd426a9b1dfe187e962258_28">
              <w:r>
                <w:rPr>
                  <w:rStyle w:val="InternetLink"/>
                  <w:rFonts w:ascii="Times New Roman;sans-serif" w:hAnsi="Times New Roman;sans-serif"/>
                  <w:b w:val="false"/>
                  <w:color w:val="000080"/>
                  <w:sz w:val="20"/>
                  <w:u w:val="single"/>
                </w:rPr>
                <w:t>Nine</w:t>
              </w:r>
            </w:hyperlink>
            <w:hyperlink w:anchor="ib9bb93f6b9bd426a9b1dfe187e962258_28">
              <w:r>
                <w:rPr>
                  <w:rStyle w:val="InternetLink"/>
                  <w:rFonts w:ascii="Times New Roman;sans-serif" w:hAnsi="Times New Roman;sans-serif"/>
                  <w:b w:val="false"/>
                  <w:color w:val="000080"/>
                  <w:sz w:val="20"/>
                  <w:u w:val="single"/>
                </w:rPr>
                <w:t xml:space="preserve"> Months Ended </w:t>
              </w:r>
            </w:hyperlink>
            <w:hyperlink w:anchor="ib9bb93f6b9bd426a9b1dfe187e962258_28">
              <w:r>
                <w:rPr>
                  <w:rStyle w:val="InternetLink"/>
                  <w:rFonts w:ascii="Times New Roman;sans-serif" w:hAnsi="Times New Roman;sans-serif"/>
                  <w:b w:val="false"/>
                  <w:color w:val="000080"/>
                  <w:sz w:val="20"/>
                  <w:u w:val="single"/>
                </w:rPr>
                <w:t>September</w:t>
              </w:r>
            </w:hyperlink>
            <w:hyperlink w:anchor="ib9bb93f6b9bd426a9b1dfe187e962258_28">
              <w:r>
                <w:rPr>
                  <w:rStyle w:val="InternetLink"/>
                  <w:rFonts w:ascii="Times New Roman;sans-serif" w:hAnsi="Times New Roman;sans-serif"/>
                  <w:b w:val="false"/>
                  <w:color w:val="000080"/>
                  <w:sz w:val="20"/>
                  <w:u w:val="single"/>
                </w:rPr>
                <w:t xml:space="preserve"> 30, 2024 and 2023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28">
              <w:r>
                <w:rPr>
                  <w:rStyle w:val="InternetLink"/>
                  <w:rFonts w:ascii="Times New Roman;sans-serif" w:hAnsi="Times New Roman;sans-serif"/>
                  <w:b w:val="false"/>
                  <w:strike w:val="false"/>
                  <w:dstrike w:val="false"/>
                  <w:color w:val="000000"/>
                  <w:sz w:val="20"/>
                  <w:u w:val="none"/>
                  <w:effect w:val="none"/>
                </w:rPr>
                <w:t>8</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31">
              <w:r>
                <w:rPr>
                  <w:rStyle w:val="InternetLink"/>
                  <w:rFonts w:ascii="Times New Roman;sans-serif" w:hAnsi="Times New Roman;sans-serif"/>
                  <w:b w:val="false"/>
                  <w:color w:val="000080"/>
                  <w:sz w:val="20"/>
                  <w:u w:val="single"/>
                </w:rPr>
                <w:t xml:space="preserve">Condensed Consolidated Statements of Cash Flows for the </w:t>
              </w:r>
            </w:hyperlink>
            <w:hyperlink w:anchor="ib9bb93f6b9bd426a9b1dfe187e962258_31">
              <w:r>
                <w:rPr>
                  <w:rStyle w:val="InternetLink"/>
                  <w:rFonts w:ascii="Times New Roman;sans-serif" w:hAnsi="Times New Roman;sans-serif"/>
                  <w:b w:val="false"/>
                  <w:color w:val="000080"/>
                  <w:sz w:val="20"/>
                  <w:u w:val="single"/>
                </w:rPr>
                <w:t>Nine</w:t>
              </w:r>
            </w:hyperlink>
            <w:hyperlink w:anchor="ib9bb93f6b9bd426a9b1dfe187e962258_31">
              <w:r>
                <w:rPr>
                  <w:rStyle w:val="InternetLink"/>
                  <w:rFonts w:ascii="Times New Roman;sans-serif" w:hAnsi="Times New Roman;sans-serif"/>
                  <w:b w:val="false"/>
                  <w:color w:val="000080"/>
                  <w:sz w:val="20"/>
                  <w:u w:val="single"/>
                </w:rPr>
                <w:t xml:space="preserve"> Months Ended </w:t>
              </w:r>
            </w:hyperlink>
            <w:hyperlink w:anchor="ib9bb93f6b9bd426a9b1dfe187e962258_31">
              <w:r>
                <w:rPr>
                  <w:rStyle w:val="InternetLink"/>
                  <w:rFonts w:ascii="Times New Roman;sans-serif" w:hAnsi="Times New Roman;sans-serif"/>
                  <w:b w:val="false"/>
                  <w:color w:val="000080"/>
                  <w:sz w:val="20"/>
                  <w:u w:val="single"/>
                </w:rPr>
                <w:t>September</w:t>
              </w:r>
            </w:hyperlink>
            <w:hyperlink w:anchor="ib9bb93f6b9bd426a9b1dfe187e962258_31">
              <w:r>
                <w:rPr>
                  <w:rStyle w:val="InternetLink"/>
                  <w:rFonts w:ascii="Times New Roman;sans-serif" w:hAnsi="Times New Roman;sans-serif"/>
                  <w:b w:val="false"/>
                  <w:color w:val="000080"/>
                  <w:sz w:val="20"/>
                  <w:u w:val="single"/>
                </w:rPr>
                <w:t xml:space="preserve"> 30, 2024 and 2023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549755814749">
              <w:r>
                <w:rPr>
                  <w:rStyle w:val="InternetLink"/>
                  <w:rFonts w:ascii="Times New Roman;sans-serif" w:hAnsi="Times New Roman;sans-serif"/>
                  <w:b w:val="false"/>
                  <w:strike w:val="false"/>
                  <w:dstrike w:val="false"/>
                  <w:color w:val="000000"/>
                  <w:sz w:val="20"/>
                  <w:u w:val="none"/>
                  <w:effect w:val="none"/>
                </w:rPr>
                <w:t>10</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34">
              <w:r>
                <w:rPr>
                  <w:rStyle w:val="InternetLink"/>
                  <w:rFonts w:ascii="Times New Roman;sans-serif" w:hAnsi="Times New Roman;sans-serif"/>
                  <w:b w:val="false"/>
                  <w:color w:val="0E32E1"/>
                  <w:sz w:val="20"/>
                  <w:u w:val="single"/>
                </w:rPr>
                <w:t>Notes to Condensed Consolidated 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34">
              <w:r>
                <w:rPr>
                  <w:rStyle w:val="InternetLink"/>
                  <w:rFonts w:ascii="Times New Roman;sans-serif" w:hAnsi="Times New Roman;sans-serif"/>
                  <w:b w:val="false"/>
                  <w:strike w:val="false"/>
                  <w:dstrike w:val="false"/>
                  <w:color w:val="000000"/>
                  <w:sz w:val="20"/>
                  <w:u w:val="none"/>
                  <w:effect w:val="none"/>
                </w:rPr>
                <w:t>12</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15">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15">
              <w:r>
                <w:rPr>
                  <w:rStyle w:val="InternetLink"/>
                  <w:rFonts w:ascii="Times New Roman;sans-serif" w:hAnsi="Times New Roman;sans-serif"/>
                  <w:b w:val="false"/>
                  <w:strike w:val="false"/>
                  <w:dstrike w:val="false"/>
                  <w:color w:val="000000"/>
                  <w:sz w:val="20"/>
                  <w:u w:val="none"/>
                  <w:effect w:val="none"/>
                </w:rPr>
                <w:t>40</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69">
              <w:r>
                <w:rPr>
                  <w:rStyle w:val="InternetLink"/>
                  <w:rFonts w:ascii="Times New Roman;sans-serif" w:hAnsi="Times New Roman;sans-serif"/>
                  <w:b w:val="false"/>
                  <w:color w:val="0E32E1"/>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69">
              <w:r>
                <w:rPr>
                  <w:rStyle w:val="InternetLink"/>
                  <w:rFonts w:ascii="Times New Roman;sans-serif" w:hAnsi="Times New Roman;sans-serif"/>
                  <w:b w:val="false"/>
                  <w:strike w:val="false"/>
                  <w:dstrike w:val="false"/>
                  <w:color w:val="000000"/>
                  <w:sz w:val="20"/>
                  <w:u w:val="none"/>
                  <w:effect w:val="none"/>
                </w:rPr>
                <w:t>54</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72">
              <w:r>
                <w:rPr>
                  <w:rStyle w:val="InternetLink"/>
                  <w:rFonts w:ascii="Times New Roman;sans-serif" w:hAnsi="Times New Roman;sans-serif"/>
                  <w:b w:val="false"/>
                  <w:color w:val="0E32E1"/>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72">
              <w:r>
                <w:rPr>
                  <w:rStyle w:val="InternetLink"/>
                  <w:rFonts w:ascii="Times New Roman;sans-serif" w:hAnsi="Times New Roman;sans-serif"/>
                  <w:b w:val="false"/>
                  <w:strike w:val="false"/>
                  <w:dstrike w:val="false"/>
                  <w:color w:val="000000"/>
                  <w:sz w:val="20"/>
                  <w:u w:val="none"/>
                  <w:effect w:val="none"/>
                </w:rPr>
                <w:t>55</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75">
              <w:r>
                <w:rPr>
                  <w:rStyle w:val="InternetLink"/>
                  <w:rFonts w:ascii="Times New Roman;sans-serif" w:hAnsi="Times New Roman;sans-serif"/>
                  <w:b w:val="false"/>
                  <w:color w:val="0E32E1"/>
                  <w:sz w:val="20"/>
                  <w:u w:val="single"/>
                </w:rPr>
                <w:t>PART II. OTHER INFORMATION</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78">
              <w:r>
                <w:rPr>
                  <w:rStyle w:val="InternetLink"/>
                  <w:rFonts w:ascii="Times New Roman;sans-serif" w:hAnsi="Times New Roman;sans-serif"/>
                  <w:b w:val="false"/>
                  <w:color w:val="0E32E1"/>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78">
              <w:r>
                <w:rPr>
                  <w:rStyle w:val="InternetLink"/>
                  <w:rFonts w:ascii="Times New Roman;sans-serif" w:hAnsi="Times New Roman;sans-serif"/>
                  <w:b w:val="false"/>
                  <w:strike w:val="false"/>
                  <w:dstrike w:val="false"/>
                  <w:color w:val="000000"/>
                  <w:sz w:val="20"/>
                  <w:u w:val="none"/>
                  <w:effect w:val="none"/>
                </w:rPr>
                <w:t>56</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81">
              <w:r>
                <w:rPr>
                  <w:rStyle w:val="InternetLink"/>
                  <w:rFonts w:ascii="Times New Roman;sans-serif" w:hAnsi="Times New Roman;sans-serif"/>
                  <w:b w:val="false"/>
                  <w:color w:val="0E32E1"/>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81">
              <w:r>
                <w:rPr>
                  <w:rStyle w:val="InternetLink"/>
                  <w:rFonts w:ascii="Times New Roman;sans-serif" w:hAnsi="Times New Roman;sans-serif"/>
                  <w:b w:val="false"/>
                  <w:strike w:val="false"/>
                  <w:dstrike w:val="false"/>
                  <w:color w:val="000000"/>
                  <w:sz w:val="20"/>
                  <w:u w:val="none"/>
                  <w:effect w:val="none"/>
                </w:rPr>
                <w:t>56</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84">
              <w:r>
                <w:rPr>
                  <w:rStyle w:val="InternetLink"/>
                  <w:rFonts w:ascii="Times New Roman;sans-serif" w:hAnsi="Times New Roman;sans-serif"/>
                  <w:b w:val="false"/>
                  <w:color w:val="0E32E1"/>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84">
              <w:r>
                <w:rPr>
                  <w:rStyle w:val="InternetLink"/>
                  <w:rFonts w:ascii="Times New Roman;sans-serif" w:hAnsi="Times New Roman;sans-serif"/>
                  <w:b w:val="false"/>
                  <w:strike w:val="false"/>
                  <w:dstrike w:val="false"/>
                  <w:color w:val="000000"/>
                  <w:sz w:val="20"/>
                  <w:u w:val="none"/>
                  <w:effect w:val="none"/>
                </w:rPr>
                <w:t>105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87">
              <w:r>
                <w:rPr>
                  <w:rStyle w:val="InternetLink"/>
                  <w:rFonts w:ascii="Times New Roman;sans-serif" w:hAnsi="Times New Roman;sans-serif"/>
                  <w:b w:val="false"/>
                  <w:color w:val="0E32E1"/>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87">
              <w:r>
                <w:rPr>
                  <w:rStyle w:val="InternetLink"/>
                  <w:rFonts w:ascii="Times New Roman;sans-serif" w:hAnsi="Times New Roman;sans-serif"/>
                  <w:b w:val="false"/>
                  <w:strike w:val="false"/>
                  <w:dstrike w:val="false"/>
                  <w:color w:val="000000"/>
                  <w:sz w:val="20"/>
                  <w:u w:val="none"/>
                  <w:effect w:val="none"/>
                </w:rPr>
                <w:t>105</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b9bb93f6b9bd426a9b1dfe187e962258_190">
              <w:r>
                <w:rPr>
                  <w:rStyle w:val="InternetLink"/>
                  <w:rFonts w:ascii="Times New Roman;sans-serif" w:hAnsi="Times New Roman;sans-serif"/>
                  <w:b w:val="false"/>
                  <w:color w:val="0E32E1"/>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b93f6b9bd426a9b1dfe187e962258_190">
              <w:r>
                <w:rPr>
                  <w:rStyle w:val="InternetLink"/>
                  <w:rFonts w:ascii="Times New Roman;sans-serif" w:hAnsi="Times New Roman;sans-serif"/>
                  <w:b w:val="false"/>
                  <w:strike w:val="false"/>
                  <w:dstrike w:val="false"/>
                  <w:color w:val="000000"/>
                  <w:sz w:val="20"/>
                  <w:u w:val="none"/>
                  <w:effect w:val="none"/>
                </w:rPr>
                <w:t>107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CAUTIONARY NOTE REGARDING FORWARD-LOOKING STATEMENTS</w:t>
      </w:r>
    </w:p>
    <w:p>
      <w:pPr>
        <w:pStyle w:val="TextBody"/>
        <w:bidi w:val="0"/>
        <w:spacing w:lineRule="auto" w:line="288" w:before="240" w:after="283"/>
        <w:jc w:val="left"/>
        <w:rPr/>
      </w:pPr>
      <w:r>
        <w:rPr>
          <w:rFonts w:ascii="Times New Roman;sans-serif" w:hAnsi="Times New Roman;sans-serif"/>
          <w:b w:val="false"/>
          <w:color w:val="000000"/>
          <w:sz w:val="20"/>
        </w:rPr>
        <w:t xml:space="preserve">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 xml:space="preserve">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changes in overall demand for our products and services and cancellation of orders for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uncertainty of our projected financial and operational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timing of expected business milestones and commercial product launches;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expansion of our manufacturing facility, the construction of new manufacturing facilities and the increase of our production capacity;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expenses and control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future market adoption of our offerings;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effects of competition and the pace and depth of electric vehicle adoption generally on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regulatory requirements, governmental incentives and fuel and energy prices;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rapidly innovate;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enter into or maintain partnerships with original equipment manufacturers, vendors and technology providers, including our ability to realize the anticipated benefits of our transaction with Aston Martin;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manage our growth and recruit and retain key employees, including our chief executive officer and executive team;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risks related to potential vehicle recalls;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our ability to establish and expand our brand, and capture additional market share, and the risks associated with negative press or reputational harm;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risks related to the issuance and sale of shares of our Redeemable Convertible Preferred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effectively utilize zero emission vehicle credits and obtain and utilize certain tax and other incentives;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conduct equity, equity-linked, or debt financing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pay interest and principal on our indebtedness;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future changes to vehicle specifications which may impact performance, pricing, and other expectations;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of any potential litigation, government and regulatory proceedings, investigations and inquiries;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other factors disclosed in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or our other filings with the Securities and Exchange Commission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The forward-looking statements contained in this </w:t>
      </w:r>
      <w:r>
        <w:rPr>
          <w:rFonts w:ascii="Times New Roman;sans-serif" w:hAnsi="Times New Roman;sans-serif"/>
          <w:b w:val="false"/>
          <w:color w:val="000000"/>
          <w:sz w:val="20"/>
          <w:shd w:fill="FFFFFF" w:val="clear"/>
        </w:rPr>
        <w:t xml:space="preserve">Quarterly Report on Form 10-Q </w:t>
      </w:r>
      <w:r>
        <w:rPr>
          <w:rFonts w:ascii="Times New Roman;sans-serif" w:hAnsi="Times New Roman;sans-serif"/>
          <w:b w:val="false"/>
          <w:color w:val="000000"/>
          <w:sz w:val="20"/>
        </w:rPr>
        <w:t>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Frequently Used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Item 1. Financial Statements and accompanying footnotes, or the context otherwise requires, references in this Quarterly Report on Form 10-Q 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2026 Notes” are to the 1.25% Convertible Senior Notes due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AMP-1” are to our Advanced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AMP-2” are to our planned Advanced Manufacturing Plant-2 in Saudi Arabia, which consists of a semi knocked-down (“SKD”) portion that has been completed and a completely-built-up (“CBU”) portion that will be constructed;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Ayar” are to Ayar Third Investment Company, an affiliate of PIF and the controlling stockholder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Board” or “Board of Directors” are to the board of directors of Lucid Group Inc., a Delaware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Certificate of Designations” refers to Series A Certificate of Designations and Series B Certificate of Designations,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Churchill IPO” are to the initial public offering by Churchill which closed on August 3, 2020;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are to the consummation of the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Closing Date” are to July 23, 2021, the date on which the Transactions were consummated;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ans-serif" w:hAnsi="Times New Roman;sans-serif"/>
          <w:b w:val="false"/>
          <w:color w:val="000000"/>
          <w:sz w:val="20"/>
        </w:rPr>
        <w:t>common stock” are to the Class A common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ESG” are to Environmental, Social and Governance;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EV” are to electric vehicle;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Investor Rights Agreement” are to the Investor Rights Agreement, dated as of February 22, 2021 and as amended from time-to-time, by and among the Company, the Sponsor, Ayar and certain other parties thereto;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Legacy Lucid” are to Atieva, Inc., d/b/a Lucid Motors, an exempted company incorporated with limited liability under the laws of the Cayman Islands, and its consolidated subsidiaries before the Closing Date;</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ans-serif" w:hAnsi="Times New Roman;sans-serif"/>
          <w:b w:val="false"/>
          <w:color w:val="000000"/>
          <w:sz w:val="20"/>
        </w:rPr>
        <w:t>LPM-1” are to our Lucid Powertrain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are to the merger of a merger subsidiary of Churchill and Atieva, Inc., with Atieva, Inc. surviving such merger as a wholly owned subsidiary of Churchill;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PIF” are to the Public Investment Fund, the sovereign wealth fund of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Private Placement Warrants” are to Churchill’s warrants issued to the Sponsor in a private placement simultaneously with the closing of the Churchill IPO;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Redeemable Convertible Preferred Stock” are to the Series A Convertible Preferred Stock and Series B Convertible Preferred Stock,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Series A Redeemable Convertible Preferred Stock” are to the Series A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Series A Subscription Agreement” refers to the subscription agreement entered into on March 24, 2024, by the Company and Ayar to purchase from the Company 100,000 shares of its Series A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Series B Redeemable Convertible Preferred Stock” are to the Series B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Series B Subscription Agreement” refers to the subscription agreement entered into on August 4, 2024, by the Company and Ayar to purchase from the Company 75,000 shares of its Series B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Sponsor” are to Churchill Sponsor IV LLC, a Delaware limited liability company and an affiliate of M. Klein and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Transactions” are to the Merger, together with the other transactions consummated under the Merger Agreement and the related agreements;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Warrant Agreement” are to the Warrant Agreement, dated July 29, 2020, entered into in connection with the Churchill IPO by and between Continental Stock Transfer &amp; Trust Company and Churchill.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5"/>
        <w:gridCol w:w="2003"/>
        <w:gridCol w:w="1965"/>
        <w:gridCol w:w="109"/>
        <w:gridCol w:w="109"/>
        <w:gridCol w:w="109"/>
        <w:gridCol w:w="211"/>
        <w:gridCol w:w="991"/>
        <w:gridCol w:w="109"/>
        <w:gridCol w:w="109"/>
        <w:gridCol w:w="109"/>
        <w:gridCol w:w="109"/>
        <w:gridCol w:w="211"/>
        <w:gridCol w:w="991"/>
        <w:gridCol w:w="155"/>
      </w:tblGrid>
      <w:tr>
        <w:trPr/>
        <w:tc>
          <w:tcPr>
            <w:tcW w:w="2915"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(including $15,000 and nil associated with a related party as of September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(including $70,846 and $35,526 from a related party as of September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4,757,155 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2,810,867 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 securities of a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8,489,183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8,512,718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(including $70,495 and $92,258 associated with related parties as of September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1,996,960 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(including $120,286 and $178,311 associated with related parties as of September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3,661,026 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10,000,000 shares authorized as of September 30, 2024 and December 31, 2023, Series A redeemable convertible preferred stock, par value $0.0001; 100,000 and 0 shares issued and outstanding as of September 30, 2024 and December 31, 2023,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10,000,000 shares authorized as of September 30, 2024 and December 31, 2023, Series B redeemable convertible preferred stock, par value $0.0001; 75,000 and 0 shares issued and outstanding as of September 30, 2024 and December 31, 2023,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15,000,000,000 shares authorized as of September 30, 2024 and December 31, 2023; 2,338,376,367 and 2,300,111,489 shares issued and 2,337,518,542 and 2,299,253,664 shares outstanding as of September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15,206,764 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15,066,080 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857,825 shares at September 30,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(10,198,752)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4,851,692 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TOTAL 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8,489,183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8,512,718</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22"/>
        <w:gridCol w:w="885"/>
        <w:gridCol w:w="891"/>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9"/>
              </w:rPr>
            </w:pPr>
            <w:r>
              <w:rPr>
                <w:rFonts w:ascii="Times New Roman;sans-serif" w:hAnsi="Times New Roman;sans-serif"/>
                <w:b w:val="false"/>
                <w:color w:val="000000"/>
                <w:sz w:val="19"/>
              </w:rPr>
              <w:t>Revenue (including $45,588 and $4,980 from a related party for the three months ended September 30, 2024 and 2023, and $133,424 and $4,980 for the nine months ended September 30, 2024 and 2023, respectively)</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573,359 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438,120 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1,526,051 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694,035 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556,209 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970,576 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890,689 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2,861,229 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2,800,841 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(770,538)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(752,875)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(2,287,870)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(2,362,721)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(expense), net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189,079 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Loss before provision for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(991,988)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(2,316,114)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(2,173,642)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(992,475)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(2,316,724)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(2,174,654)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basic and diluted</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(949,637)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(2,424,648)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(2,174,654)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shares outstanding attributable to common stockholders, basic and 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2,323,971,541 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2,284,446,783 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2,312,249,333 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2,010,916,100 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 per share attributable to common stockholders, basic and 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comprehensive income (loss)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unrealized gains on investments, net of tax</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comprehensive income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(975,402)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(631,307)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(2,308,660)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(2,173,445)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loss attributable to common stockholders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(932,564)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(631,307)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(2,416,584)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(2,173,445)</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4872" w:type="dxa"/>
        <w:jc w:val="center"/>
        <w:tblInd w:w="0" w:type="dxa"/>
        <w:tblLayout w:type="fixed"/>
        <w:tblCellMar>
          <w:top w:w="28" w:type="dxa"/>
          <w:left w:w="28" w:type="dxa"/>
          <w:bottom w:w="28" w:type="dxa"/>
          <w:right w:w="28" w:type="dxa"/>
        </w:tblCellMar>
      </w:tblPr>
      <w:tblGrid>
        <w:gridCol w:w="612"/>
        <w:gridCol w:w="301"/>
        <w:gridCol w:w="303"/>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600"/>
        <w:gridCol w:w="601"/>
        <w:gridCol w:w="211"/>
        <w:gridCol w:w="109"/>
        <w:gridCol w:w="109"/>
        <w:gridCol w:w="109"/>
        <w:gridCol w:w="198"/>
        <w:gridCol w:w="441"/>
        <w:gridCol w:w="112"/>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976"/>
        <w:gridCol w:w="109"/>
        <w:gridCol w:w="109"/>
        <w:gridCol w:w="109"/>
        <w:gridCol w:w="109"/>
        <w:gridCol w:w="196"/>
        <w:gridCol w:w="88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Redeemable Convertible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100,000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651,311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2,318,685,904</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15,063,541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(4,159)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(11,523,001)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3,515,897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18,034,831 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797,807 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Series B redeemable convertible preferred stock, net of derivative liability and issuance costs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175,000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1,060,156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2,337,518,542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234</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15,206,764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12,914</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(12,515,476)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2,683,720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648" w:type="dxa"/>
        <w:jc w:val="center"/>
        <w:tblInd w:w="0" w:type="dxa"/>
        <w:tblLayout w:type="fixed"/>
        <w:tblCellMar>
          <w:top w:w="28" w:type="dxa"/>
          <w:left w:w="28" w:type="dxa"/>
          <w:bottom w:w="28" w:type="dxa"/>
          <w:right w:w="28" w:type="dxa"/>
        </w:tblCellMar>
      </w:tblPr>
      <w:tblGrid>
        <w:gridCol w:w="612"/>
        <w:gridCol w:w="301"/>
        <w:gridCol w:w="303"/>
        <w:gridCol w:w="109"/>
        <w:gridCol w:w="109"/>
        <w:gridCol w:w="109"/>
        <w:gridCol w:w="600"/>
        <w:gridCol w:w="601"/>
        <w:gridCol w:w="211"/>
        <w:gridCol w:w="109"/>
        <w:gridCol w:w="109"/>
        <w:gridCol w:w="109"/>
        <w:gridCol w:w="198"/>
        <w:gridCol w:w="441"/>
        <w:gridCol w:w="112"/>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886"/>
        <w:gridCol w:w="109"/>
        <w:gridCol w:w="109"/>
        <w:gridCol w:w="109"/>
        <w:gridCol w:w="109"/>
        <w:gridCol w:w="196"/>
        <w:gridCol w:w="88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2,282,278,815</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14,904,370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(9,950)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(8,914,092)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5,959,840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5,172,059 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1,825,636 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2,289,276,510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229</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14,981,851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(10,363)</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(9,544,986)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5,406,015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bidi w:val="0"/>
        <w:spacing w:before="0" w:after="0"/>
        <w:jc w:val="center"/>
        <w:rPr/>
      </w:pPr>
      <w:r>
        <w:rPr/>
      </w:r>
    </w:p>
    <w:tbl>
      <w:tblPr>
        <w:tblW w:w="14872" w:type="dxa"/>
        <w:jc w:val="center"/>
        <w:tblInd w:w="0" w:type="dxa"/>
        <w:tblLayout w:type="fixed"/>
        <w:tblCellMar>
          <w:top w:w="28" w:type="dxa"/>
          <w:left w:w="28" w:type="dxa"/>
          <w:bottom w:w="28" w:type="dxa"/>
          <w:right w:w="28" w:type="dxa"/>
        </w:tblCellMar>
      </w:tblPr>
      <w:tblGrid>
        <w:gridCol w:w="612"/>
        <w:gridCol w:w="301"/>
        <w:gridCol w:w="303"/>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600"/>
        <w:gridCol w:w="601"/>
        <w:gridCol w:w="211"/>
        <w:gridCol w:w="109"/>
        <w:gridCol w:w="109"/>
        <w:gridCol w:w="109"/>
        <w:gridCol w:w="198"/>
        <w:gridCol w:w="441"/>
        <w:gridCol w:w="112"/>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976"/>
        <w:gridCol w:w="109"/>
        <w:gridCol w:w="109"/>
        <w:gridCol w:w="109"/>
        <w:gridCol w:w="109"/>
        <w:gridCol w:w="196"/>
        <w:gridCol w:w="88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Redeemable 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2,299,253,664</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15,066,080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4,850</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(10,198,752)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4,851,692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30,766,957 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4,601,557 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2,896,364 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Series A redeemable convertible preferred stock, net of derivative liability and issuance costs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Series B redeemable convertible preferred stock, net of derivative liability and issuance costs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175,000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1,060,156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2,337,518,542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234</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15,206,764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12,914</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(12,515,476)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2,683,720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648" w:type="dxa"/>
        <w:jc w:val="center"/>
        <w:tblInd w:w="0" w:type="dxa"/>
        <w:tblLayout w:type="fixed"/>
        <w:tblCellMar>
          <w:top w:w="28" w:type="dxa"/>
          <w:left w:w="28" w:type="dxa"/>
          <w:bottom w:w="28" w:type="dxa"/>
          <w:right w:w="28" w:type="dxa"/>
        </w:tblCellMar>
      </w:tblPr>
      <w:tblGrid>
        <w:gridCol w:w="612"/>
        <w:gridCol w:w="301"/>
        <w:gridCol w:w="303"/>
        <w:gridCol w:w="109"/>
        <w:gridCol w:w="109"/>
        <w:gridCol w:w="109"/>
        <w:gridCol w:w="600"/>
        <w:gridCol w:w="601"/>
        <w:gridCol w:w="211"/>
        <w:gridCol w:w="109"/>
        <w:gridCol w:w="109"/>
        <w:gridCol w:w="109"/>
        <w:gridCol w:w="198"/>
        <w:gridCol w:w="441"/>
        <w:gridCol w:w="112"/>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886"/>
        <w:gridCol w:w="109"/>
        <w:gridCol w:w="109"/>
        <w:gridCol w:w="109"/>
        <w:gridCol w:w="109"/>
        <w:gridCol w:w="196"/>
        <w:gridCol w:w="88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1,829,314,736</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183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11,752,138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(11,572)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(7,370,332)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4,349,701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(2,174,654)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11,607,793 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2,287,592 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6,827,738 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Underwriting Agreement,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173,544,948 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1,184,224 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2023 Subscription Agreement to a related party,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265,693,703 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1,812,641 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2,289,276,510</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229</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14,981,851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(10,363)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(9,544,986)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5,406,015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00"/>
        <w:gridCol w:w="2220"/>
        <w:gridCol w:w="2234"/>
        <w:gridCol w:w="211"/>
        <w:gridCol w:w="1018"/>
        <w:gridCol w:w="109"/>
        <w:gridCol w:w="109"/>
        <w:gridCol w:w="109"/>
        <w:gridCol w:w="109"/>
        <w:gridCol w:w="211"/>
        <w:gridCol w:w="1018"/>
        <w:gridCol w:w="157"/>
      </w:tblGrid>
      <w:tr>
        <w:trPr/>
        <w:tc>
          <w:tcPr>
            <w:tcW w:w="270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(2,316,724)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(2,174,654)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loss to net cash used in operating activities: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166,033 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insurance premium</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operating lease cost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193,432 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 and firm purchase commitments write-downs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734,495 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accretion of investment discounts/premiums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(74,928)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non-cash items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(including $(35,320) and $(5,533) from a related party for the nine months ended September 30, 2024 and 2023, respectively)</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(575,933)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assets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(113,790)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(114,810)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compensation</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(1,781)</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Other current liabilities </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(61,505)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operating activities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(1,486,527)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(2,015,204)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plant and equipment (including $(56,679) and $(66,877) from a related party for the nine months ended September 30, 2024 and 2023, respectively)</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(638,002)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investments (including $(15,000) and nil from a related party for the nine months ended September 30, 2024 and 2023, respectively)</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(2,374,220)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(3,585,254)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maturities of investments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2,480,570 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investments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148,388 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investing activities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(1,599,125)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 under Underwriting Agreement, net of issuance costs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1,184,224 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 under 2023 Subscription Agreement to a related party, net of issuance costs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1,812,641 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Series A redeemable convertible preferred stock to a related party</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Series B redeemable convertible preferred stock to a related party</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of issuance costs for Series A redeemable convertible preferred stock</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Payments of issuance costs for Series B redeemable convertible preferred stock</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Payment for credit facility issuance costs (including $(5,625) and nil to a related party for the nine months ended September 30, 2024 and 2023, respectively) </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for finance lease liabilities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borrowings from a related party</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42,920 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 of borrowings from a related party</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exercise of stock options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employee stock purchase plan</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withholding payments for net settlement of employee awards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financing activities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1,718,709 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3,042,956 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cash equivalents, and restricted cash</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(571,373)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cash, cash equivalents, and restricted cash</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1,737,320 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1,893,663 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1,165,947 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60"/>
        <w:gridCol w:w="2426"/>
        <w:gridCol w:w="2438"/>
        <w:gridCol w:w="211"/>
        <w:gridCol w:w="783"/>
        <w:gridCol w:w="109"/>
        <w:gridCol w:w="109"/>
        <w:gridCol w:w="109"/>
        <w:gridCol w:w="109"/>
        <w:gridCol w:w="211"/>
        <w:gridCol w:w="783"/>
        <w:gridCol w:w="157"/>
      </w:tblGrid>
      <w:tr>
        <w:trPr/>
        <w:tc>
          <w:tcPr>
            <w:tcW w:w="2760"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7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cash flow information:</w:t>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interest, net of amounts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Supplemental disclosure of non-cash investing and financing activity:</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Increases in purchases of property, plant and equipment included in accounts payable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77,844 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Government grant (related party) reflected in property, plant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(63,995)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and right-of-use assets obtained through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LUCID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1</w:t>
      </w:r>
      <w:r>
        <w:rPr>
          <w:color w:val="000000"/>
        </w:rPr>
        <w:t xml:space="preserve"> – </w:t>
      </w:r>
      <w:r>
        <w:rPr>
          <w:rFonts w:ascii="Times New Roman;sans-serif" w:hAnsi="Times New Roman;sans-serif"/>
          <w:b/>
          <w:color w:val="000000"/>
          <w:sz w:val="20"/>
        </w:rPr>
        <w:t>DESCRIPTION OF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 (“Lucid”) is a technology company focused on designing, developing, manufacturing, and selling the next generation of electric vehicles (“EV”), EV powertrains, and battery systems.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the notes to the condensed consolidated financial statements, unless otherwise noted, the “Company,” “we,” “us” or “our” and similar terms refer to Legacy Lucid and its subsidiaries prior to the consummation of the Merger, and Lucid and its subsidiaries after the consummation of the Merger.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devotes its efforts to business planning, selling and servicing of vehicles, providing technology access, research and development, construction and expansion of manufacturing facilities, expansion of retail studios and service center capacities, recruiting of management and technical staff, acquiring operating assets, and raising capital.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through September 30, 2024, the Company has incurred operating losses and negative cash flows from operating activities. For the nine months ended September 30, 2024 and 2023, the Company has incurred net losses of $2,316.7 million and $2,174.7 million, respectively. The Company had an accumulated deficit of $12.5 billion as of September 30,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further completed the paint shop and stamping portions of the AMP-1 phase 2 manufacturing facility during the three months ended September 30, 2024. The Company began commercial production of its first vehicle, the Lucid Air, in September 2021 and delivered its first vehicles in late October 2021. The Company continues to expand AMP-1, construct the completely-built-up (“CBU”) portion of AMP-2, and build a network of retail sales and service locations. The Company has plans for continued development of additional vehicle model types for future release. The aforementioned activities will require considerable capital, which is above and beyond the expected cash inflows from the initial sales of the Lucid Air. As such, the future operating plan involves considerable risk if secure funding sources are not identified and confirmed.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existing sources of liquidity include cash, cash equivalents, investments, and credit facilities. The Company funded operations primarily with issuances of common stock, convertible preferred stock and convertible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amended the GIB Facility Agreement (together with the GIB Facility Agreement, the “Amended GIB Facility Agreement”) to combine the Bridge Facility and the Working Capital Facility into a committed $266.6 million revolving credit facility (the “GIB Credit Facility”), which bears interest at a rate of 1.40% per annum over SAIBOR (based on the term of borrowing) and associated fees. See Note 6 “Debt”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the Company entered into a $750.0 million five-year unsecured delayed draw term loan credit facility (the “DDTL Credit Facility”) with Ayar Third Investment Company, the controlling stockholder of the Company (“Ayar”). See Note 6 “Debt” for more information.</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entered into an equity distribution agreement (the “Equity Distribution Agreement”) with BofA Securities, Inc., Barclays Capital Inc. and Citigroup Global Markets Inc., under which the Company could offer and sell shares of its common stock having an aggregate offering price up to $600.0 million (the “At-the-Market Offering”). On November 8, 2022, the Company also entered into a subscription agreement (the “2022 Subscription Agreement”) with Ayar, pursuant to which Ayar agreed to purchase from the Company up to $915.0 million of shares of its common stock in one or more private placements through March 31, 2023. In December 2022, the Company completed its At-the-Market Offering program pursuant to the Equity Distribution Agreement for net proceeds of $594.3 million after deducting commissions and other issuance costs and also consummated a private placement of shares to Ayar pursuant to the 2022 Subscription Agreement for $915.0 million. No shares remain available for sale under the Equity Distribution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the Company entered into an underwriting agreement (the “Underwriting Agreement”) with BofA Securities, Inc. (the “Underwriter”), under which the Underwriter agreed to purchase from the Company shares of the Company’s common stock in a public offering for aggregate net proceeds to the Company of $1.2 billion. In May 2023, the Company also entered into a subscription agreement (the “2023 Subscription Agreement”) with Ayar, pursuant to which Ayar agreed to purchase from the Company shares of the Company’s common stock in a private placement for aggregate net proceeds of $1.8 billion. In June 2023, the Company completed the public offering pursuant to the Underwriting Agreement for aggregate net proceeds of $1.2 billion and also consummated the private placement to Ayar pursuant to the 2023 Subscription Agreement for aggregate net proceeds of $1.8 billion. See Note 16 “Related Party Transactions”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entered into a subscription agreement (the “Series A Subscription Agreement”) with Ayar. Pursuant to the Series A Subscription Agreement, Ayar agreed to purchase from the Company 100,000 shares of its Series A convertible preferred stock, par value $0.0001 per share (the “Series A Redeemable Convertible Preferred Stock”), for an aggregate purchase price of $1.0 billion in a private placement. Subsequently, in March 2024, the Company issued the shares to Ayar pursuant to the Series A Subscription Agreement and received aggregate gross proceeds of $1.0 billion. In August 2024, the Company entered into a subscription agreement (the “Series B Subscription Agreement”) with Ayar. Pursuant to the Series B Subscription Agreement, Ayar agreed to purchase from the Company 75,000 shares of its Series B convertible preferred stock, par value $0.0001 per share (the “Series B Redeemable Convertible Preferred Stock”), for an aggregate purchase price of $750.0 million in a private placement. Subsequently, in August 2024, the Company issued the shares to Ayar pursuant to the Series B Subscription Agreement and received aggregate gross proceeds of $750.0 million. See Note 8 “Redeemable Convertible Preferred Stock”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Series A Redeemable Convertible Preferred Stock and the Series B Redeemable Convertible Preferred Stock (the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Series A Redeemable Convertible Preferred Stock (the “Series A Certificate of Designations”) and in the certificate of designations of the Series B Redeemable Convertible Preferred Stock (the “Series B Certificate of Designations”) of the Company or (ii) during specified periods preceding a fundamental change or optional redemption by the Company under the terms of the Redeemable Convertible Preferred Stock. See Note 8 “Redeemable Convertible Preferred Stock”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2024, the Company entered into an underwriting agreement (the “2024 Underwriting Agreement”) with the Underwriter, and also into a subscription agreement with Ayar (the “2024 Subscription Agreement”). See Note 17 “Subsequent Events” 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Certain Significant Risks and Uncertainties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business activities consist of (i) generating sales from the deliveries and service of vehicles, (ii) research and development efforts to design, engineer and develop high-performance fully electric vehicles and advanced electric vehicle powertrain components, including battery pack systems, (iii) further construction of AMP-1 phase 2 in Casa Grande, Arizona, (iv) construction of the CBU portion of AMP-2 in Saudi Arabia, (v) expansion of its retail studios and service centers capabilities throughout North America and across the globe, and (vi) providing its technology access to third parties. The Company is subject to the risks associated with such activities, including the need to further develop its technology, its marketing, and distribution channels; the need to further develop its supply chain and manufacturing; and the need to hire additional management and other employees. Successful completion of the Company’s development program and, ultimately, the attainment of profitable operations are dependent upon future events, including our ability to access potential markets, and secure long-term financing on commercially reasonable terms.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a dynamic high-technology industry.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regulatory, or other factors; and the Company’s ability to attract and retain employees necessary to support its business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 global economic recession or other downturn, whether due to inflation, global conflicts or other geopolitical events, public health crises, interest rate increases or other policy actions by major central banks, government closures of banks and liquidity concerns at other financial institutions, or other factors, may have an adverse impact on the Company’s business, prospects, financial condition and results of operations. Adverse economic conditions as well as uncertainty about the current and future global economic conditions may cause the Company’s customers to defer purchases or cancel their orders in response to higher interest rates, availability of consumer credit, decreased cash availability, fluctuations in foreign currency exchange rates, and weakened consumer confidence. Reduced demand for the Company’s products may result in significant decreases in product sales, which in turn would have a material adverse impact on the Company’s business, prospects, financial condition and results of operations. Because of the Company’s premium brand positioning and pricing, an economic downturn is likely to have a heightened adverse effect on the Company compared to many of its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the Company’s suppliers, sub-suppliers or partners become insolvent or are otherwise unable to continue their operations, fulfill their obligations to the Company, or meet the Company’s future demand. In addition, the deterioration of conditions in the broad financing markets may limit the Company’s ability to obtain external financing to fund its operations and capital expenditures on terms favorable to the Company, if at all. See “Risk Factors” in Part II, Item 1A of this Quarterly</w:t>
      </w:r>
      <w:r>
        <w:rPr>
          <w:color w:val="000000"/>
          <w:shd w:fill="FFFFFF" w:val="clear"/>
        </w:rPr>
        <w:t xml:space="preserve"> </w:t>
      </w:r>
      <w:r>
        <w:rPr>
          <w:rFonts w:ascii="Times New Roman;sans-serif" w:hAnsi="Times New Roman;sans-serif"/>
          <w:b w:val="false"/>
          <w:color w:val="000000"/>
          <w:sz w:val="20"/>
          <w:shd w:fill="FFFFFF" w:val="clear"/>
        </w:rPr>
        <w:t xml:space="preserve">Report </w:t>
      </w:r>
      <w:r>
        <w:rPr>
          <w:rFonts w:ascii="Times New Roman;sans-serif" w:hAnsi="Times New Roman;sans-serif"/>
          <w:b w:val="false"/>
          <w:color w:val="000000"/>
          <w:sz w:val="20"/>
        </w:rPr>
        <w:t>on Form 10-Q (the “Quarterly Report”) for more information regarding risks associated with a global economic recession, including under the caption “</w:t>
      </w:r>
      <w:r>
        <w:rPr>
          <w:rFonts w:ascii="Times New Roman;sans-serif" w:hAnsi="Times New Roman;sans-serif"/>
          <w:b w:val="false"/>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r>
        <w:rPr>
          <w:rFonts w:ascii="Times New Roman;sans-serif" w:hAnsi="Times New Roman;sans-serif"/>
          <w:b w:val="false"/>
          <w:i/>
          <w:color w:val="000000"/>
          <w:sz w:val="20"/>
        </w:rPr>
        <w:t>.</w:t>
      </w:r>
      <w:r>
        <w:rPr>
          <w:color w:val="00000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NOTE 2</w:t>
      </w:r>
      <w:r>
        <w:rPr>
          <w:color w:val="000000"/>
        </w:rPr>
        <w:t xml:space="preserve"> – </w:t>
      </w:r>
      <w:r>
        <w:rPr>
          <w:rFonts w:ascii="Times New Roman;sans-serif" w:hAnsi="Times New Roman;sans-serif"/>
          <w:b/>
          <w:color w:val="000000"/>
          <w:sz w:val="20"/>
        </w:rPr>
        <w:t>SUMMARY OF SIGNIFICANT ACCOUNTING POLICIES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27,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September 30, 2024 and the results of operations for the three and nine months ended September 30, 2024 and 2023. The results of operations for the three and nine months ended September 30, 2024 are not necessarily indicative of the results to be expected for the full year ending December 31, 2024 or any other future interim or annual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include the accounts of the Company and its wholly owned subsidiaries. All significant intercompany balances and transactions have been eliminated in consolidation.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fair value of derivative liabilities associated with the Redeemable Convertible Preferred Stock, estimates of residual value guarantee (“RVG”) liability, deferred revenue related to technology access fees and over-the-air (“OTA”) software updates, sales return reserves, assumptions used to measure stock-based compensation expense,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prior-period amounts have been reclassified in the accompanying condensed consolidated financial statements and notes thereto in order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 liquid investments with an original maturity at the date of purchase of three months or less to be cash equivalents.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in other current assets is primarily related to letters of credit issued to the landlords for certain of the Company’s leased facilities.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to amounts shown in the statements of cash flows (in thousands):</w:t>
      </w:r>
    </w:p>
    <w:tbl>
      <w:tblPr>
        <w:tblW w:w="7194" w:type="dxa"/>
        <w:jc w:val="left"/>
        <w:tblInd w:w="0" w:type="dxa"/>
        <w:tblLayout w:type="fixed"/>
        <w:tblCellMar>
          <w:top w:w="28" w:type="dxa"/>
          <w:left w:w="28" w:type="dxa"/>
          <w:bottom w:w="28" w:type="dxa"/>
          <w:right w:w="28" w:type="dxa"/>
        </w:tblCellMar>
      </w:tblPr>
      <w:tblGrid>
        <w:gridCol w:w="1532"/>
        <w:gridCol w:w="1345"/>
        <w:gridCol w:w="1353"/>
        <w:gridCol w:w="211"/>
        <w:gridCol w:w="976"/>
        <w:gridCol w:w="109"/>
        <w:gridCol w:w="109"/>
        <w:gridCol w:w="109"/>
        <w:gridCol w:w="109"/>
        <w:gridCol w:w="211"/>
        <w:gridCol w:w="97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consists of receivables from our customers and from financial institutions offering financing products to our customers for the sale of vehicles, sales of powertrain kits, services, and regulatory credits. The Company provides an allowance against accounts receivable for any potential uncollectible amounts. The Company recorded immaterial allowance for uncollectible amounts as of September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but its deposits exceed federally insured limits. As of September 30, 2024 and December 31, 2023, accounts receivable from the EV purchase agreement with the Government of Saudi Arabia, a related party of the Public Investment Fund (“PIF”), which is an affiliate of Ayar, as represented by the Ministry of Finance (the “EV Purchase Agreement”), represented 72.1% and 68.5% of the total accounts receivable balance, respectively. See Note 16 “Related Party Transactions” for more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of 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dependent on its suppliers, the majority of which are single-source suppliers, and the inability of these suppliers to deliver necessary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Revenue from Contracts with Customers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without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4 years. Payment is typically received at the time of delivery or shortly after delivery of the vehicle to the customer, except for vehicle sales under the EV Purchase Agreement. 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revenue recognition, the Company reduces the transaction price and records a sales return reserve against revenue for estimated variable consideration related to future product returns. Return rate estimates are based on historical experience and sales return reserve balance was not material as of September 30,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an RVG to its commercial banking partners in connection with its vehicle leasing program. Vehicle sales with RVG totaled $116.6 million and $307.5 million during the three and nine months ended September 30, 2024, respectively, and $56.5 million and $112.0 million for the same periods in the prior year, respectively. Under the vehicle leasing program, the Company generally receives payment for the vehicle sales price at the time of delivery or shortly after the delivery.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OTA software updates, and remarketing activities, in proportion to the standalone selling price of the Company’s performance obligations. 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RVG liability. As of September 30, 2024, the Company recorded $41.8 million of RVG liabilities. The RVG liabilities were not material as of December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recorded $46.3 million and $28.7 million of total deferred revenue from all vehicle sales primarily related to OTA and remarketing activities for vehicle sales, respectively. The Company recorded $13.7 million and $7.7 million of the total deferred revenue within other current liabilities and the remaining $32.6 million and $21.0 million within other long-term liabilities in the condensed consolidated balance sheets as of September 30, 2024 and December 31, 2023, respectively. Revenue recognized during the three and nine months ended September 30, 2024 and 2023 from the prior period deferred revenue balances was not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Operating Lease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sales of vehicles with repurchase obligations as operating leases. The Company sells vehicles primarily to rental companies with an obligation to repurchase the vehicles at an agreed upon repurchase price. The Company records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condensed consolidated balance sheets, and were not material as of September 30, 2024 and December 31, 2023. The operating lease revenue was not material for the three and nine months ended September 30, 2024, and nil for the same periods in the prior year.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consists of revenue from non-warranty after-sales vehicle services, sales of battery pack systems, powertrain kits, retail merchandise, and regulatory credits.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disaggregation of the Company’s revenue by geographic area based on the location where the sales originated was as follows (in thousands):</w:t>
      </w:r>
    </w:p>
    <w:tbl>
      <w:tblPr>
        <w:tblW w:w="7336" w:type="dxa"/>
        <w:jc w:val="left"/>
        <w:tblInd w:w="0" w:type="dxa"/>
        <w:tblLayout w:type="fixed"/>
        <w:tblCellMar>
          <w:top w:w="28" w:type="dxa"/>
          <w:left w:w="28" w:type="dxa"/>
          <w:bottom w:w="28" w:type="dxa"/>
          <w:right w:w="28" w:type="dxa"/>
        </w:tblCellMar>
      </w:tblPr>
      <w:tblGrid>
        <w:gridCol w:w="602"/>
        <w:gridCol w:w="529"/>
        <w:gridCol w:w="533"/>
        <w:gridCol w:w="216"/>
        <w:gridCol w:w="847"/>
        <w:gridCol w:w="111"/>
        <w:gridCol w:w="111"/>
        <w:gridCol w:w="111"/>
        <w:gridCol w:w="111"/>
        <w:gridCol w:w="216"/>
        <w:gridCol w:w="847"/>
        <w:gridCol w:w="111"/>
        <w:gridCol w:w="109"/>
        <w:gridCol w:w="109"/>
        <w:gridCol w:w="109"/>
        <w:gridCol w:w="211"/>
        <w:gridCol w:w="826"/>
        <w:gridCol w:w="109"/>
        <w:gridCol w:w="109"/>
        <w:gridCol w:w="109"/>
        <w:gridCol w:w="109"/>
        <w:gridCol w:w="211"/>
        <w:gridCol w:w="82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Middle East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200,038 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Derivative Liabilities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contracts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condensed consolidated statements of operations and comprehensive loss at each reporting period end. Bifurcated embedded derivatives are classified as a separate liability in the condensed consolidated balance sheet.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derivative liabilities are related to the conversion features embedded in the Redeemable Convertible Preferred Stock. See Note 8 “Redeemable Convertible Preferred Stock”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for the policies described above, there have been no significant changes to accounting policies during the three and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Not Yet Adopted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Financial Accounting Standards Board (“FASB”) issued ASU No. 2023-07, Segment Reporting (Topic 280): Improvements to Reportable Segment Disclosures, which requires incremental segment information disclosure on an annual and interim basis. This amendment includes disclosure of significant segment expenses which are regularly provided to the CODM and included within each reported measure of segment profit or loss; other segment items by reportable segment and a description of its composition; reportable segment’s profit or loss and assets; additional measures of segment profit or loss if the CODM uses more than one measure of a segment’s profit or loss in assessing segment performance, and the title and position of the entity’s CODM and how the CODM uses the reported measures of segment profit or loss in assessing segment performance and determining resource allocation. The Company with a single reportable segment is required to provide all the disclosures from this amendment. The guidance is effective for fiscal years beginning after December 15, 2023, and interim periods within fiscal years beginning after December 15, 2024. Early adoption is permitted, and should be applied retrospectively. The Company is evaluating the impact of this amendment to the related financial statement disclosures and expects to adopt them for the year ended December 31,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No. 2023-09, Income Taxes (Topic 740): Improvements to Income Tax Disclosures, which requires incremental annual income tax disclosures. This amendment includes disclosures of specific categories in the rate reconciliation and additional information for reconciling items that meet a quantitative threshold; income taxes paid (net of refunds received) disaggregated by federal, state, and foreign taxes, and also disaggregated by individual jurisdictions that meet a quantitative threshold; income (or loss) from continuing operations before income tax expenses (or benefit) disaggregated between domestic and foreign; and income tax expense (or benefit) from continuing operations disaggregated by federal, state and foreign. The guidance is effective for annual periods beginning after December 15, 2024. Early adoption is permitted and should be applied prospectively (with retrospective application permitted). The Company is evaluating the impact of this amendment to the related financial statement disclosures.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issued its final rule that requires certain climate-related disclosures in annual reports, including governance, oversight, and risk management processes on material climate-related risks; material impact of climate risks on the Company’s strategy, business model, and outlook; material climate targets and goals; and material financial statements impacts due to severe weather events and other natural conditions. This SEC rule provides phased effective dates, starting with fiscal years beginning on or after January 1, 2025. The SEC rule is currently stayed pending the outcome of litigation, and the Company is evaluating the impact of this rule on its annual reports.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No. 2024-03, Income Statement—Reporting Comprehensive Income—Expense Disaggregation Disclosures (Subtopic 220-40): Disaggregation of Income Statement Expenses, which requires disclosure of specified information about certain costs and expenses (such as purchases of inventory, employee compensation, depreciation, and amortization) within the relevant expense captions presented on the face of the statements of operations and comprehensive loss. The guidance is effective for annual reporting periods beginning after December 15, 2026, and interim reporting periods beginning after December 15, 2027. Early adoption is permitted, and should be applied either prospectively or retrospectively. The Company is evaluating the impact of this amendment to the related financial statement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considered all other recently issued accounting pronouncements and does not believe the adoption of such pronouncements will have a material impact on its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3 - RESTRUCTURING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2024, the Company announced a restructuring plan (the “2024 Restructuring Plan”) intended to optimize operating expenses in response to evolving business needs and productivity improvement through a reduction in workforce. The Company substantially completed the 2024 Restructuring Plan in the third quarter of 2024.</w:t>
      </w:r>
    </w:p>
    <w:p>
      <w:pPr>
        <w:pStyle w:val="TextBody"/>
        <w:bidi w:val="0"/>
        <w:spacing w:lineRule="auto" w:line="288" w:before="240" w:after="283"/>
        <w:jc w:val="left"/>
        <w:rPr/>
      </w:pPr>
      <w:r>
        <w:rPr>
          <w:rFonts w:ascii="Times New Roman;sans-serif" w:hAnsi="Times New Roman;sans-serif"/>
          <w:b w:val="false"/>
          <w:color w:val="000000"/>
          <w:sz w:val="20"/>
        </w:rPr>
        <w:t>During the three and nine months ended September 30, 2024, the Company recorded restructuring charges of $0.1 million and $20.3 million, respectively,</w:t>
      </w:r>
      <w:r>
        <w:rPr>
          <w:color w:val="B6B6B6"/>
        </w:rPr>
        <w:t xml:space="preserve"> </w:t>
      </w:r>
      <w:r>
        <w:rPr>
          <w:rFonts w:ascii="Times New Roman;sans-serif" w:hAnsi="Times New Roman;sans-serif"/>
          <w:b w:val="false"/>
          <w:color w:val="000000"/>
          <w:sz w:val="20"/>
        </w:rPr>
        <w:t xml:space="preserve">related to the 2024 Restructuring Plan within restructuring charges in the condensed consolidated statements of operations and comprehensive loss. The restructuring charges were primarily related to severance payments, employee benefits, employee transition and stock-based compensation, net of a reversal of previously recognized stock-based compensation expense.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2023, the Company announced a restructuring plan (the “2023 Restructuring Plan”) intended to reduce operating expenses in response to evolving business needs and productivity improvement through a reduction in workforce. The Company completed the 2023 Restructuring Plan during the first quarter of 2024. During the three and nine months ended September 30, 2023, the Company recorded restructuring charges of $0.5 million and $24.5 million, respectively, and recorded no restructuring charges for the same periods in the current year related to the 2023 Restructuring Plan. The restructuring charges were primarily related to severance payments, employee benefits, employee transition and stock-based compensation, net of a reversal of previously recognized stock-based compensation expense.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restructuring liabilities associated with the restructuring plans was as follows (in thousands):</w:t>
      </w:r>
    </w:p>
    <w:tbl>
      <w:tblPr>
        <w:tblW w:w="9997" w:type="dxa"/>
        <w:jc w:val="left"/>
        <w:tblInd w:w="0" w:type="dxa"/>
        <w:tblLayout w:type="fixed"/>
        <w:tblCellMar>
          <w:top w:w="28" w:type="dxa"/>
          <w:left w:w="28" w:type="dxa"/>
          <w:bottom w:w="28" w:type="dxa"/>
          <w:right w:w="28" w:type="dxa"/>
        </w:tblCellMar>
      </w:tblPr>
      <w:tblGrid>
        <w:gridCol w:w="1577"/>
        <w:gridCol w:w="1385"/>
        <w:gridCol w:w="1388"/>
        <w:gridCol w:w="245"/>
        <w:gridCol w:w="840"/>
        <w:gridCol w:w="127"/>
        <w:gridCol w:w="127"/>
        <w:gridCol w:w="127"/>
        <w:gridCol w:w="127"/>
        <w:gridCol w:w="245"/>
        <w:gridCol w:w="718"/>
        <w:gridCol w:w="127"/>
        <w:gridCol w:w="109"/>
        <w:gridCol w:w="109"/>
        <w:gridCol w:w="109"/>
        <w:gridCol w:w="266"/>
        <w:gridCol w:w="776"/>
        <w:gridCol w:w="137"/>
        <w:gridCol w:w="137"/>
        <w:gridCol w:w="137"/>
        <w:gridCol w:w="137"/>
        <w:gridCol w:w="266"/>
        <w:gridCol w:w="587"/>
        <w:gridCol w:w="194"/>
      </w:tblGrid>
      <w:tr>
        <w:trPr/>
        <w:tc>
          <w:tcPr>
            <w:tcW w:w="1577"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beginning of period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charges excluding non-cash items</w:t>
            </w:r>
            <w:r>
              <w:rPr>
                <w:rFonts w:ascii="Times New Roman;sans-serif" w:hAnsi="Times New Roman;sans-serif"/>
                <w:b w:val="false"/>
                <w:color w:val="000000"/>
                <w:sz w:val="13"/>
              </w:rPr>
              <w:t>(1)(2)</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Restructuring liabilities - end of period</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non-cash items of $1.5 million for the nine months ended September 30, 2024 related to the 2024 Restructuring Plan, which was net of accelerated stock-based compensation expense of $3.2 million and a reversal of $4.7 million related to previously recognized stock-based compensation expenses for unvested restricted stock awards.</w:t>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Excluded non-cash items of $1.4 million for the nine months ended September 30, 2023 related to the 2023 Restructuring Plan, which was net of accelerated stock-based compensation expense of $3.4 million and a reversal of $4.8 million related to previously recognized stock-based compensation expenses for unvested restricted stock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restructuring liabilities of $1.2 million associated with the 2024 Restructuring Plan were included in accrued compensation in the condensed consolidated balance sheet. There were no restructuring liabilities associated with the 2023 Restructuring Plan as of September 30, 2024. Restructuring liabilities associated with the 2023 Restructuring Plan were immaterial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4 – BALANCE SHEETS COMPONENTS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as of September 30, 2024 and December 31, 2023 was as follows (in thousands): </w:t>
      </w:r>
    </w:p>
    <w:tbl>
      <w:tblPr>
        <w:tblW w:w="4163" w:type="dxa"/>
        <w:jc w:val="left"/>
        <w:tblInd w:w="0" w:type="dxa"/>
        <w:tblLayout w:type="fixed"/>
        <w:tblCellMar>
          <w:top w:w="28" w:type="dxa"/>
          <w:left w:w="28" w:type="dxa"/>
          <w:bottom w:w="28" w:type="dxa"/>
          <w:right w:w="28" w:type="dxa"/>
        </w:tblCellMar>
      </w:tblPr>
      <w:tblGrid>
        <w:gridCol w:w="543"/>
        <w:gridCol w:w="476"/>
        <w:gridCol w:w="480"/>
        <w:gridCol w:w="211"/>
        <w:gridCol w:w="826"/>
        <w:gridCol w:w="109"/>
        <w:gridCol w:w="109"/>
        <w:gridCol w:w="109"/>
        <w:gridCol w:w="109"/>
        <w:gridCol w:w="211"/>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Finished goods</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as of September 30, 2024 and December 31, 2023 was comprised of raw materials, work in progress related to the production of vehicles for sale and SKD units for final assembly in Saudi Arabia, and finished goods inventory including new vehicles available for sale, vehicles in transit to fulfill customer orders, and internally used vehicles which the Company intends to sell. The Company recorded write-downs of $154.9 million and $446.9 million for the three and nine months ended September 30, 2024, respectively, and $230.8 million and $752.8 million for the same periods in the prior year, respectively, to reduce its inventories to its net realizable values and for any excess or obsolete inventories, as well as losses from firm purchase commitments.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as of September 30, 2024 and December 31, 2023 was as follows (in thousands):</w:t>
      </w:r>
    </w:p>
    <w:tbl>
      <w:tblPr>
        <w:tblW w:w="7013" w:type="dxa"/>
        <w:jc w:val="left"/>
        <w:tblInd w:w="0" w:type="dxa"/>
        <w:tblLayout w:type="fixed"/>
        <w:tblCellMar>
          <w:top w:w="28" w:type="dxa"/>
          <w:left w:w="28" w:type="dxa"/>
          <w:bottom w:w="28" w:type="dxa"/>
          <w:right w:w="28" w:type="dxa"/>
        </w:tblCellMar>
      </w:tblPr>
      <w:tblGrid>
        <w:gridCol w:w="1466"/>
        <w:gridCol w:w="1289"/>
        <w:gridCol w:w="1294"/>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Building and improvements</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Machinery, tooling and vehicles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3,222,098 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September 30, 2024 and December 31, 2023, $125.1 million and $120.2 million of capital expenditure support received from Ministry of Investment of Saudi Arabia (“MISA”) was primarily recorded as a deduction to the AMP-2 building balance, respectively. See Note 16 “Related Party Transactions” for more information.</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Included $35.9 million and $32.5 million of service loaner vehicles as of September 30, 2024 and December 31, 2023,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represents the costs incurred in connection with the construction of buildings or new additions to the Company’s plant facilities, including tooling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tbl>
      <w:tblPr>
        <w:tblW w:w="6128" w:type="dxa"/>
        <w:jc w:val="left"/>
        <w:tblInd w:w="0" w:type="dxa"/>
        <w:tblLayout w:type="fixed"/>
        <w:tblCellMar>
          <w:top w:w="28" w:type="dxa"/>
          <w:left w:w="28" w:type="dxa"/>
          <w:bottom w:w="28" w:type="dxa"/>
          <w:right w:w="28" w:type="dxa"/>
        </w:tblCellMar>
      </w:tblPr>
      <w:tblGrid>
        <w:gridCol w:w="1146"/>
        <w:gridCol w:w="1006"/>
        <w:gridCol w:w="1012"/>
        <w:gridCol w:w="211"/>
        <w:gridCol w:w="976"/>
        <w:gridCol w:w="109"/>
        <w:gridCol w:w="109"/>
        <w:gridCol w:w="109"/>
        <w:gridCol w:w="109"/>
        <w:gridCol w:w="211"/>
        <w:gridCol w:w="97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tooling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Construction of AMP-1 and AMP-2</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September 30, 2024 and December 31, 2023, $69.7 million and $12.1 million, of capital expenditure support received from MISA was recorded primarily as a deduction to the AMP-2 facility construction in progress balance, respectively. See Note 16 “Related Party Transactions”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was $69.5 million and $204.5 million for the three and nine months ended September 30, 2024, respectively, and $60.8 million and $166.0 million for the same periods in the prior year, respectively. The amount of interest capitalized on construction in progress related to significant capital asset construction was immaterial for the three and nine months ended September 30, 2024 and 2023.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current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as of September 30, 2024 and December 31, 2023 were as follows (in thousands):</w:t>
      </w:r>
    </w:p>
    <w:tbl>
      <w:tblPr>
        <w:tblW w:w="7433" w:type="dxa"/>
        <w:jc w:val="left"/>
        <w:tblInd w:w="0" w:type="dxa"/>
        <w:tblLayout w:type="fixed"/>
        <w:tblCellMar>
          <w:top w:w="28" w:type="dxa"/>
          <w:left w:w="28" w:type="dxa"/>
          <w:bottom w:w="28" w:type="dxa"/>
          <w:right w:w="28" w:type="dxa"/>
        </w:tblCellMar>
      </w:tblPr>
      <w:tblGrid>
        <w:gridCol w:w="1727"/>
        <w:gridCol w:w="1519"/>
        <w:gridCol w:w="1523"/>
        <w:gridCol w:w="211"/>
        <w:gridCol w:w="826"/>
        <w:gridCol w:w="109"/>
        <w:gridCol w:w="109"/>
        <w:gridCol w:w="109"/>
        <w:gridCol w:w="109"/>
        <w:gridCol w:w="211"/>
        <w:gridCol w:w="82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Accrued purchases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leasehold improvements accrual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services accrual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 on firm inventory purchase commitments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Primarily represent accruals for inventory related purchases and transportation charges that had not been invoiced.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long-term liabilities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as of September 30, 2024 and December 31, 2023 were as follows (in thousands):</w:t>
      </w:r>
    </w:p>
    <w:tbl>
      <w:tblPr>
        <w:tblW w:w="6683" w:type="dxa"/>
        <w:jc w:val="left"/>
        <w:tblInd w:w="0" w:type="dxa"/>
        <w:tblLayout w:type="fixed"/>
        <w:tblCellMar>
          <w:top w:w="28" w:type="dxa"/>
          <w:left w:w="28" w:type="dxa"/>
          <w:bottom w:w="28" w:type="dxa"/>
          <w:right w:w="28" w:type="dxa"/>
        </w:tblCellMar>
      </w:tblPr>
      <w:tblGrid>
        <w:gridCol w:w="1453"/>
        <w:gridCol w:w="1279"/>
        <w:gridCol w:w="1287"/>
        <w:gridCol w:w="211"/>
        <w:gridCol w:w="826"/>
        <w:gridCol w:w="109"/>
        <w:gridCol w:w="109"/>
        <w:gridCol w:w="109"/>
        <w:gridCol w:w="109"/>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long-term liabilities</w:t>
            </w:r>
            <w:r>
              <w:rPr>
                <w:rFonts w:ascii="Times New Roman;sans-serif" w:hAnsi="Times New Roman;sans-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As of December 31, 2023, $62.5 million of capital expenditure support received from MISA was recorded as deferred liability within other long-term liabilities in the consolidated balance sheet. See Note 16 “Related Party Transactions” for more information.</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As of September 30, 2024 and December 31, 2023,</w:t>
      </w:r>
      <w:r>
        <w:rPr>
          <w:color w:val="000000"/>
        </w:rPr>
        <w:t xml:space="preserve"> </w:t>
      </w:r>
      <w:r>
        <w:rPr>
          <w:rFonts w:ascii="Times New Roman;sans-serif" w:hAnsi="Times New Roman;sans-serif"/>
          <w:b w:val="false"/>
          <w:color w:val="000000"/>
          <w:sz w:val="16"/>
        </w:rPr>
        <w:t>$112.0 million and $107.8 million of deferred revenue was recorded within other long-term liabilities in the condensed consolidated balance sheets, respectively, in connection with the strategic technology and supply arrangement, and integration and supply arrangements with Aston Martin Lagonda Global Holdings plc (together with its subsidiaries, “Aston Martin”). See Note 16 “Related Party Transactions” for more information.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Accrued warranty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warranty activities consisted of the following (in thousands):</w:t>
      </w:r>
    </w:p>
    <w:tbl>
      <w:tblPr>
        <w:tblW w:w="9274" w:type="dxa"/>
        <w:jc w:val="left"/>
        <w:tblInd w:w="0" w:type="dxa"/>
        <w:tblLayout w:type="fixed"/>
        <w:tblCellMar>
          <w:top w:w="28" w:type="dxa"/>
          <w:left w:w="28" w:type="dxa"/>
          <w:bottom w:w="28" w:type="dxa"/>
          <w:right w:w="28" w:type="dxa"/>
        </w:tblCellMar>
      </w:tblPr>
      <w:tblGrid>
        <w:gridCol w:w="1314"/>
        <w:gridCol w:w="1154"/>
        <w:gridCol w:w="1161"/>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Accrued warranty - beginning of period</w:t>
            </w:r>
            <w:r>
              <w:rPr>
                <w:rFonts w:ascii="Times New Roman;sans-serif" w:hAnsi="Times New Roman;sans-serif"/>
                <w:b/>
                <w:color w:val="000000"/>
                <w:sz w:val="13"/>
              </w:rPr>
              <w:t>(2)</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warranty</w:t>
            </w:r>
            <w:r>
              <w:rPr>
                <w:rFonts w:ascii="Times New Roman;sans-serif" w:hAnsi="Times New Roman;sans-serif"/>
                <w:b w:val="false"/>
                <w:color w:val="000000"/>
                <w:sz w:val="13"/>
              </w:rPr>
              <w:t>(1)</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Accrued warranty - end of period</w:t>
            </w:r>
            <w:r>
              <w:rPr>
                <w:rFonts w:ascii="Times New Roman;sans-serif" w:hAnsi="Times New Roman;sans-serif"/>
                <w:b/>
                <w:color w:val="000000"/>
                <w:sz w:val="13"/>
              </w:rPr>
              <w:t>(2)</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78,862 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Provision for warranty for the three and nine months ended September 30, 2024 and 2023 included estimated costs related to the recalls identified and/or special campaigns to repair or replace items under warranties. During the three and nine months ended September 30, 2024, the Company recorded nil and $41.5 million provision associated with a special warranty campaign, respectively.</w:t>
      </w:r>
    </w:p>
    <w:p>
      <w:pPr>
        <w:pStyle w:val="TextBody"/>
        <w:bidi w:val="0"/>
        <w:spacing w:lineRule="auto" w:line="288" w:before="0" w:after="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Accrued warranty balance of $13.8 million and $22.7 million was recorded within other current liabilities, and $65.1 million and $23.4 million was recorded within other long-term liabilities, in the condensed consolidated balance sheets as of September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5 - FAIR VALUE MEASUREMENTS AND FINANCIAL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certain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bidi w:val="0"/>
        <w:spacing w:lineRule="auto" w:line="288" w:before="240" w:after="283"/>
        <w:ind w:left="0" w:right="0" w:hanging="360"/>
        <w:jc w:val="both"/>
        <w:rPr/>
      </w:pPr>
      <w:r>
        <w:rPr>
          <w:color w:val="000000"/>
        </w:rPr>
        <w:t>•</w:t>
      </w: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investments are reported at their respective fair values on the Company’s condensed consolidated balance sheets. The Company’s short-term and long-term investments are classified as available-for-sale securities. Carrying amounts of accounts receivables, accounts payable, and other current liabilities approximate their estimated fair values.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financial assets subject to fair value measurements on a recurring basis by level within the fair value hierarchy as of September 30, 2024 and December 31, 2023 (in thousands):</w:t>
      </w:r>
    </w:p>
    <w:tbl>
      <w:tblPr>
        <w:tblW w:w="11488"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11"/>
        <w:gridCol w:w="616"/>
        <w:gridCol w:w="109"/>
        <w:gridCol w:w="109"/>
        <w:gridCol w:w="109"/>
        <w:gridCol w:w="109"/>
        <w:gridCol w:w="233"/>
        <w:gridCol w:w="532"/>
        <w:gridCol w:w="121"/>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Time deposits</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Included $15.0 million of time deposit with GIB in short-term investments. GIB is a related party of PIF, which is an affiliate of Ayar. See Note 16 “Related Party Transactions”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605" cy="14605"/>
                <wp:effectExtent l="0" t="0" r="0" b="0"/>
                <wp:wrapNone/>
                <wp:docPr id="21" name="Frame2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tbl>
      <w:tblPr>
        <w:tblW w:w="11335"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11"/>
        <w:gridCol w:w="616"/>
        <w:gridCol w:w="109"/>
        <w:gridCol w:w="109"/>
        <w:gridCol w:w="109"/>
        <w:gridCol w:w="109"/>
        <w:gridCol w:w="211"/>
        <w:gridCol w:w="63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2024 and 2023, there were immaterial gross realized gains or losses on the sale of available-for-sale securities. Accrued interest receivable excluded from both the fair value and amortized cost basis of the available-for-sale securities was $11.4 million and $11.1 million as of September 30, 2024 and December 31, 2023, respectively, and was recorded in other current assets on its condensed consolidated balance sheets. As of September 30, 2024 and December 31, 2023, no allowance for credit losses was recorded related to an impairment of available-for-sale securities.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available-for-sale securities by contractual maturity:</w:t>
      </w:r>
    </w:p>
    <w:p>
      <w:pPr>
        <w:pStyle w:val="TextBody"/>
        <w:bidi w:val="0"/>
        <w:spacing w:before="0" w:after="0"/>
        <w:jc w:val="left"/>
        <w:rPr/>
      </w:pPr>
      <w:r>
        <w:rPr/>
      </w:r>
    </w:p>
    <w:tbl>
      <w:tblPr>
        <w:tblW w:w="6182" w:type="dxa"/>
        <w:jc w:val="left"/>
        <w:tblInd w:w="0" w:type="dxa"/>
        <w:tblLayout w:type="fixed"/>
        <w:tblCellMar>
          <w:top w:w="28" w:type="dxa"/>
          <w:left w:w="28" w:type="dxa"/>
          <w:bottom w:w="28" w:type="dxa"/>
          <w:right w:w="28" w:type="dxa"/>
        </w:tblCellMar>
      </w:tblPr>
      <w:tblGrid>
        <w:gridCol w:w="1035"/>
        <w:gridCol w:w="913"/>
        <w:gridCol w:w="917"/>
        <w:gridCol w:w="211"/>
        <w:gridCol w:w="976"/>
        <w:gridCol w:w="109"/>
        <w:gridCol w:w="109"/>
        <w:gridCol w:w="109"/>
        <w:gridCol w:w="109"/>
        <w:gridCol w:w="266"/>
        <w:gridCol w:w="1234"/>
        <w:gridCol w:w="19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1,578,283 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three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2,133,804 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2023, the Company received 28,352,273 ordinary shares of Aston Martin with an initial fair value of $73.2 million. The Company remeasured the shares and recorded fair values of $45.7 million and $81.5 million within investments in equity securities of a related party in the condensed consolidated balance sheets as of September 30, 2024 and December 31, 2023, respectively. These equity securities are publicly traded stocks (where shares are denominated in GBP) measured at fair value on a recurring basis and classified within level 1 in the fair value hierarchy. During the three and nine months ended September 30, 2024, the Company recognized unrealized losses of $8.8 million and $38.2 million, respectively, in change of fair value of equity securities of a related party in the condensed consolidated statement of operations and comprehensive loss. During the three and nine months ended September 30, 2024, the Company also recognized an unrealized foreign currency gains of $3.0 million and $2.4 million, respectively, related to these equity securities in other expense, net in the condensed consolidated statement of operations and comprehensive loss. See Note 16 “Related Party Transactions” for more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liabilities consist of the common stock warrant liability and the derivative liabilities associated with the Redeemable Convertible Preferred Stock, of which the fair values were measured upon issuance of the Private Placement Warrants and the Redeemable Convertible Preferred Stock and are remeasured at each reporting period. The valuation methodology and underlying assumptions are discussed further in Note 7 “Common Stock Warrant Liability” and Note 8 “Redeemable Convertible Preferred Stock”, respectively. Level 3 liabilities also consist of residual value guarantee liabilities, of which the fair value is measured initially upon delivery of vehicles and assessed subsequently for any changes on a quarterly basis. Significant changes in the unobservable inputs used in determining the fair value would result in significant changes to the fair value measurement.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reconciliation of the common stock warrant liability measured and recorded at fair value on a recurring basis (in thousands):</w:t>
      </w:r>
    </w:p>
    <w:tbl>
      <w:tblPr>
        <w:tblW w:w="8360" w:type="dxa"/>
        <w:jc w:val="left"/>
        <w:tblInd w:w="0" w:type="dxa"/>
        <w:tblLayout w:type="fixed"/>
        <w:tblCellMar>
          <w:top w:w="28" w:type="dxa"/>
          <w:left w:w="28" w:type="dxa"/>
          <w:bottom w:w="28" w:type="dxa"/>
          <w:right w:w="28" w:type="dxa"/>
        </w:tblCellMar>
      </w:tblPr>
      <w:tblGrid>
        <w:gridCol w:w="983"/>
        <w:gridCol w:w="864"/>
        <w:gridCol w:w="868"/>
        <w:gridCol w:w="225"/>
        <w:gridCol w:w="770"/>
        <w:gridCol w:w="116"/>
        <w:gridCol w:w="116"/>
        <w:gridCol w:w="116"/>
        <w:gridCol w:w="116"/>
        <w:gridCol w:w="225"/>
        <w:gridCol w:w="882"/>
        <w:gridCol w:w="116"/>
        <w:gridCol w:w="109"/>
        <w:gridCol w:w="109"/>
        <w:gridCol w:w="109"/>
        <w:gridCol w:w="217"/>
        <w:gridCol w:w="744"/>
        <w:gridCol w:w="112"/>
        <w:gridCol w:w="112"/>
        <w:gridCol w:w="112"/>
        <w:gridCol w:w="112"/>
        <w:gridCol w:w="217"/>
        <w:gridCol w:w="852"/>
        <w:gridCol w:w="158"/>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value-beginning of period</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value-end of period</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78,943 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reconciliation of the derivative liabilities associated with the Redeemable Convertible Preferred Stock measured and recorded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796"/>
        <w:gridCol w:w="700"/>
        <w:gridCol w:w="703"/>
        <w:gridCol w:w="319"/>
        <w:gridCol w:w="1250"/>
        <w:gridCol w:w="164"/>
        <w:gridCol w:w="120"/>
        <w:gridCol w:w="120"/>
        <w:gridCol w:w="120"/>
        <w:gridCol w:w="317"/>
        <w:gridCol w:w="1244"/>
        <w:gridCol w:w="163"/>
        <w:gridCol w:w="109"/>
        <w:gridCol w:w="109"/>
        <w:gridCol w:w="109"/>
        <w:gridCol w:w="319"/>
        <w:gridCol w:w="1251"/>
        <w:gridCol w:w="164"/>
        <w:gridCol w:w="117"/>
        <w:gridCol w:w="117"/>
        <w:gridCol w:w="117"/>
        <w:gridCol w:w="313"/>
        <w:gridCol w:w="1228"/>
        <w:gridCol w:w="236"/>
      </w:tblGrid>
      <w:tr>
        <w:trPr/>
        <w:tc>
          <w:tcPr>
            <w:tcW w:w="7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r>
      <w:tr>
        <w:trPr/>
        <w:tc>
          <w:tcPr>
            <w:tcW w:w="2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A Derivative Liability</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B 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A Derivative Liability</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Series B Derivative Liability</w:t>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value-beginning of period</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w:t>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297,675 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w:t>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value-end of period</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585,300 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346,725 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585,300 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346,725 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2026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Notes are unsecured obligations which bear regular interest at 1.25% per annum and are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2026 Notes may convert all or a portion of their 2026 Notes at their option prior to September 15, 2026,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upon the occurrence of specified corporate events;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issuance of the 2026 Notes as a single liability measured at its amortized cost, as no other embedded features require bifurcation and recognition as derivatives. The following table is a summary of the 2026 Notes as of September 30, 2024 and December 31, 2023 (in millions):</w:t>
      </w:r>
    </w:p>
    <w:p>
      <w:pPr>
        <w:pStyle w:val="TextBody"/>
        <w:bidi w:val="0"/>
        <w:spacing w:before="0" w:after="0"/>
        <w:jc w:val="left"/>
        <w:rPr/>
      </w:pPr>
      <w:r>
        <w:rPr/>
      </w:r>
    </w:p>
    <w:tbl>
      <w:tblPr>
        <w:tblW w:w="7779" w:type="dxa"/>
        <w:jc w:val="left"/>
        <w:tblInd w:w="0" w:type="dxa"/>
        <w:tblLayout w:type="fixed"/>
        <w:tblCellMar>
          <w:top w:w="28" w:type="dxa"/>
          <w:left w:w="28" w:type="dxa"/>
          <w:bottom w:w="28" w:type="dxa"/>
          <w:right w:w="28" w:type="dxa"/>
        </w:tblCellMar>
      </w:tblPr>
      <w:tblGrid>
        <w:gridCol w:w="1461"/>
        <w:gridCol w:w="1283"/>
        <w:gridCol w:w="1291"/>
        <w:gridCol w:w="109"/>
        <w:gridCol w:w="109"/>
        <w:gridCol w:w="109"/>
        <w:gridCol w:w="300"/>
        <w:gridCol w:w="1090"/>
        <w:gridCol w:w="155"/>
        <w:gridCol w:w="109"/>
        <w:gridCol w:w="109"/>
        <w:gridCol w:w="109"/>
        <w:gridCol w:w="288"/>
        <w:gridCol w:w="1047"/>
        <w:gridCol w:w="210"/>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Discounts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Carrying Amount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interest rate for the 2026 Notes is 1.5%. The components of interest expense related to the 2026 Notes were as follows (in millions):</w:t>
      </w:r>
    </w:p>
    <w:tbl>
      <w:tblPr>
        <w:tblW w:w="10205" w:type="dxa"/>
        <w:jc w:val="left"/>
        <w:tblInd w:w="0" w:type="dxa"/>
        <w:tblLayout w:type="fixed"/>
        <w:tblCellMar>
          <w:top w:w="28" w:type="dxa"/>
          <w:left w:w="28" w:type="dxa"/>
          <w:bottom w:w="28" w:type="dxa"/>
          <w:right w:w="28" w:type="dxa"/>
        </w:tblCellMar>
      </w:tblPr>
      <w:tblGrid>
        <w:gridCol w:w="1652"/>
        <w:gridCol w:w="1453"/>
        <w:gridCol w:w="1461"/>
        <w:gridCol w:w="317"/>
        <w:gridCol w:w="611"/>
        <w:gridCol w:w="163"/>
        <w:gridCol w:w="163"/>
        <w:gridCol w:w="163"/>
        <w:gridCol w:w="163"/>
        <w:gridCol w:w="317"/>
        <w:gridCol w:w="611"/>
        <w:gridCol w:w="163"/>
        <w:gridCol w:w="109"/>
        <w:gridCol w:w="109"/>
        <w:gridCol w:w="109"/>
        <w:gridCol w:w="272"/>
        <w:gridCol w:w="662"/>
        <w:gridCol w:w="140"/>
        <w:gridCol w:w="140"/>
        <w:gridCol w:w="140"/>
        <w:gridCol w:w="140"/>
        <w:gridCol w:w="272"/>
        <w:gridCol w:w="662"/>
        <w:gridCol w:w="213"/>
      </w:tblGrid>
      <w:tr>
        <w:trPr/>
        <w:tc>
          <w:tcPr>
            <w:tcW w:w="1652"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discounts and debt issuance costs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were not eligible for conversion as of September 30, 2024 and December 31, 2023. No sinking fund is provided for the 2026 Notes, which means that the Company is not required to redeem or retire them periodically. As of September 30, 2024 and December 31, 2023, the Company was in compliance with applicable covenants under the indenture governing the 2026 Notes.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a subsidiary of the Company (“Lucid LLC”) entered into a loan agreement (as subsequently amended, the “SIDF Loan Agreement”) with SIDF, a related party of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pPr>
      <w:r>
        <w:rPr>
          <w:rFonts w:ascii="Times New Roman;sans-serif" w:hAnsi="Times New Roman;sans-serif"/>
          <w:b w:val="false"/>
          <w:color w:val="000000"/>
          <w:sz w:val="20"/>
        </w:rPr>
        <w:t xml:space="preserve">SIDF Loans will not bear interest. Instead, Lucid LLC will be required to pay SIDF service fees, consisting of follow-up and technical evaluation fees, ranging, in aggregate, from SAR 415 million (approximately $110.6 million) to SAR 1.77 billion (approximately $471.8 million), over the term of the SIDF Loans. SIDF Loans will be secured by security interests in the </w:t>
      </w:r>
      <w:r>
        <w:rPr>
          <w:rFonts w:ascii="Times New Roman;sans-serif" w:hAnsi="Times New Roman;sans-serif"/>
          <w:b w:val="false"/>
          <w:color w:val="242424"/>
          <w:sz w:val="20"/>
          <w:shd w:fill="FFFFFF" w:val="clear"/>
        </w:rPr>
        <w:t>equipment, machines and assets funded thereby.</w:t>
      </w:r>
    </w:p>
    <w:p>
      <w:pPr>
        <w:pStyle w:val="TextBody"/>
        <w:bidi w:val="0"/>
        <w:spacing w:lineRule="auto" w:line="288" w:before="240" w:after="283"/>
        <w:jc w:val="left"/>
        <w:rPr/>
      </w:pPr>
      <w:r>
        <w:rPr>
          <w:rFonts w:ascii="Times New Roman;sans-serif" w:hAnsi="Times New Roman;sans-serif"/>
          <w:b w:val="false"/>
          <w:color w:val="000000"/>
          <w:sz w:val="20"/>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sans-serif" w:hAnsi="Times New Roman;sans-serif"/>
          <w:b w:val="false"/>
          <w:color w:val="242424"/>
          <w:sz w:val="20"/>
          <w:shd w:fill="FFFFFF" w:val="clear"/>
        </w:rPr>
        <w:t xml:space="preserve">As of </w:t>
      </w:r>
      <w:r>
        <w:rPr>
          <w:rFonts w:ascii="Times New Roman;sans-serif" w:hAnsi="Times New Roman;sans-serif"/>
          <w:b w:val="false"/>
          <w:color w:val="000000"/>
          <w:sz w:val="20"/>
        </w:rPr>
        <w:t>September 30, 2024 and December 31,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no</w:t>
      </w:r>
      <w:r>
        <w:rPr>
          <w:color w:val="B6B6B6"/>
        </w:rPr>
        <w:t xml:space="preserve"> </w:t>
      </w:r>
      <w:r>
        <w:rPr>
          <w:rFonts w:ascii="Times New Roman;sans-serif" w:hAnsi="Times New Roman;sans-serif"/>
          <w:b w:val="false"/>
          <w:color w:val="000000"/>
          <w:sz w:val="20"/>
          <w:shd w:fill="FFFFFF" w:val="clear"/>
        </w:rPr>
        <w:t>amount</w:t>
      </w:r>
      <w:r>
        <w:rPr>
          <w:color w:val="242424"/>
          <w:shd w:fill="FFFFFF" w:val="clear"/>
        </w:rPr>
        <w:t xml:space="preserve"> </w:t>
      </w:r>
      <w:r>
        <w:rPr>
          <w:rFonts w:ascii="Times New Roman;sans-serif" w:hAnsi="Times New Roman;sans-serif"/>
          <w:b w:val="false"/>
          <w:color w:val="242424"/>
          <w:sz w:val="20"/>
          <w:shd w:fill="FFFFFF" w:val="clear"/>
        </w:rPr>
        <w:t>was outstanding under the SIDF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Lucid LLC entered into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might be used for general corporate purposes.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the Amended GIB Facility Agreement to combine the Bridge Facility and the Working Capital Facility into a committed SAR 1 billion (approximately $266.6 million)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88" w:before="240" w:after="283"/>
        <w:jc w:val="left"/>
        <w:rPr/>
      </w:pPr>
      <w:r>
        <w:rPr>
          <w:rFonts w:ascii="Times New Roman;sans-serif" w:hAnsi="Times New Roman;sans-serif"/>
          <w:b w:val="false"/>
          <w:color w:val="000000"/>
          <w:sz w:val="20"/>
        </w:rPr>
        <w:t>As of September 30, 2024 and December 31, 2023, the Company had outstanding borrowings of SAR 175 million (approximately $46.6 million) and SAR 272 million (approximately $72.5 million), respectively. The weighted average interest rate on the outstanding borrowings was 7.56%</w:t>
      </w:r>
      <w:r>
        <w:rPr>
          <w:color w:val="B6B6B6"/>
        </w:rPr>
        <w:t xml:space="preserve"> </w:t>
      </w:r>
      <w:r>
        <w:rPr>
          <w:rFonts w:ascii="Times New Roman;sans-serif" w:hAnsi="Times New Roman;sans-serif"/>
          <w:b w:val="false"/>
          <w:color w:val="000000"/>
          <w:sz w:val="20"/>
        </w:rPr>
        <w:t>and 7.49% as of September 30, 2024 and December 31, 2023, respectively. As of September 30, 2024 and December 31, 2023, availability under the GIB Credit Facility was SAR 823 million (approximately $219.4 million) and SAR 727 million (approximately $193.9 million), respectively, after giving effect to the outstanding letters of credit. The outstanding borrowings were recorded within other current liabilities in the condensed consolidated balance sheets. The Company recorded interest expense of $1.1 million and $3.8 million during the three and nine months ended September 30, 2024, respectively. The interest expense recorded for the same periods in the prior year was not material. As of September 30, 2024 and December 31, 2023, the Company was in compliance with applicable covenants under the Amended GIB Facility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ABL Credit Facility</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the Company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September 30, 2024 and December 31, 2023, the Company was in compliance with applicable covenants under the ABL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had no outstanding borrowings under the ABL Credit Facility. Outstanding letters of credit under the ABL Credit Facility were $67.4 million and $45.4 million as of September 30, 2024 and December 31, 2023, respectively. Availability under the ABL Credit Facility was $335.0 million (including $169.9 million cash and cash equivalents) and $413.4 million (including $144.0 million cash and cash equivalents) as of September 30, 2024 and December 31, 2023, respectively, after giving effect to the borrowing base and the outstanding letters of credit. The Company incurred issuance costs of $6.3 million to obtain the ABL Credit Facility, which was capitalized within other noncurrent assets in the condensed consolidated balance sheets and amortized over the facility term using the straight-line method. Amortization of the deferred issuance costs and commitment fee were $1.0 million and $2.8 million for the three and nine months ended September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DDTL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the Company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The Company is required to pay a quarterly undrawn fee of 0.50% per annum based on the unutilized portion of the DDTL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DDTL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September 30, 2024, the Company was in compliance with applicable covenants under the DDTL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had no outstanding borrowings under the DDTL Credit Facility. The Company incurred issuance costs of $6.2 million to obtain the DDTL Credit Facility, which was capitalized within other noncurrent assets in the condensed consolidated balance sheet and amortized over the facility term using the straight-line method. Amortization of the deferred issuance costs and commitment fee were immaterial for the three and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7 - COMMON STOCK WARRANT LIABILITY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23, 2021, in connection with the reverse recapitalization treatment of the Merger, the Company effectively issued 44,350,000 Private Placement Warrants to purchase shares of Lucid’s common stock at an exercise price of $11.50. The Private Placement Warrants were initially recognized as a liability with a fair value of $812.0 million and was remeasured to a fair value of $53.7 million as of December 31, 2023. The Private Placement Warrants remained unexercised and were remeasured to a fair value of $32.8 million as of September 30, 2024. The Company recognized a loss of $13.7 million and a gain of $20.8 million for the three and nine months ended September 30, 2024, respectively, and gains of $60.3 million and $61.6 million for the same periods in the prior year, respectively, in the condensed consolidated statements of operations and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Warrants that are not subject to the contingent forfeiture provisions was estimated using a Black-Scholes option pricing model, and was as follows:</w:t>
      </w:r>
    </w:p>
    <w:p>
      <w:pPr>
        <w:pStyle w:val="TextBody"/>
        <w:bidi w:val="0"/>
        <w:spacing w:before="0" w:after="0"/>
        <w:jc w:val="both"/>
        <w:rPr/>
      </w:pPr>
      <w:r>
        <w:rPr/>
      </w:r>
    </w:p>
    <w:tbl>
      <w:tblPr>
        <w:tblW w:w="7913" w:type="dxa"/>
        <w:jc w:val="left"/>
        <w:tblInd w:w="0" w:type="dxa"/>
        <w:tblLayout w:type="fixed"/>
        <w:tblCellMar>
          <w:top w:w="28" w:type="dxa"/>
          <w:left w:w="28" w:type="dxa"/>
          <w:bottom w:w="28" w:type="dxa"/>
          <w:right w:w="28" w:type="dxa"/>
        </w:tblCellMar>
      </w:tblPr>
      <w:tblGrid>
        <w:gridCol w:w="1510"/>
        <w:gridCol w:w="1328"/>
        <w:gridCol w:w="1332"/>
        <w:gridCol w:w="109"/>
        <w:gridCol w:w="109"/>
        <w:gridCol w:w="109"/>
        <w:gridCol w:w="392"/>
        <w:gridCol w:w="949"/>
        <w:gridCol w:w="204"/>
        <w:gridCol w:w="109"/>
        <w:gridCol w:w="109"/>
        <w:gridCol w:w="109"/>
        <w:gridCol w:w="372"/>
        <w:gridCol w:w="901"/>
        <w:gridCol w:w="271"/>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Private Placement Warrants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in the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Black-Scholes option pricing models were as follows:</w:t>
      </w:r>
    </w:p>
    <w:tbl>
      <w:tblPr>
        <w:tblW w:w="5829" w:type="dxa"/>
        <w:jc w:val="left"/>
        <w:tblInd w:w="0" w:type="dxa"/>
        <w:tblLayout w:type="fixed"/>
        <w:tblCellMar>
          <w:top w:w="28" w:type="dxa"/>
          <w:left w:w="28" w:type="dxa"/>
          <w:bottom w:w="28" w:type="dxa"/>
          <w:right w:w="28" w:type="dxa"/>
        </w:tblCellMar>
      </w:tblPr>
      <w:tblGrid>
        <w:gridCol w:w="756"/>
        <w:gridCol w:w="662"/>
        <w:gridCol w:w="667"/>
        <w:gridCol w:w="109"/>
        <w:gridCol w:w="109"/>
        <w:gridCol w:w="109"/>
        <w:gridCol w:w="344"/>
        <w:gridCol w:w="344"/>
        <w:gridCol w:w="857"/>
        <w:gridCol w:w="109"/>
        <w:gridCol w:w="109"/>
        <w:gridCol w:w="109"/>
        <w:gridCol w:w="314"/>
        <w:gridCol w:w="314"/>
        <w:gridCol w:w="917"/>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8 – REDEEMABLE CONVERTIBLE PREFERRED STOCK</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Company entered into the Series A Subscription Agreement with Ayar. Pursuant to the Series A Subscription Agreement, Ayar agreed to purchase from the Company 100,000 shares of the Series A Redeemable Convertible Preferred Stock for an aggregate purchase price of $1.0 billion in a private placement. Subsequently, in March 2024, the Company issued the shares to Ayar pursuant to the Series A Subscription Agreement and received aggregate gross proceeds of $1.0 billion.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2024, the Company entered into the Series B Subscription Agreement with Ayar. Pursuant to the Series B Subscription Agreement, Ayar agreed to purchase from the Company 75,000 shares of the Series B Redeemable Convertible Preferred Stock for an aggregate purchase price of $750.0 million in a private placement. Subsequently, in August 2024, the Company issued the shares to Ayar pursuant to the Series B Subscription Agreement and received aggregate gross proceeds of $750.0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of the Series A Redeemable Convertible Preferred Stock and the Series B Redeemable Convertible Preferred Stock were issued pursuant to the Series A Certificate of Designations and the Series B Certificate of Designations (the “Certificate of Designations”), respectively. Pursuant to the Series A Subscription Agreement and the Series B Subscription Agreement, Ayar has agreed, with certain exceptions, that without prior written consent of the Company, it will not sell or transfer the Redeemable Convertible Preferred Stock for the twelve months after the date of the closing of the respective private placement. </w:t>
      </w:r>
    </w:p>
    <w:p>
      <w:pPr>
        <w:pStyle w:val="TextBody"/>
        <w:bidi w:val="0"/>
        <w:spacing w:lineRule="auto" w:line="268" w:before="240" w:after="283"/>
        <w:jc w:val="left"/>
        <w:rPr/>
      </w:pPr>
      <w:r>
        <w:rPr>
          <w:rFonts w:ascii="Times New Roman;sans-serif" w:hAnsi="Times New Roman;sans-serif"/>
          <w:b/>
          <w:i/>
          <w:color w:val="000000"/>
          <w:sz w:val="20"/>
        </w:rPr>
        <w:t>Dividends:</w:t>
      </w:r>
      <w:r>
        <w:rPr>
          <w:color w:val="000000"/>
        </w:rPr>
        <w:t xml:space="preserve"> </w:t>
      </w:r>
      <w:r>
        <w:rPr>
          <w:rFonts w:ascii="Times New Roman;sans-serif" w:hAnsi="Times New Roman;sans-serif"/>
          <w:b w:val="false"/>
          <w:color w:val="000000"/>
          <w:sz w:val="20"/>
        </w:rPr>
        <w:t xml:space="preserve">The Redeemable Convertible Preferred Stock ranks senior to the common stock with respect to dividends and distributions of assets upon the Company’s liquidation, dissolution or winding up. The Redeemable Convertible Preferred Stock has an initial value of $10,000 per share (the “Initial Value” and the Initial Value plus compounded and accrued dividends, the “Accrued Value”). Dividends on the Redeemable Convertible Preferred Stock are payable in the form of compounded cumulative dividends upon each share of the Redeemable Convertible Preferred Stock (paid-in-kind). Dividends accrue daily on the Initial Value (as increased for any compounded dividends previously compounded thereon) of each share of the Redeemable Convertible Preferred Stock at a rate of 9% per annum and compound on the basis of quarterly dividend payment dates on each March 31, June 30, September 30 and December 31 of each year, commencing June 30, 2024 for the Series A Redeemable Convertible Preferred Stock and September 30, 2024 for the Series B Redeemable Convertible Preferred Stock.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Liquidation Preference:</w:t>
      </w:r>
      <w:r>
        <w:rPr>
          <w:color w:val="000000"/>
        </w:rPr>
        <w:t xml:space="preserve"> </w:t>
      </w:r>
      <w:r>
        <w:rPr>
          <w:rFonts w:ascii="Times New Roman;sans-serif" w:hAnsi="Times New Roman;sans-serif"/>
          <w:b w:val="false"/>
          <w:color w:val="000000"/>
          <w:sz w:val="20"/>
        </w:rPr>
        <w:t xml:space="preserve">Upon a liquidation, dissolution or winding up of the Company, each holder of shares of the Redeemable Convertible Preferred Stock (“Holder”) will be entitled to receive, with respect to each share of then-outstanding Redeemable Convertible Preferred Stock, out of the assets of the Company available for distribution to its stockholders an amount in cash equal to the greater of (a) an amount per share of the Redeemable Convertible Preferred Stock as of the date of such liquidation, dissolution or winding up equal to (i) the per share Accrued Value as of the relevant date multiplied by (ii) the relevant percentage (the product of (i) and (ii), the “Minimum Consideration”); and (b) the amount that such Holder would have received with respect to such share of the Redeemable Convertible Preferred Stock if all shares of the Redeemable Convertible Preferred Stock had been converted at their Accrued Value into shares of common stock on the business day immediately prior to the date of such liquidation, dissolution or winding up. As of September 30, 2024, the liquidation preference of the Series A Redeemable Convertible Preferred Stock and Series B Redeemable Convertible Preferred Stock was $1,091.3 million and $766.6 million, respectively.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Voting Rights: </w:t>
      </w:r>
      <w:r>
        <w:rPr>
          <w:rFonts w:ascii="Times New Roman;sans-serif" w:hAnsi="Times New Roman;sans-serif"/>
          <w:b w:val="false"/>
          <w:color w:val="000000"/>
          <w:sz w:val="20"/>
        </w:rPr>
        <w:t>Each Holder is entitled to the number of votes equal to the number of whole shares of common stock into which the aggregate shares of the 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Certificate of Designations or otherwise required by law, to vote together as a single class with the holders of the common stock and any other class or series of stock entitled to vote thereon. The voting power of Holders is subject to a voting cap per share equal to the quotient of the $10,000 Initial Value and the minimum price ($2.77 for the Series A Redeemable Convertible Preferred Stock and $3.12 for the Series B Redeemable Convertible Preferred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long as at least 10% of the aggregate number of shares issued on the respective initial issue date remain outstanding, and subject to certain other conditions, Holders are entitled to a separate class vote with respect to, among other things, amendments to the Company’s organizational documents that have an adverse effect on the Redeemable Convertible Preferred Stock, authorizations or issuances by the Company of capital stock of the Company that ranks senior or equal to the Redeemable Convertible Preferred Stock with respect to dividends or distributions on liquidation or the terms of which provide for cash dividends (other than the common stock), winding-up and dissolution, and decreases in the number of authorized shares of the Redeemable Convertible Preferred Stock. The Company also agreed that as long as Ayar owns at least 50% of the shares issued on the respective initial issue date, the Company will comply with certain debt incurrence covenants in its Credit Agreement, dated as of June 9, 2022, by and among the Company, as the Borrower Representative, the other Borrowers party thereto from time-to-time, the Lenders and Issuing Banks from time-to-time party thereto and Bank of America, N.A., as Administrative Agent, as amended, which agreement may be waived with the sole consent of Ayar.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Conversion:</w:t>
      </w:r>
      <w:r>
        <w:rPr>
          <w:color w:val="000000"/>
        </w:rPr>
        <w:t xml:space="preserve"> </w:t>
      </w:r>
      <w:r>
        <w:rPr>
          <w:rFonts w:ascii="Times New Roman;sans-serif" w:hAnsi="Times New Roman;sans-serif"/>
          <w:b w:val="false"/>
          <w:color w:val="000000"/>
          <w:sz w:val="20"/>
        </w:rPr>
        <w:t xml:space="preserve">Each share of the Redeemable Convertible Preferred Stock is convertible, at the option of the respective Holder, from time-to-time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 for the Series A Redeemable Convertible Preferred Stock and $4.3799 for the Series B Redeemable Convertible Preferred Stock, subject to customary anti-dilution adjustments, including in the event of any stock split, stock dividend, recapitalization or similar events (the “Conversion Price”).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Mandatory Conversion: </w:t>
      </w:r>
      <w:r>
        <w:rPr>
          <w:rFonts w:ascii="Times New Roman;sans-serif" w:hAnsi="Times New Roman;sans-serif"/>
          <w:b w:val="false"/>
          <w:color w:val="000000"/>
          <w:sz w:val="20"/>
        </w:rPr>
        <w:t>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Redeemable Convertible Preferred Stock to convert into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Fundamental Change: </w:t>
      </w:r>
      <w:r>
        <w:rPr>
          <w:rFonts w:ascii="Times New Roman;sans-serif" w:hAnsi="Times New Roman;sans-serif"/>
          <w:b w:val="false"/>
          <w:color w:val="000000"/>
          <w:sz w:val="20"/>
        </w:rPr>
        <w:t xml:space="preserve">Upon a fundamental change, the Holders will be entitled, on the fundamental change repurchase date specified by the Company, to receive an amount equal to the greater of (a) the Minimum Consideration and (b) an amount equal to the value that such Holder would have received if it had converted its shares of the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Optional Redemption: </w:t>
      </w:r>
      <w:r>
        <w:rPr>
          <w:rFonts w:ascii="Times New Roman;sans-serif" w:hAnsi="Times New Roman;sans-serif"/>
          <w:b w:val="false"/>
          <w:color w:val="000000"/>
          <w:sz w:val="20"/>
        </w:rPr>
        <w:t>On or after the fifth anniversary of the initial issue date, the Company may redeem all or any portion of the Redeemable Convertible Preferred Stock at a redemption price per share equal to the greater of (a) the Minimum Consideration and (b) an amount equal to the value (calculated based on a twenty (20)-day average daily VWAP) of the number of shares of common stock if it had converted its shares of the Redeemable Convertible Preferred Stock into shares of common stock as of the redemption date. Such redemption price may be paid in cash, shares of common stock valued based on a twenty (20)-day average daily VWAP, or a combination thereof, at the Company’s election. The Company may not pay any portion of such redemption price in shares of common stock if the common stock liquidity conditions are not satisfied.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Redeemable Convertible Preferred Stock is callable after five years at the Company’s option, the Redeemable Convertible Preferred Stock is considered redeemable at the option of Ayar and was classified as mezzanine equity, because it is the majority shareholder of the Company. The Company recorded the Series A Redeemable Convertible Preferred Stock initially at its issuance price, net of issuance costs of $2.4 million and net of the initial value of the bifurcated derivative liability of $497.1 million. The Company also recorded the Series B Redeemable Convertible Stock initially at its issuance price, net of issuance costs of $0.6 million and net of the initial value of the bifurcated derivative liability of $297.7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accretes the Redeemable Convertible Preferred Stock to its redemption value, which is greater of (a) the Minimum Consideration and (b) an amount equal to the value that such Holder would have received if it had converted its shares of the Redeemable Convertible Preferred Stock into shares of common stock as of the Redemption Date.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 During the three and nine months ended September 30, 2024, the Company recorded net negative accretion of $59.4 million and accretion of $91.3 million related to the Series A Redeemable Convertible Preferred Stock, respectively. During the three and nine months ended September 30, 2024, the Company recorded accretion of $16.6 million related to the Series B Redeemable Preferred Stock. Accretion of the Redeemable Convertible Preferred Stock was reflected as adjustments to additional paid-in capital in the condensed consolidated balance sheet as of September 30, 2024. The carrying value of the Series A Redeemable Convertible Preferred Stock and Series B Redeemable Convertible Preferred Stock was $591.9 million and $468.3 million as of September 30, 2024, respectively. </w:t>
      </w:r>
    </w:p>
    <w:p>
      <w:pPr>
        <w:pStyle w:val="TextBody"/>
        <w:bidi w:val="0"/>
        <w:spacing w:lineRule="auto" w:line="268" w:before="240" w:after="283"/>
        <w:jc w:val="left"/>
        <w:rPr/>
      </w:pPr>
      <w:r>
        <w:rPr>
          <w:rFonts w:ascii="Times New Roman;sans-serif" w:hAnsi="Times New Roman;sans-serif"/>
          <w:b w:val="false"/>
          <w:color w:val="000000"/>
          <w:sz w:val="20"/>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Redeemable Convertible Preferred Stock between (i) the host contracts which are accounted for within mezzanine equity as described above, and (ii) the bifurcated derivative liabilities related to the conversion features. The proceeds from issuance were first allocated to the fair value of the bifurcated derivatives with the residual being allocated to the host contracts. The bifurcated derivatives are remeasured to fair value at each reporting period with changes in fair value recorded in the condensed consolidated statement of operations and comprehensi</w:t>
      </w:r>
      <w:r>
        <w:rPr>
          <w:rFonts w:ascii="Times New Roman;sans-serif" w:hAnsi="Times New Roman;sans-serif"/>
          <w:b w:val="false"/>
          <w:color w:val="000000"/>
          <w:sz w:val="20"/>
          <w:shd w:fill="FFFFFF" w:val="clear"/>
        </w:rPr>
        <w:t>ve loss</w:t>
      </w:r>
      <w:r>
        <w:rPr>
          <w:rFonts w:ascii="Times New Roman;sans-serif" w:hAnsi="Times New Roman;sans-serif"/>
          <w:b w:val="false"/>
          <w:color w:val="000000"/>
          <w:sz w:val="20"/>
        </w:rPr>
        <w:t xml:space="preserve">.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derivative liabilities for the Redeemable Convertible Preferred Stock were remeasured to fair value of $932.0 million, comprising of $585.3 million related to Series A Redeemable Convertible Preferred Stock and $346.7 million related to Series B Redeemable Convertible Preferred Stock. The Company recognized losses of $240.3 million and $137.3 million for the three and nine months ended September 30, 2024, respectively, in change in fair value of derivative liabilities associated with redeemable convertible preferred stock (related party) in the condensed consolidated statements of operations and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pPr>
      <w:r>
        <w:rPr>
          <w:rFonts w:ascii="Times New Roman;sans-serif" w:hAnsi="Times New Roman;sans-serif"/>
          <w:b w:val="false"/>
          <w:color w:val="000000"/>
          <w:sz w:val="20"/>
          <w:shd w:fill="FFFFFF" w:val="clear"/>
        </w:rPr>
        <w:t>The Company estimated the fair value of the derivative liabilities using a binomial lattice model with the volatility, credit spread, and term</w:t>
      </w:r>
      <w:r>
        <w:rPr>
          <w:color w:val="000000"/>
        </w:rPr>
        <w:t xml:space="preserve"> </w:t>
      </w:r>
      <w:r>
        <w:rPr>
          <w:rFonts w:ascii="Times New Roman;sans-serif" w:hAnsi="Times New Roman;sans-serif"/>
          <w:b w:val="false"/>
          <w:color w:val="000000"/>
          <w:sz w:val="20"/>
          <w:shd w:fill="FFFFFF" w:val="clear"/>
        </w:rPr>
        <w:t>as significant unobservable inputs. Assumptions used in the valuation also take into account the contractual terms as well as the quoted price of the Company’s common stock in an active</w:t>
      </w:r>
      <w:r>
        <w:rPr>
          <w:color w:val="000000"/>
        </w:rPr>
        <w:t xml:space="preserve"> </w:t>
      </w:r>
      <w:r>
        <w:rPr>
          <w:rFonts w:ascii="Times New Roman;sans-serif" w:hAnsi="Times New Roman;sans-serif"/>
          <w:b w:val="false"/>
          <w:color w:val="000000"/>
          <w:sz w:val="20"/>
        </w:rPr>
        <w:t xml:space="preserve">market. Significant changes in any of those inputs in isolation would result in significant changes to the fair value measurement.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The level 3 fair value inputs</w:t>
      </w:r>
      <w:r>
        <w:rPr>
          <w:color w:val="000000"/>
        </w:rPr>
        <w:t xml:space="preserve"> </w:t>
      </w:r>
      <w:r>
        <w:rPr>
          <w:rFonts w:ascii="Times New Roman;sans-serif" w:hAnsi="Times New Roman;sans-serif"/>
          <w:b w:val="false"/>
          <w:color w:val="000000"/>
          <w:sz w:val="20"/>
        </w:rPr>
        <w:t xml:space="preserve">used in the valuation of the derivative liabilities associated with the Redeemable Convertible Preferred Stock were as follows: </w:t>
      </w:r>
    </w:p>
    <w:tbl>
      <w:tblPr>
        <w:tblW w:w="5099" w:type="dxa"/>
        <w:jc w:val="left"/>
        <w:tblInd w:w="0" w:type="dxa"/>
        <w:tblLayout w:type="fixed"/>
        <w:tblCellMar>
          <w:top w:w="28" w:type="dxa"/>
          <w:left w:w="28" w:type="dxa"/>
          <w:bottom w:w="28" w:type="dxa"/>
          <w:right w:w="28" w:type="dxa"/>
        </w:tblCellMar>
      </w:tblPr>
      <w:tblGrid>
        <w:gridCol w:w="484"/>
        <w:gridCol w:w="424"/>
        <w:gridCol w:w="427"/>
        <w:gridCol w:w="109"/>
        <w:gridCol w:w="109"/>
        <w:gridCol w:w="109"/>
        <w:gridCol w:w="544"/>
        <w:gridCol w:w="281"/>
        <w:gridCol w:w="704"/>
        <w:gridCol w:w="111"/>
        <w:gridCol w:w="111"/>
        <w:gridCol w:w="111"/>
        <w:gridCol w:w="521"/>
        <w:gridCol w:w="268"/>
        <w:gridCol w:w="786"/>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Series A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Series B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Derivative Liability</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Credit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 STOCKHOLDERS’ EQUITY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repurchased an aggregate of 857,825 shares of its common stock, including 712,742 shares from certain employees and 145,083 shares from Board of Directors of the Company’s predecessor, Atieva, Inc. at $24.15 per share. No common stock was repurchased during the three and nine months ended September 30, 2024 and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Reserved for Issuance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reserved for future issuances as of September 30, 2024 was as follows:</w:t>
      </w:r>
    </w:p>
    <w:tbl>
      <w:tblPr>
        <w:tblW w:w="8566" w:type="dxa"/>
        <w:jc w:val="left"/>
        <w:tblInd w:w="0" w:type="dxa"/>
        <w:tblLayout w:type="fixed"/>
        <w:tblCellMar>
          <w:top w:w="28" w:type="dxa"/>
          <w:left w:w="28" w:type="dxa"/>
          <w:bottom w:w="28" w:type="dxa"/>
          <w:right w:w="28" w:type="dxa"/>
        </w:tblCellMar>
      </w:tblPr>
      <w:tblGrid>
        <w:gridCol w:w="2434"/>
        <w:gridCol w:w="2139"/>
        <w:gridCol w:w="2147"/>
        <w:gridCol w:w="592"/>
        <w:gridCol w:w="594"/>
        <w:gridCol w:w="660"/>
      </w:tblGrid>
      <w:tr>
        <w:trPr/>
        <w:tc>
          <w:tcPr>
            <w:tcW w:w="2434"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28,845,241 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116,174,433 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51,144,960 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Series A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291,019,450 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Series B redeemable convertible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173,206,009 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741,477,878 </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 STOCK-BASED AWARDS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stock option activity for the nine months ended September 30, 2024 was as follows:</w:t>
      </w:r>
    </w:p>
    <w:tbl>
      <w:tblPr>
        <w:tblW w:w="10205" w:type="dxa"/>
        <w:jc w:val="left"/>
        <w:tblInd w:w="0" w:type="dxa"/>
        <w:tblLayout w:type="fixed"/>
        <w:tblCellMar>
          <w:top w:w="28" w:type="dxa"/>
          <w:left w:w="28" w:type="dxa"/>
          <w:bottom w:w="28" w:type="dxa"/>
          <w:right w:w="28" w:type="dxa"/>
        </w:tblCellMar>
      </w:tblPr>
      <w:tblGrid>
        <w:gridCol w:w="1001"/>
        <w:gridCol w:w="856"/>
        <w:gridCol w:w="859"/>
        <w:gridCol w:w="540"/>
        <w:gridCol w:w="541"/>
        <w:gridCol w:w="343"/>
        <w:gridCol w:w="109"/>
        <w:gridCol w:w="109"/>
        <w:gridCol w:w="109"/>
        <w:gridCol w:w="390"/>
        <w:gridCol w:w="945"/>
        <w:gridCol w:w="201"/>
        <w:gridCol w:w="109"/>
        <w:gridCol w:w="109"/>
        <w:gridCol w:w="109"/>
        <w:gridCol w:w="794"/>
        <w:gridCol w:w="794"/>
        <w:gridCol w:w="796"/>
        <w:gridCol w:w="109"/>
        <w:gridCol w:w="109"/>
        <w:gridCol w:w="109"/>
        <w:gridCol w:w="225"/>
        <w:gridCol w:w="769"/>
        <w:gridCol w:w="170"/>
      </w:tblGrid>
      <w:tr>
        <w:trPr/>
        <w:tc>
          <w:tcPr>
            <w:tcW w:w="10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9"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Options</w:t>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Intrinsic Value </w:t>
            </w:r>
          </w:p>
          <w:p>
            <w:pPr>
              <w:pStyle w:val="TableContents"/>
              <w:bidi w:val="0"/>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32,911,135 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91,785 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232,177 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(2,896,364)</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canceled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(1,401,707)</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28,845,241 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as of September 30, 2024</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26,103,849 </w:t>
            </w:r>
          </w:p>
        </w:tc>
        <w:tc>
          <w:tcPr>
            <w:tcW w:w="3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unrecognized stock-based compensation cost related to outstanding unvested stock options that are expected to vest was $8.4 million, which is expected to be recognized over a weighted-average period of 2.7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RSUs activity for the nine months ended September 30, 2024 was as follows:</w:t>
      </w:r>
    </w:p>
    <w:tbl>
      <w:tblPr>
        <w:tblW w:w="10205" w:type="dxa"/>
        <w:jc w:val="left"/>
        <w:tblInd w:w="0" w:type="dxa"/>
        <w:tblLayout w:type="fixed"/>
        <w:tblCellMar>
          <w:top w:w="28" w:type="dxa"/>
          <w:left w:w="28" w:type="dxa"/>
          <w:bottom w:w="28" w:type="dxa"/>
          <w:right w:w="28" w:type="dxa"/>
        </w:tblCellMar>
      </w:tblPr>
      <w:tblGrid>
        <w:gridCol w:w="760"/>
        <w:gridCol w:w="648"/>
        <w:gridCol w:w="649"/>
        <w:gridCol w:w="561"/>
        <w:gridCol w:w="563"/>
        <w:gridCol w:w="402"/>
        <w:gridCol w:w="109"/>
        <w:gridCol w:w="109"/>
        <w:gridCol w:w="109"/>
        <w:gridCol w:w="626"/>
        <w:gridCol w:w="595"/>
        <w:gridCol w:w="597"/>
        <w:gridCol w:w="109"/>
        <w:gridCol w:w="109"/>
        <w:gridCol w:w="109"/>
        <w:gridCol w:w="592"/>
        <w:gridCol w:w="594"/>
        <w:gridCol w:w="267"/>
        <w:gridCol w:w="109"/>
        <w:gridCol w:w="109"/>
        <w:gridCol w:w="109"/>
        <w:gridCol w:w="508"/>
        <w:gridCol w:w="1484"/>
        <w:gridCol w:w="378"/>
      </w:tblGrid>
      <w:tr>
        <w:trPr/>
        <w:tc>
          <w:tcPr>
            <w:tcW w:w="76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54,699,739 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9,305,825 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64,005,564 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88,542,220 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13,772,614 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102,314,834 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(31,636,368)</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(1,644,016)</w:t>
            </w:r>
          </w:p>
        </w:tc>
        <w:tc>
          <w:tcPr>
            <w:tcW w:w="5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(33,280,384)</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Cancelled/Forfeited</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(11,785,855)</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(5,079,726)</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(16,865,581)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2024</w:t>
            </w:r>
          </w:p>
        </w:tc>
        <w:tc>
          <w:tcPr>
            <w:tcW w:w="11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99,819,736 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16,354,697 </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116,174,433 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unrecognized stock-based compensation cost related to outstanding unvested time-based RSUs that are expected to vest was $399.6 million, which is expected to be recognized over a weighted-average period of 1.8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Company granted performance-based RSUs to the CEO and they are subject to performance and market conditions. The performance condition was satisfied upon the closing of the Merger. The fair value of these performance-based RSUs was measured on the grant date, March 27, 2021, using a Monte Carlo simulation model, with the following assumptions:</w:t>
      </w:r>
    </w:p>
    <w:tbl>
      <w:tblPr>
        <w:tblW w:w="3227" w:type="dxa"/>
        <w:jc w:val="left"/>
        <w:tblInd w:w="0" w:type="dxa"/>
        <w:tblLayout w:type="fixed"/>
        <w:tblCellMar>
          <w:top w:w="28" w:type="dxa"/>
          <w:left w:w="28" w:type="dxa"/>
          <w:bottom w:w="28" w:type="dxa"/>
          <w:right w:w="28" w:type="dxa"/>
        </w:tblCellMar>
      </w:tblPr>
      <w:tblGrid>
        <w:gridCol w:w="870"/>
        <w:gridCol w:w="762"/>
        <w:gridCol w:w="768"/>
        <w:gridCol w:w="255"/>
        <w:gridCol w:w="256"/>
        <w:gridCol w:w="316"/>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expense using a graded vesting attribution method over the derived service period for the CEO performance-based awards. Stock-based compensation expense is recognized when the relevant performance condition is considered probable of achievement for the performance-based award. During the year ended December 31, 2022, the market condition was met for the CEO performance-based awards for four of the five tranches and certified by the Board of Directors, representing an aggregate of 13,934,271 performance RSUs. The unamortized expense of $8.2 million as of December 31, 2022 for the fifth tranche, representing 2,090,140 RSUs, was fully recognized during the year ended December 31, 2023. The Company withheld approximately 0.4 million and 1.4 million shares of common stock for the three and nine months ended September 30, 2024, respectively, and 0.5 million and 1.4 million shares of common stock for the same periods in the prior year, respectively, by net settlement to meet the related tax withholding requirements related to the CEO time-based RSUs.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performance-based RSUs to certain employees and they are subject to (i) corporate performance conditions and/or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and/or individual performance. Stock-based compensation expense is recognized when the relevant performance condition is considered probable of achievement for the performance-based award. The Company recorded stock-based compensation expenses of $6.2 million and $14.2 million during the three and nine months ended September 30, 2024, respectively, and $2.9 million and $3.6 million for the same periods in the prior year, respectively, related to these performance-based RSUs. As of September 30, 2024, the unamortized expense for the performance-based RSUs was $40.8 million, which will be recognized over a weighted-average period of 1.3 years primarily contingent upon realization of the corporate performance conditions.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 (“ESPP”)</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September 30, 2024, unrecognized stock-based compensation cost related to the ESPP was $24.9 million which is expected to be recognized over a weighted-average period of 1.7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employee and nonemployee stock-based compensation expense for the three and nine months ended September 30, 2024 and 2023, was classified in the condensed consolidated statements of operations and comprehensive loss as follows (in thousands):</w:t>
      </w:r>
    </w:p>
    <w:tbl>
      <w:tblPr>
        <w:tblW w:w="8626" w:type="dxa"/>
        <w:jc w:val="left"/>
        <w:tblInd w:w="0" w:type="dxa"/>
        <w:tblLayout w:type="fixed"/>
        <w:tblCellMar>
          <w:top w:w="28" w:type="dxa"/>
          <w:left w:w="28" w:type="dxa"/>
          <w:bottom w:w="28" w:type="dxa"/>
          <w:right w:w="28" w:type="dxa"/>
        </w:tblCellMar>
      </w:tblPr>
      <w:tblGrid>
        <w:gridCol w:w="1068"/>
        <w:gridCol w:w="941"/>
        <w:gridCol w:w="945"/>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88,094 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capitalized stock-based compensation expenses of $14.6 million and $34.0 million for the three and nine months ended September 30, 2024, respectively, and $11.4 million and $31.8 million for the same periods in the prior year, respectively, primarily as part of the cost of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 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various non-cancellable operating and finance lease agreements for certain of the Company’s offices, manufacturing and warehouse facilities, retail and service locations, equipment and vehicles, worldwide. </w:t>
      </w:r>
    </w:p>
    <w:p>
      <w:pPr>
        <w:pStyle w:val="TextBody"/>
        <w:bidi w:val="0"/>
        <w:spacing w:lineRule="auto" w:line="288" w:before="240" w:after="283"/>
        <w:jc w:val="left"/>
        <w:rPr/>
      </w:pPr>
      <w:r>
        <w:rPr>
          <w:rFonts w:ascii="Times New Roman;sans-serif" w:hAnsi="Times New Roman;sans-serif"/>
          <w:b w:val="false"/>
          <w:color w:val="000000"/>
          <w:sz w:val="20"/>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September 30, 2024 and December 31, 2023, assets associated with the finance lease were $79.3 million. As of September 30, 2024 and December 31, 2023, liabilities associated with the finance lease were $78.9 million</w:t>
      </w:r>
      <w:r>
        <w:rPr>
          <w:color w:val="B6B6B6"/>
        </w:rPr>
        <w:t xml:space="preserve"> </w:t>
      </w:r>
      <w:r>
        <w:rPr>
          <w:rFonts w:ascii="Times New Roman;sans-serif" w:hAnsi="Times New Roman;sans-serif"/>
          <w:b w:val="false"/>
          <w:color w:val="000000"/>
          <w:sz w:val="20"/>
        </w:rPr>
        <w:t>and $80.6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long-term liabilities in the condensed consolidated balance sheets as of September 30, 2024 and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for the operating and finance leases where the Company is the lessee are presented as follows within the Company’s condensed consolidated balance sheets (in thousands):</w:t>
      </w:r>
    </w:p>
    <w:tbl>
      <w:tblPr>
        <w:tblW w:w="6518" w:type="dxa"/>
        <w:jc w:val="left"/>
        <w:tblInd w:w="0" w:type="dxa"/>
        <w:tblLayout w:type="fixed"/>
        <w:tblCellMar>
          <w:top w:w="28" w:type="dxa"/>
          <w:left w:w="28" w:type="dxa"/>
          <w:bottom w:w="28" w:type="dxa"/>
          <w:right w:w="28" w:type="dxa"/>
        </w:tblCellMar>
      </w:tblPr>
      <w:tblGrid>
        <w:gridCol w:w="1398"/>
        <w:gridCol w:w="1225"/>
        <w:gridCol w:w="1231"/>
        <w:gridCol w:w="211"/>
        <w:gridCol w:w="826"/>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within the Company’s condensed consolidated statements of operations and comprehensive loss (in thousands):</w:t>
      </w:r>
    </w:p>
    <w:tbl>
      <w:tblPr>
        <w:tblW w:w="8119" w:type="dxa"/>
        <w:jc w:val="left"/>
        <w:tblInd w:w="0" w:type="dxa"/>
        <w:tblLayout w:type="fixed"/>
        <w:tblCellMar>
          <w:top w:w="28" w:type="dxa"/>
          <w:left w:w="28" w:type="dxa"/>
          <w:bottom w:w="28" w:type="dxa"/>
          <w:right w:w="28" w:type="dxa"/>
        </w:tblCellMar>
      </w:tblPr>
      <w:tblGrid>
        <w:gridCol w:w="896"/>
        <w:gridCol w:w="786"/>
        <w:gridCol w:w="792"/>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 expense:</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expense </w:t>
            </w:r>
            <w:r>
              <w:rPr>
                <w:rFonts w:ascii="Times New Roman;sans-serif" w:hAnsi="Times New Roman;sans-serif"/>
                <w:b w:val="false"/>
                <w:color w:val="000000"/>
                <w:sz w:val="13"/>
              </w:rPr>
              <w:t>(1)</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 expense:</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expense</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49,694 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Excluded short-term leases, which were not material.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where the Company is the lessee was as follows:</w:t>
      </w:r>
    </w:p>
    <w:tbl>
      <w:tblPr>
        <w:tblW w:w="7292" w:type="dxa"/>
        <w:jc w:val="left"/>
        <w:tblInd w:w="0" w:type="dxa"/>
        <w:tblLayout w:type="fixed"/>
        <w:tblCellMar>
          <w:top w:w="28" w:type="dxa"/>
          <w:left w:w="28" w:type="dxa"/>
          <w:bottom w:w="28" w:type="dxa"/>
          <w:right w:w="28" w:type="dxa"/>
        </w:tblCellMar>
      </w:tblPr>
      <w:tblGrid>
        <w:gridCol w:w="1603"/>
        <w:gridCol w:w="1408"/>
        <w:gridCol w:w="1413"/>
        <w:gridCol w:w="308"/>
        <w:gridCol w:w="308"/>
        <w:gridCol w:w="632"/>
        <w:gridCol w:w="109"/>
        <w:gridCol w:w="109"/>
        <w:gridCol w:w="109"/>
        <w:gridCol w:w="308"/>
        <w:gridCol w:w="308"/>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maturities of the Company’s operating and finance lease liabilities (excluding short-term leases) were as follows (in thousands):</w:t>
      </w:r>
    </w:p>
    <w:tbl>
      <w:tblPr>
        <w:tblW w:w="6176" w:type="dxa"/>
        <w:jc w:val="left"/>
        <w:tblInd w:w="0" w:type="dxa"/>
        <w:tblLayout w:type="fixed"/>
        <w:tblCellMar>
          <w:top w:w="28" w:type="dxa"/>
          <w:left w:w="28" w:type="dxa"/>
          <w:bottom w:w="28" w:type="dxa"/>
          <w:right w:w="28" w:type="dxa"/>
        </w:tblCellMar>
      </w:tblPr>
      <w:tblGrid>
        <w:gridCol w:w="1179"/>
        <w:gridCol w:w="1034"/>
        <w:gridCol w:w="1042"/>
        <w:gridCol w:w="251"/>
        <w:gridCol w:w="984"/>
        <w:gridCol w:w="129"/>
        <w:gridCol w:w="109"/>
        <w:gridCol w:w="109"/>
        <w:gridCol w:w="109"/>
        <w:gridCol w:w="239"/>
        <w:gridCol w:w="817"/>
        <w:gridCol w:w="17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399,760 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90,365 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obligations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81,948 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lease obligations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entered into additional leases for facilities and equipment that have not yet commenced with undiscounted future lease payments of $18.9 million. The leases are expected to commence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 COMMITMENTS AND CONTINGENCIES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had $443.6 million and $270.2 million in commitments related to AMP-1 and AMP-2 plant and equipment, respectively. These commitments represent future expected payments on open purchase orders entered into as of September 30, 2024 and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2"/>
        </w:rPr>
        <w:t>T</w:t>
      </w:r>
      <w:r>
        <w:rPr>
          <w:rFonts w:ascii="Times New Roman;sans-serif" w:hAnsi="Times New Roman;sans-serif"/>
          <w:b w:val="false"/>
          <w:color w:val="000000"/>
          <w:sz w:val="20"/>
        </w:rPr>
        <w:t>he Company’s non-cancellable long-term commitments primarily related to certain inventory component purchases. On October 1, 2024, the Company entered into amendments (the “Amendments”) to certain battery-supply agreements with Panasonic Energy Co., Ltd. and certain of its affiliates. Pursuant to the terms of the Amendments, the Company has reduced its contractual minimum commitment from approximately $4.8 billion to approximately $2.8 billion. The Company’s remaining minimum purchase commitments of an aggregate of approximately $2.8 billion was calculated using the current base prices, which could vary period-to-period primarily as a result of changes in raw material indexes. The estimated future payments having a remaining term in excess of one year, adjusted per the Amendments, were as follows (in thousands):</w:t>
      </w:r>
    </w:p>
    <w:tbl>
      <w:tblPr>
        <w:tblW w:w="3756" w:type="dxa"/>
        <w:jc w:val="left"/>
        <w:tblInd w:w="0" w:type="dxa"/>
        <w:tblLayout w:type="fixed"/>
        <w:tblCellMar>
          <w:top w:w="28" w:type="dxa"/>
          <w:left w:w="28" w:type="dxa"/>
          <w:bottom w:w="28" w:type="dxa"/>
          <w:right w:w="28" w:type="dxa"/>
        </w:tblCellMar>
      </w:tblPr>
      <w:tblGrid>
        <w:gridCol w:w="875"/>
        <w:gridCol w:w="768"/>
        <w:gridCol w:w="772"/>
        <w:gridCol w:w="211"/>
        <w:gridCol w:w="97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Years ended December 31,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Minimum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Purchase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Commitment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TextBody"/>
        <w:bidi w:val="0"/>
        <w:spacing w:lineRule="auto" w:line="288" w:before="240" w:after="283"/>
        <w:jc w:val="left"/>
        <w:rPr/>
      </w:pPr>
      <w:r>
        <w:rPr>
          <w:rFonts w:ascii="Times New Roman;sans-serif" w:hAnsi="Times New Roman;sans-serif"/>
          <w:b w:val="false"/>
          <w:color w:val="000000"/>
          <w:sz w:val="20"/>
        </w:rPr>
        <w:t xml:space="preserve">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w:t>
      </w:r>
      <w:r>
        <w:rPr>
          <w:rFonts w:ascii="Times New Roman;sans-serif" w:hAnsi="Times New Roman;sans-serif"/>
          <w:b w:val="false"/>
          <w:i/>
          <w:color w:val="000000"/>
          <w:sz w:val="20"/>
        </w:rPr>
        <w:t>In re CCIV / Lucid Motors Securities Litigation</w:t>
      </w:r>
      <w:r>
        <w:rPr>
          <w:rFonts w:ascii="Times New Roman;sans-serif" w:hAnsi="Times New Roman;sans-serif"/>
          <w:b w:val="false"/>
          <w:color w:val="000000"/>
          <w:sz w:val="20"/>
        </w:rPr>
        <w:t xml:space="preserve">, Case No. 4:21-cv-09323-YGR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District Court granted defendants’ motion to dismiss on January 11, 2023, with plaintiffs being provided the ability to seek leave to amend. On June 29, 2023, the District Court denied plaintiff’s motion for leave to amend, dismissed the lawsuit and terminated the case. On July 28, 2023, plaintiffs appealed the District Court’s decisions to the Ninth Circuit Court of Appeals. On August 8, 2024, the Ninth Circuit affirmed the district court judgment dismissing the case. On September 17, 2024, the Ninth Circuit denied Plaintiffs’ petition for a rehearing or rehearing </w:t>
      </w:r>
      <w:r>
        <w:rPr>
          <w:rFonts w:ascii="Times New Roman;sans-serif" w:hAnsi="Times New Roman;sans-serif"/>
          <w:b w:val="false"/>
          <w:i/>
          <w:color w:val="000000"/>
          <w:sz w:val="20"/>
        </w:rPr>
        <w:t>en banc</w:t>
      </w:r>
      <w:r>
        <w:rPr>
          <w:rFonts w:ascii="Times New Roman;sans-serif" w:hAnsi="Times New Roman;sans-serif"/>
          <w:b w:val="false"/>
          <w:color w:val="000000"/>
          <w:sz w:val="20"/>
        </w:rPr>
        <w:t>. On September 25, 2024, the Ninth Circuit issued its mandate affirming the district court judgment.</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two separate purported shareholders of the Company filed shareholder derivative actions, purportedly on behalf of the Company, against certain of the Company’s officers and directors in California federal court, captioned </w:t>
      </w:r>
      <w:r>
        <w:rPr>
          <w:rFonts w:ascii="Times New Roman;sans-serif" w:hAnsi="Times New Roman;sans-serif"/>
          <w:b w:val="false"/>
          <w:i/>
          <w:color w:val="000000"/>
          <w:sz w:val="20"/>
        </w:rPr>
        <w:t>Sahr Lebbie v. Peter Rawlinson, et al.,</w:t>
      </w:r>
      <w:r>
        <w:rPr>
          <w:color w:val="000000"/>
        </w:rPr>
        <w:t xml:space="preserve"> </w:t>
      </w:r>
      <w:r>
        <w:rPr>
          <w:rFonts w:ascii="Times New Roman;sans-serif" w:hAnsi="Times New Roman;sans-serif"/>
          <w:b w:val="false"/>
          <w:color w:val="000000"/>
          <w:sz w:val="20"/>
        </w:rPr>
        <w:t xml:space="preserve">Case No. 4:22-cv-00531-YGR (N.D. Cal.) (filed on January 26, 2022) and </w:t>
      </w:r>
      <w:r>
        <w:rPr>
          <w:rFonts w:ascii="Times New Roman;sans-serif" w:hAnsi="Times New Roman;sans-serif"/>
          <w:b w:val="false"/>
          <w:i/>
          <w:color w:val="000000"/>
          <w:sz w:val="20"/>
        </w:rPr>
        <w:t>Zsata Williams-Spinks v. Peter Rawlinson, et al.</w:t>
      </w:r>
      <w:r>
        <w:rPr>
          <w:rFonts w:ascii="Times New Roman;sans-serif" w:hAnsi="Times New Roman;sans-serif"/>
          <w:b w:val="false"/>
          <w:color w:val="000000"/>
          <w:sz w:val="20"/>
        </w:rPr>
        <w:t xml:space="preserve">, Case No. 4:22-cv-01115-YGR (N.D. Cal.) (filed on February 23, 2022). The complaint also names the Company as a nominal defendant. Based on allegations that are similar to those in the Consolidated Class Action, the Lebbie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and the Williams-Spinks complaint asserts claims for breach of fiduciary duty, gross mismanagement, abuse of control, unjust enrichment, contribution under Sections 10(b) and 21D of the Exchange Act, and aiding and abetting breach of fiduciary duty in connection with the Consolidated Class Action. The complaints seek compensatory damages, interest thereon, certain corporate governance reforms, and attorneys’ fees and expenses. On April 29, 2022, the District Court consolidated the two actions into </w:t>
      </w:r>
      <w:r>
        <w:rPr>
          <w:rFonts w:ascii="Times New Roman;sans-serif" w:hAnsi="Times New Roman;sans-serif"/>
          <w:b w:val="false"/>
          <w:i/>
          <w:color w:val="000000"/>
          <w:sz w:val="20"/>
        </w:rPr>
        <w:t>In re Lucid Group, Inc. (f/k/a Churchill Capital Corp IV) Derivative Litigation</w:t>
      </w:r>
      <w:r>
        <w:rPr>
          <w:rFonts w:ascii="Times New Roman;sans-serif" w:hAnsi="Times New Roman;sans-serif"/>
          <w:b w:val="false"/>
          <w:color w:val="000000"/>
          <w:sz w:val="20"/>
        </w:rPr>
        <w:t>, Case No. 4:22-cv-00531-YGR (N.D. Cal.) (the “Consolidated Derivative Action”). On May 25, 2022, the District Court then stayed the Consolidated Derivative Action pending developments in the Consolidated Class Action. On December 12, 2023, given that the Consolidated Class Action was dismissed by the trial court and appealed to the Ninth Circuit Court of Appeals, the District Court administratively closed the Consolidated Derivative Action for statistical purposes but reminded the parties of their obligations under the stay.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On April 1, 2022 and May 31, 2022, two alleged shareholders filed putative class actions under the federal securities laws against Lucid Group, Inc. and certain officers of the Company relating to alleged statements, updated projections and guidance provided in the late 2021 to early 2022 timeframe. The complaints, which were filed in the Northern District of California, are captioned </w:t>
      </w:r>
      <w:r>
        <w:rPr>
          <w:rFonts w:ascii="Times New Roman;sans-serif" w:hAnsi="Times New Roman;sans-serif"/>
          <w:b w:val="false"/>
          <w:i/>
          <w:color w:val="000000"/>
          <w:sz w:val="20"/>
        </w:rPr>
        <w:t>Victor W. Mangino v. Lucid Group, Inc., et al.</w:t>
      </w:r>
      <w:r>
        <w:rPr>
          <w:rFonts w:ascii="Times New Roman;sans-serif" w:hAnsi="Times New Roman;sans-serif"/>
          <w:b w:val="false"/>
          <w:color w:val="000000"/>
          <w:sz w:val="20"/>
        </w:rPr>
        <w:t xml:space="preserve">, Case No. 3:22-cv-02094-JD, and </w:t>
      </w:r>
      <w:r>
        <w:rPr>
          <w:rFonts w:ascii="Times New Roman;sans-serif" w:hAnsi="Times New Roman;sans-serif"/>
          <w:b w:val="false"/>
          <w:i/>
          <w:color w:val="000000"/>
          <w:sz w:val="20"/>
        </w:rPr>
        <w:t>Anant Goel v. Lucid Group, Inc., et al.</w:t>
      </w:r>
      <w:r>
        <w:rPr>
          <w:rFonts w:ascii="Times New Roman;sans-serif" w:hAnsi="Times New Roman;sans-serif"/>
          <w:b w:val="false"/>
          <w:color w:val="000000"/>
          <w:sz w:val="20"/>
        </w:rPr>
        <w:t xml:space="preserve">, Case No. 3:22-cv-03176-JD. The two matters were consolidated into one action, entitled </w:t>
      </w:r>
      <w:r>
        <w:rPr>
          <w:rFonts w:ascii="Times New Roman;sans-serif" w:hAnsi="Times New Roman;sans-serif"/>
          <w:b w:val="false"/>
          <w:i/>
          <w:color w:val="000000"/>
          <w:sz w:val="20"/>
        </w:rPr>
        <w:t>In re Lucid Group, Inc. Securities Litigation</w:t>
      </w:r>
      <w:r>
        <w:rPr>
          <w:rFonts w:ascii="Times New Roman;sans-serif" w:hAnsi="Times New Roman;sans-serif"/>
          <w:b w:val="false"/>
          <w:color w:val="000000"/>
          <w:sz w:val="20"/>
        </w:rPr>
        <w:t>, Case No. 22-cv-02094-JD. The consolidated complaint names as defendants Lucid Group, Inc. and the Company’s chief executive officer and former chief financial officer, and generally allege that defendants purportedly made false or misleading statements regarding delivery and revenue projections and related matters between November 15, 2021 and August 3, 2022. The consolidated complaint seeks certification of the action as a class action, as well as compensatory damages, interest thereon, and attorneys’ fees and expenses. Defendants filed a Motion to Dismiss on February 23, 2023. On August 8, 2024, the Court granted in part and denied in part Defendants’ Motion to Dismiss, and gave Plaintiffs leave to replead their complaint. On September 20, 2024, Plaintiffs filed an Amended Consolidated Complaint, which no longer names the Company’s former chief financial officer as an individual defendant. Lucid’s opening brief in support of its renewed Motion to Dismiss is due on November 15, 2024. Defendants believe that the plaintiffs’ claims are without merit and intends to defend themselves vigorously, but they cannot ensure that their efforts to dismiss the consolidated complaint will be successful or that they will avoid liability in this matter.</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on September 5, 2024, a purported shareholder of the Company filed a shareholder derivative lawsuit on behalf of Lucid Group, Inc. against certain of the Company’s current and former directors in Delaware state court, captioned </w:t>
      </w:r>
      <w:r>
        <w:rPr>
          <w:rFonts w:ascii="Times New Roman;sans-serif" w:hAnsi="Times New Roman;sans-serif"/>
          <w:b w:val="false"/>
          <w:i/>
          <w:color w:val="000000"/>
          <w:sz w:val="20"/>
        </w:rPr>
        <w:t>Tricia Rodney v. Rawlinson, et al.</w:t>
      </w:r>
      <w:r>
        <w:rPr>
          <w:rFonts w:ascii="Times New Roman;sans-serif" w:hAnsi="Times New Roman;sans-serif"/>
          <w:b w:val="false"/>
          <w:color w:val="000000"/>
          <w:sz w:val="20"/>
        </w:rPr>
        <w:t>, Delaware Court of Chancery, Case No. 2024-0927. The complaint names the Company as a nominal defendant. The complaint alleges: (i) a breach of fiduciary duty claim against the Company’s CEO; (ii) a breach of fiduciary duty claim against other then-current members of the Board in 2022; and (iii) an unjust enrichment claim against the Company’s CEO.</w:t>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on July 11, 2022, a purported shareholder of the Company filed a shareholder derivative action, purportedly on behalf of the Company, against certain of the Company’s officers and directors in California state court, captioned </w:t>
      </w:r>
      <w:r>
        <w:rPr>
          <w:rFonts w:ascii="Times New Roman;sans-serif" w:hAnsi="Times New Roman;sans-serif"/>
          <w:b w:val="false"/>
          <w:i/>
          <w:color w:val="000000"/>
          <w:sz w:val="20"/>
        </w:rPr>
        <w:t>Floyd Taylor v. Glenn August, et al.</w:t>
      </w:r>
      <w:r>
        <w:rPr>
          <w:rFonts w:ascii="Times New Roman;sans-serif" w:hAnsi="Times New Roman;sans-serif"/>
          <w:b w:val="false"/>
          <w:color w:val="000000"/>
          <w:sz w:val="20"/>
        </w:rPr>
        <w:t xml:space="preserve">, Superior Court, Alameda County, Case No. 22CV014130. The complaint also names the Company as a nominal defendant. Based on allegations that are similar to those in the </w:t>
      </w:r>
      <w:r>
        <w:rPr>
          <w:rFonts w:ascii="Times New Roman;sans-serif" w:hAnsi="Times New Roman;sans-serif"/>
          <w:b w:val="false"/>
          <w:i/>
          <w:color w:val="000000"/>
          <w:sz w:val="20"/>
        </w:rPr>
        <w:t xml:space="preserve">In re Lucid Group, Inc. Securities Litigation </w:t>
      </w:r>
      <w:r>
        <w:rPr>
          <w:rFonts w:ascii="Times New Roman;sans-serif" w:hAnsi="Times New Roman;sans-serif"/>
          <w:b w:val="false"/>
          <w:color w:val="000000"/>
          <w:sz w:val="20"/>
        </w:rPr>
        <w:t xml:space="preserve">action, the </w:t>
      </w:r>
      <w:r>
        <w:rPr>
          <w:rFonts w:ascii="Times New Roman;sans-serif" w:hAnsi="Times New Roman;sans-serif"/>
          <w:b w:val="false"/>
          <w:i/>
          <w:color w:val="000000"/>
          <w:sz w:val="20"/>
        </w:rPr>
        <w:t>Taylor</w:t>
      </w:r>
      <w:r>
        <w:rPr>
          <w:color w:val="000000"/>
        </w:rPr>
        <w:t xml:space="preserve"> </w:t>
      </w:r>
      <w:r>
        <w:rPr>
          <w:rFonts w:ascii="Times New Roman;sans-serif" w:hAnsi="Times New Roman;sans-serif"/>
          <w:b w:val="false"/>
          <w:color w:val="000000"/>
          <w:sz w:val="20"/>
        </w:rPr>
        <w:t>complaint asserts claims for breach of fiduciary duty, unjust enrichment, waste of corporate assets and aiding and abetting breach of fiduciary duty. The complaint seeks compensatory damages, punitive damages, interest, and attorneys’ fees and expenses. The case is currently stayed.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 In December 2022, the Court granted Defendants’ Motion to Dismiss. Plaintiffs subsequently appealed and the decision was affirmed by the First District Appellate Court on August 23, 2024. Plaintiffs have filed a petition for further review of the case by the Illinois Supreme Court.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while we have registered and applied for trademarks in an effort to protect our brand and goodwill with customers, competitors or other third parties are,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or are unable to submit specimens of use by the applicable deadline to perfect such trademark rights. For instance, in June 2024, we reached an agreement with Gravity, Inc. to settle a claim before the United States Patent and Trademark Office (“USPTO”) that opposed and requested cancellation of our trademark application and registration for the use of “Gravity.”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$83.2 million and $56.3 million as of September 30, 2024 and December 31, 2023, respectively, for which no liabilities are recorded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13 - INCOME TAXES</w:t>
      </w:r>
    </w:p>
    <w:p>
      <w:pPr>
        <w:pStyle w:val="TextBody"/>
        <w:bidi w:val="0"/>
        <w:spacing w:lineRule="auto" w:line="288" w:before="240" w:after="283"/>
        <w:jc w:val="both"/>
        <w:rPr/>
      </w:pPr>
      <w:r>
        <w:rPr>
          <w:rFonts w:ascii="Times New Roman;sans-serif" w:hAnsi="Times New Roman;sans-serif"/>
          <w:b w:val="false"/>
          <w:color w:val="231F20"/>
          <w:sz w:val="20"/>
        </w:rPr>
        <w:t>The Company</w:t>
      </w:r>
      <w:r>
        <w:rPr>
          <w:color w:val="000000"/>
        </w:rPr>
        <w:t>’</w:t>
      </w:r>
      <w:r>
        <w:rPr>
          <w:rFonts w:ascii="Times New Roman;sans-serif" w:hAnsi="Times New Roman;sans-serif"/>
          <w:b w:val="false"/>
          <w:color w:val="231F20"/>
          <w:sz w:val="20"/>
        </w:rPr>
        <w:t>s provision from income taxes for interim periods is determined using its effective tax rate that</w:t>
      </w:r>
      <w:r>
        <w:rPr>
          <w:color w:val="000000"/>
        </w:rPr>
        <w:t xml:space="preserve"> </w:t>
      </w:r>
      <w:r>
        <w:rPr>
          <w:rFonts w:ascii="Times New Roman;sans-serif" w:hAnsi="Times New Roman;sans-serif"/>
          <w:b w:val="false"/>
          <w:color w:val="000000"/>
          <w:sz w:val="20"/>
        </w:rPr>
        <w:t>arise during the period. The Company’s quarterly tax provision is subject to variation due to several factors, including variability in pre-tax income (or loss), the mix of jurisdictions to which such income relates, changes in how the Company does business, the valuation allowance against deferred tax assets, and tax law developments.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was 0.0% for the three and nine months ended September 30, 2024 and 2023, due to minimal profits in foreign jurisdictions and U.S. losses for which no benefit will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NOTE 14 - NET LOSS PER SHARE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common stockholders are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478"/>
        <w:gridCol w:w="950"/>
        <w:gridCol w:w="970"/>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47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(2,174,654)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redeemable convertible preferred stock (related party)</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stockholders, basic and diluted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(2,174,654)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attributable to common stockholders, basic and 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2,323,971,541 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2,284,446,783 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2,312,249,333 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2,010,916,100 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 basic and diluted</w:t>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tbl>
      <w:tblPr>
        <w:tblW w:w="9835" w:type="dxa"/>
        <w:jc w:val="left"/>
        <w:tblInd w:w="0" w:type="dxa"/>
        <w:tblLayout w:type="fixed"/>
        <w:tblCellMar>
          <w:top w:w="28" w:type="dxa"/>
          <w:left w:w="28" w:type="dxa"/>
          <w:bottom w:w="28" w:type="dxa"/>
          <w:right w:w="28" w:type="dxa"/>
        </w:tblCellMar>
      </w:tblPr>
      <w:tblGrid>
        <w:gridCol w:w="2428"/>
        <w:gridCol w:w="2138"/>
        <w:gridCol w:w="2153"/>
        <w:gridCol w:w="592"/>
        <w:gridCol w:w="594"/>
        <w:gridCol w:w="156"/>
        <w:gridCol w:w="125"/>
        <w:gridCol w:w="125"/>
        <w:gridCol w:w="125"/>
        <w:gridCol w:w="592"/>
        <w:gridCol w:w="594"/>
        <w:gridCol w:w="213"/>
      </w:tblGrid>
      <w:tr>
        <w:trPr/>
        <w:tc>
          <w:tcPr>
            <w:tcW w:w="242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Excluded Securities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44,350,000 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28,845,241 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34,320,337 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101,501,380 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51,817,847 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16,831,978 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9,353,757 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convertible note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36,737,785 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Series A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291,019,450 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If-converted common shares from Series B redeemable convertible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173,206,009 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692,491,843 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176,579,726 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14,673,053 and 9,452,483 shares of common stock equivalents subject to RSUs are excluded from the anti-dilutive table above as the underlying shares remain contingently issuable since the respective performance conditions have not been satisfied as of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 EMPLOYEE BENEFIT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for the three and nine months ended September 30, 2024, and nil for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16 - RELATED PARTY TRANSACTIONS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entered into a lease agreement with KAEC, a related party of PIF, which is an affiliate of Ayar, for its first international manufacturing plant in Saudi Arabia. The lease has an initial term of 25 years expiring in 2047. The right-of-use asset related to this lease was $4.3 million and $4.5 million as of September 30, 2024 and December 31, 2023, respectively. The lease liability was $6.0 million and $5.7 million as of September 30, 2024 and December 31, 2023, respectively. The right-of-use asset and lease liability were recorded in right-of-use assets and other long-term liabilities in the condensed consolidated balance sheets, respectively. The lease expense recorded for the three and nine months ended September 30, 2024 and 2023 was immaterial.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the Company entered into a lease agreement with King Abdullah Financial District Development and Management Company, a subsidiary of PIF, which is an affiliate of Ayar, for its corporate office in Saudi Arabia. The lease has an initial term of six years expiring in 2029. The right-of-use asset related to this lease was $2.1 million and $2.3 million as of September 30, 2024 and December 31, 2023, respectively. The lease liability was $2.3 million as of September 30, 2024 and December 31, 2023. The right-of-use asset and lease liability were recorded in right-of-use assets and other long-term liabilities in the condensed consolidated balance sheets, respectively. The lease expense recorded for the three and nine months ended September 30, 2024 was immaterial.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SIDF Loan Agreement</w:t>
      </w:r>
    </w:p>
    <w:p>
      <w:pPr>
        <w:pStyle w:val="TextBody"/>
        <w:bidi w:val="0"/>
        <w:spacing w:lineRule="auto" w:line="288" w:before="240" w:after="283"/>
        <w:jc w:val="left"/>
        <w:rPr/>
      </w:pPr>
      <w:r>
        <w:rPr>
          <w:rFonts w:ascii="Times New Roman;sans-serif" w:hAnsi="Times New Roman;sans-serif"/>
          <w:b w:val="false"/>
          <w:color w:val="000000"/>
          <w:sz w:val="20"/>
        </w:rPr>
        <w:t>In February 2022, Lucid LLC entered into the SIDF Loan Agreement with the SIDF, a related party of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w:t>
      </w:r>
      <w:r>
        <w:rPr>
          <w:color w:val="242424"/>
          <w:shd w:fill="FFFFFF" w:val="clear"/>
        </w:rPr>
        <w:t xml:space="preserve"> </w:t>
      </w:r>
      <w:r>
        <w:rPr>
          <w:rFonts w:ascii="Times New Roman;sans-serif" w:hAnsi="Times New Roman;sans-serif"/>
          <w:b w:val="false"/>
          <w:color w:val="000000"/>
          <w:sz w:val="20"/>
        </w:rPr>
        <w:t>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MISA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received support of SAR 366 million (approximately $97.3 million) in cash, of which $64.0 million was recorded as deferred liability within other long-term liabilities and $33.3 million was recorded as a deduction in calculating the carrying amount of the related assets in the consolidated balance sheet as of December 31, 2022. Subsequently, the Company recorded $64.0 million as a deduction in calculating the carrying amount of the related assets in the consolidated balance sheet as of December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September 30, 2024, the Company recorded $97.5 million as a deduction in calculating the carrying amount of the related assets in the condensed consolidated balance sheet. There were no unfulfilled conditions and contingencies attached to the payments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rFonts w:ascii="Times New Roman;sans-serif" w:hAnsi="Times New Roman;sans-serif"/>
          <w:b/>
          <w:i/>
          <w:color w:val="242424"/>
          <w:sz w:val="20"/>
          <w:shd w:fill="FFFFFF" w:val="clear"/>
        </w:rPr>
      </w:pPr>
      <w:r>
        <w:rPr>
          <w:rFonts w:ascii="Times New Roman;sans-serif" w:hAnsi="Times New Roman;sans-serif"/>
          <w:b/>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Lucid LLC entered into the GIB Facility Agreement with GIB. GIB is a related party of PIF, which is an affiliate of Ayar. The GIB Facility Agreement provided for two committed revolving credit facilities in an aggregate principal amount of SAR 1 billion (approximately $266.1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Lucid LLC entered into an amendment of the GIB Facility Agreement to combine the Bridge Facility and the Working Capital Facility into a committed SAR 1 billion (approximately $266.6 million) GIB Credit Facility which may be used for general corporate purposes. 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Construction Service Contract </w:t>
      </w:r>
    </w:p>
    <w:p>
      <w:pPr>
        <w:pStyle w:val="TextBody"/>
        <w:bidi w:val="0"/>
        <w:spacing w:lineRule="auto" w:line="288" w:before="240" w:after="283"/>
        <w:jc w:val="left"/>
        <w:rPr/>
      </w:pPr>
      <w:r>
        <w:rPr>
          <w:rFonts w:ascii="Times New Roman;sans-serif" w:hAnsi="Times New Roman;sans-serif"/>
          <w:b w:val="false"/>
          <w:color w:val="000000"/>
          <w:sz w:val="20"/>
        </w:rPr>
        <w:t xml:space="preserve">Lucid LLC entered into agreements with Al Bawani Company Limited (“Al Bawani”), an </w:t>
      </w:r>
      <w:r>
        <w:rPr>
          <w:rFonts w:ascii="Times New Roman;sans-serif" w:hAnsi="Times New Roman;sans-serif"/>
          <w:b w:val="false"/>
          <w:color w:val="000000"/>
          <w:sz w:val="20"/>
          <w:shd w:fill="FFFFFF" w:val="clear"/>
        </w:rPr>
        <w:t xml:space="preserve">affiliate of </w:t>
      </w:r>
      <w:r>
        <w:rPr>
          <w:rFonts w:ascii="Times New Roman;sans-serif" w:hAnsi="Times New Roman;sans-serif"/>
          <w:b w:val="false"/>
          <w:color w:val="000000"/>
          <w:sz w:val="20"/>
        </w:rPr>
        <w:t xml:space="preserve">PIF, which is an affiliate of Ayar, for certain design and construction services in connection with the development of AMP-2. The capital expenditures incurred to date under these agreements were SAR 678.5 million (approximately $180.9 million) and SAR 444.6 million (approximately $118.6 million) as of September 30, 2024 and December 31, 2023, respectively. Amounts due to Al Bawani under these agreements were SAR 89.5 million (approximately $23.8 million) and SAR 74.0 million (approximately $19.7 million) as of September 30, 2024 and December 31, 2023, respectively, and were recorded within other current liabilities in the condensed consolidated balance sheets. </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Subscription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the Company entered into the 2023 Subscription Agreement with Ayar, pursuant to which Ayar agreed to purchase from the Company 265,693,703 shares of the Company’s common stock at a price per share of $6.83 in a private placement for aggregate net proceeds of $1.8 billion. In June 2023, the Company issued the shares to Ayar pursuant to the 2023 Subscription Agreement and received aggregate net proceeds of $1.8 billion after deducting issuance costs of $2.0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entered into the Series A Subscription Agreement with Ayar, pursuant to which Ayar agreed to purchase from the Company 100,000 shares of its Series A Redeemable Convertible Preferred Stock for an aggregate purchase price of $1.0 billion in a private placement. Subsequently, in March 2024, the Company issued the shares to Ayar pursuant to the Series A Subscription Agreement and received aggregate gross proceeds of $1.0 billion. In August 2024, the Company entered into the Series B Subscription Agreement with Ayar, pursuant to which Ayar agreed to purchase from the Company 75,000 shares of its Series B Redeemable Convertible Preferred Stock for an aggregate purchase price of $750.0 million in a private placement. Subsequently, in August 2024, the Company issued the shares to Ayar pursuant to the Series B Subscription Agreement and received aggregate gross proceeds of $750.0 million. See Note 8 “Redeemable Convertible Preferred Stock” for more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the Company entered into the 2024 Subscription Agreement, pursuant to which Ayar agreed to purchase from the Company 374,717,927 shares of the Company’s common stock in a private placement. In addition, Ayar agreed to purchase an additional 21,470,459 shares of the Company’s common stock. As of October 31, 2024, the Company consummated the private placement of shares to Ayar pursuant to the 2024 Subscription Agreement for aggregate proceeds of approximately $1,026.5 million. See Note 17 “Subsequent Events”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acquired by Ayar under the 2023 Subscription Agreement and 2024 Subscription Agreement, the Redeemable Convertible Preferred Stock acquired by Ayar under the Series A Subscription Agreement and the Series B Subscription Agreement, and the common stock issuable upon conversion thereof are subject to the Investor Rights Agreement dated February 22, 2021 (as amended from time-to-time, the “Investor Rights Agreement”), which governs the registration for resale of such common stock and the Redeemable Convertible Preferred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Human Resources Development Fund (“HRDF”) Joint Cooperation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Lucid LLC entered into a joint cooperation agreement with HRDF, a related party of PIF, which is an affiliate of Ayar. Pursuant to the agreement, Lucid LLC will train and develop local personnel in Saudi Arabia, and HRDF agreed to reimburse the Company training related costs in an aggregate maximum amount of SAR 29.3 million (approximately $7.8 million) during the program.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a payment SAR 3.7 million (approximately $1.0 million) in cash during the three and nine months ended September 30, 2024, and SAR 8.8 million (approximately $2.3 million) during the year ended December 31, 2023. The Company recorded $1.8 million of deferred liability within other current liabilities in the condensed consolidated balance sheets as of December 31, 2023. As of September 30, 2024, the Company recorded the remaining deferred liability balance as a deduction to operating expenses in the condensed consolidated statement of operations and comprehensive loss. The deduction recorded to operating expenses in the condensed consolidated statement of operations and comprehensive loss was not material for the three and nine months ended September 30, 2024 and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EV Purchase Agreement</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Lucid LLC entered into the EV Purchase Agreement with the Government of Saudi Arabia, a related party of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any vehicles that Lucid LLC fails to deliver within six months from the date of the applicable purchase order. The Purchaser also has sole and absolute discretion to decide whether to exercise the option to purchase the additional 50,000 vehicles.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net vehicle sales amount of SAR 171.0 million (approximately $45.6 million) and SAR 500.5 million (approximately $133.4 million) during the three and nine months ended September 30, 2024, respectively, and SAR 18.7 million (approximately $5.0 million) during the same periods in the prior year. The deferred revenue from the vehicle sales was primarily related to OTA and was recorded within other current liabilities and other long-term liabilities in the condensed consolidated balance sheets. As of September 30, 2024 and December 31, 2023, the deferred revenue balance was not material. The Company recorded amounts due from the Purchaser of SAR 265.8 million (approximately $70.8 million) and SAR 133.2 million (approximately $35.5 million) in accounts receivable, net in the condensed consolidated balance sheets as of September 30, 2024 and December 31, 2023, respectively. See “Vehicle Sales without Residual Value Guarantee” section under Note 2 “Summary of Significant Accounting Policies” for the revenue recognition policies. </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Implementation Agreement with Aston Martin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entered into an agreement (the “Implementation Agreement”) with Aston Martin, a related party of PIF, which is an affiliate of Ayar, under which the Company and Aston Martin have established a long-term strategic technology and supply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electric vehicle chassis, and supply powertrain and battery components to Aston Martin (collectively, the “Strategic Technology Arrangement”). In connection with the commencement of the Strategic Technology Arrangement, the Company received technology access fees in 28,352,273 ordinary shares of Aston Martin (subject to a lock-up provision of 365 days from its issuance) and the first cash installment of $33.0 million. These shares were initially measured at a fair value of $73.2 million. As of September 30, 2024 and December 31, 2023, the Company remeasured the shares and recorded fair values of $45.7 million and $81.5 million within investments in equity securities of a related party in the condensed consolidated balance sheets, respectively. The Company will receive the remaining cash payments of $99 million phased over a period of three years. In connection with the Strategic Technology Arrangement, the Company will also receive an aggregate of $10 million for integration service fees phased over a period of three years, of which the Company received $4.8 million from inception through September 30, 2024. The Company recorded accounts receivable of $1.1 million in the condensed consolidated balance sheet as of September 30, 2024. The Company accounts for technology access, integration service, and supply arrangement as a single performance obligation and recognizes revenue related to technology access and integration service based on estimated units of delivery under the supply arrangement. As of September 30, 2024 and December 31, 2023, the Company recorded $112.0 million and $107.8 million as deferred revenue primarily within other long-term liabilities in the condensed consolidated balance sheets, respectively. Aston Martin has also committed to an effective minimum spend with the Company on powertrain components of $225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DDTL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the Company entered into a $750.0 million five year DDTL Credit Facility with Ayar, which may be used for working capital and general corporate purposes. See Note 6 “Debt” for more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Time Deposit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purchases time deposits with GIB from time-to-time. GIB is a related party of PIF, which is an affiliate of Ayar. As of September 30, 2024, the time deposit balance was $15.0 million, which was recorded within short-term investments in the condensed consolidated balance sheet. See Note 5 “Fair Value Measurements and Financial Instruments”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17 – SUBSEQUENT EVENTS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the condensed consolidated financial statements for the three and nine months ended September 30, 2024, the Company evaluated subsequent events and concluded there were no subsequent events that required recognition in the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2024 Underwriting Agreement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16, 2024, the Company entered into the 2024 Underwriting Agreement with the Underwriter, under which the Underwriter agreed to purchase 262,446,931 shares of the Company’s common stock. The Company also granted the Underwriter a 30-day option to purchase up to 39,367,040 additional shares of its common stock (the “Overallotment Option”). On October 17, 2024, the Underwriter exercised the Overallotment Option to purchase an additional 15,037,594 shares. On October 18, 2024, the Company completed the public offering pursuant to the 2024 Underwriting Agreement and received aggregate proceeds of approximately $719.0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2024 Subscription Agreement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2024, the Company also entered into the 2024 Subscription Agreement, pursuant to which Ayar agreed to purchase from the Company 374,717,927 shares of the Company’s common stock in a private placement. In addition, given the Underwriter’s exercise of the Overallotment Option, Ayar agreed to purchase an additional 21,470,459 shares of the Company’s common stock. As of October 31, 2024, the Company consummated the private placement of shares to Ayar pursuant to the 2024 Subscription Agreement for aggregate proceeds of approximately $1,026.5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Financial Condition and Results of Operations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on Form 10-Q (the “Quarterly Report”) and our Annual Report on Form 10-K for the year ended December 31, 2023, filed with the SEC on February 27, 2024.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technology company with a mission to create exceptional experiences to drive the world forward. Our focus on in-house hardware and software innovation, vertical integration, and a “clean sheet” approach to engineering and design led to the development of the award-winning Lucid Air.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vehicles directly to consumers through our retail sales network and through direct online sales, including through Lucid Financial Services. We believe that owning our sales network provides an opportunity to closely manage the customer experience, gather direct customer feedback, and ensure that customer interactions are tailored to our customers’ needs.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as repair hubs for our mobile service offerings in some cases.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began delivering the Lucid Air to customers in October 2021 and we expect to launch additional vehicles over the coming decade. We have leveraged and expanded the technological advancements from the Lucid Air to the Lucid Gravity sport utility vehicle (“SUV”), which is scheduled for start of production in late 2024. After the Lucid Air and the Lucid Gravity SUV, start of production of our Midsize platform is scheduled for late 2026.</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2024 Underwriting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2024, we entered into an underwriting agreement (the “2024 Underwriting Agreement”) with BofA Securities, Inc. (the “Underwriter”), under which the Underwriter agreed to purchase 262,446,931 shares of our common stock. We also granted the underwriter a 30-day option to purchase up to 39,367,040 additional shares of our common stock (the “Overallotment Option”). On October 17, 2024, the Underwriter exercised the Overallotment Option to purchase an additional 15,037,594 shares. On October 18, 2024, we completed the public offering pursuant to the 2024 Underwriting Agreement and received aggregate proceeds of approximately $719.0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2024 Subscription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2024, we also entered into a subscription agreement (the “2024 Subscription Agreement”) with Ayar Third Investment Company, our controlling stockholder (“Ayar”), pursuant to which Ayar agreed to purchase from us 374,717,927 shares of our common stock in a private placement. In addition, given the Underwriter’s exercise of the Overallotment Option, Ayar agreed to purchase an additional 21,470,459 shares of our common stock. As of October 31, 2024, we consummated the private placement of shares to Ayar pursuant to the 2024 Subscription Agreement for aggregate proceeds of approximately $1,026.5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Potential Impact of an Economic Downturn on our Business</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public health crises, interest rate increases or other policy actions by major central banks, </w:t>
      </w:r>
      <w:r>
        <w:rPr>
          <w:rFonts w:ascii="Times New Roman;sans-serif" w:hAnsi="Times New Roman;sans-serif"/>
          <w:b w:val="false"/>
          <w:color w:val="231F20"/>
          <w:sz w:val="20"/>
        </w:rPr>
        <w:t xml:space="preserve">government closures of banks and liquidity concerns at other financial institutions, </w:t>
      </w:r>
      <w:r>
        <w:rPr>
          <w:rFonts w:ascii="Times New Roman;sans-serif" w:hAnsi="Times New Roman;sans-serif"/>
          <w:b w:val="false"/>
          <w:color w:val="000000"/>
          <w:sz w:val="20"/>
        </w:rPr>
        <w:t xml:space="preserve">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orders in response to higher interest rates, availability of consumer credit, decreased cash availability, fluctuations in foreign currency exchange rates, and weakened consumer confidence. Reduced demand for our products may result in significant decreases in our product sales, which in turn would have a material adverse impact on our business, prospects, financial condition and results of operations.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In addition, the deterioration of conditions in global credit markets may limit our ability to obtain external financing to fund our operations and capital expenditures on terms favorable to us, if at all. See “Risk Factors” in Part II, Item 1A of this Quarterly Report for more information regarding risks associated with a global economic recession, including under the caption </w:t>
      </w:r>
      <w:r>
        <w:rPr>
          <w:color w:val="000000"/>
        </w:rPr>
        <w:t>“</w:t>
      </w:r>
      <w:r>
        <w:rPr>
          <w:rFonts w:ascii="Times New Roman;sans-serif" w:hAnsi="Times New Roman;sans-serif"/>
          <w:b w:val="false"/>
          <w:i/>
          <w:color w:val="000000"/>
          <w:sz w:val="20"/>
        </w:rPr>
        <w:t xml:space="preserve">A global economic recession, government closures of banks and liquidity concerns at other financial institutions, or other downturn may have a material adverse impact on our business, prospects,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Key Factors Affecting Our Performance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pStyle w:val="TextBody"/>
        <w:bidi w:val="0"/>
        <w:spacing w:lineRule="auto" w:line="288" w:before="240" w:after="283"/>
        <w:jc w:val="left"/>
        <w:rPr/>
      </w:pPr>
      <w:r>
        <w:rPr>
          <w:rFonts w:ascii="Times New Roman;sans-serif" w:hAnsi="Times New Roman;sans-serif"/>
          <w:b/>
          <w:i/>
          <w:color w:val="000000"/>
          <w:sz w:val="20"/>
        </w:rPr>
        <w:t>Design and Technology Leadership</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are positioned to be a leader in the electric vehicle market by unlocking the potential for advanced, high-performance, and long-range electric vehicles to co-exist. The Lucid Air is designed with race-proven battery and powertrain technologies, offering robust performance together with a sleek exterior design and expansive interior space due to our miniaturized key drivetrain components. We anticipate continued consumer demand for the Lucid Air based on its luxurious design, high-performance technology, sustainability leadership, and the growing acceptance of and demand for electric vehicles as substitutes for gasoline-fueled vehicles. We expect that these attributes will also drive demand for future models, including the Lucid Gravity and our Midsize platform.</w:t>
      </w:r>
    </w:p>
    <w:p>
      <w:pPr>
        <w:pStyle w:val="TextBody"/>
        <w:bidi w:val="0"/>
        <w:spacing w:lineRule="auto" w:line="288" w:before="240" w:after="283"/>
        <w:jc w:val="left"/>
        <w:rPr/>
      </w:pPr>
      <w:r>
        <w:rPr>
          <w:rFonts w:ascii="Times New Roman;sans-serif" w:hAnsi="Times New Roman;sans-serif"/>
          <w:b/>
          <w:i/>
          <w:color w:val="000000"/>
          <w:sz w:val="20"/>
        </w:rPr>
        <w:t>Direct-to-Consumer Model</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 direct-to-consumer sales and service model, which we believe allows us to offer a personalized experience for our customers based on their purchase and ownership preferences. We expect to continue to incur significant expenses in our sales, service and marketing operations for sale of the Lucid Air and other electric vehicles that we may offer over the coming decade, including to open additional studios, expand our sales force, grow marketing and brand awareness, and establish a robust service center operation. As of September 30, 2024, we have opened 55 studios and service centers (excluding temporary and satellite service centers): 37 in the United States (12 in California, four in each of Florida and New York, two in each of Arizona, Illinois, Massachusetts, Texas, Virginia and Washington, and one in each of Colorado, Georgia, Michigan, New Jersey and Pennsylvania), five in Canada, five in Germany, two in Switzerland, one in Netherlands, one in Norway, three in Saudi Arabia, and one in the United Arab Emirates. We also expect to hire additional sales, customer service, and service center personnel. We believe that investing in our direct-to-consumer sales and service model will be critical to delivering and servicing the Lucid electric vehicles we manufacture and sell. </w:t>
      </w:r>
    </w:p>
    <w:p>
      <w:pPr>
        <w:pStyle w:val="TextBody"/>
        <w:bidi w:val="0"/>
        <w:spacing w:lineRule="auto" w:line="288" w:before="240" w:after="283"/>
        <w:jc w:val="left"/>
        <w:rPr/>
      </w:pPr>
      <w:r>
        <w:rPr>
          <w:rFonts w:ascii="Times New Roman;sans-serif" w:hAnsi="Times New Roman;sans-serif"/>
          <w:b/>
          <w:i/>
          <w:color w:val="000000"/>
          <w:sz w:val="20"/>
        </w:rPr>
        <w:t>Establishing Manufacturing Capacity</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Achieving commercialization and growth for each generation of our electric vehicles requires us to make significant capital expenditures to scale our production capacity and improve our supply chain processes in the United States and internationally. We expect our capital expenditures to increase as we continue constructing the completely-built-up (“CBU”) portion of AMP-2 and expanding AMP-1.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meet customer demand at anticipated levels, our ability to utilize planned capacity in our existing facilities and our ability to enter new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Technology Innovation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develop in-house battery and powertrain technology, which requires significant capital investment in research and development. The electric vehicle market is highly competitive, including both established automotive manufacturers and new entrants. To establish market position and attract customers, we plan to continue making substantial investments in research and development for the commercialization and continued enhancements of the Lucid Air, the development of the Lucid Gravity SUV and our Midsize platform, as well as future generations of our electric vehicles and other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and Saudi Arabian economies have experienced increased inflation. Our vehicle manufacturing costs are heavily influenced by the cost of the key components and materials used in the vehicle, labor costs, as well as the cost of equipment used in our manufacturing facilities. As we continue the phased construction of our AMP-1 and AMP-2 facilities, any further increases in material and infrastructure equipment prices, as well as construction labor costs, could lead to higher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Revenue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revenue for the periods presented (in thousands):</w:t>
      </w:r>
    </w:p>
    <w:tbl>
      <w:tblPr>
        <w:tblW w:w="1129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0"/>
        <w:gridCol w:w="200"/>
        <w:gridCol w:w="47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from vehicle sales when the customer obtains control of the vehicle, which is upon delivery. We also generate revenue from non-warranty after-sales vehicle services and parts, powertrain kits, retail merchandise, and regulatory credits.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$62.2 million or 45% and $135.2 million or 31% for the three and nine months ended September 30, 2024, respectively, as compared to the same periods in the prior year. The increases were primarily driven by higher deliveries of the Lucid Air vehicles, partially offset by a lower average selling price of vehicles for the three and nine months ended September 30, 2024, as compared to the same periods in the prior year. The increase in revenue for the nine months ended September 30, 2024, as compared to the same period in the prior year, was also due to an increase of $21.3 million of regulatory credit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cost of revenue for the periods presented (in thousands):</w:t>
      </w:r>
    </w:p>
    <w:tbl>
      <w:tblPr>
        <w:tblW w:w="11535"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200"/>
        <w:gridCol w:w="200"/>
        <w:gridCol w:w="471"/>
        <w:gridCol w:w="109"/>
        <w:gridCol w:w="109"/>
        <w:gridCol w:w="109"/>
        <w:gridCol w:w="196"/>
        <w:gridCol w:w="871"/>
        <w:gridCol w:w="109"/>
        <w:gridCol w:w="109"/>
        <w:gridCol w:w="109"/>
        <w:gridCol w:w="109"/>
        <w:gridCol w:w="196"/>
        <w:gridCol w:w="871"/>
        <w:gridCol w:w="109"/>
        <w:gridCol w:w="109"/>
        <w:gridCol w:w="109"/>
        <w:gridCol w:w="109"/>
        <w:gridCol w:w="196"/>
        <w:gridCol w:w="751"/>
        <w:gridCol w:w="109"/>
        <w:gridCol w:w="109"/>
        <w:gridCol w:w="109"/>
        <w:gridCol w:w="109"/>
        <w:gridCol w:w="192"/>
        <w:gridCol w:w="192"/>
        <w:gridCol w:w="53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$57.2 million or 12% and $238.4 million or 16% for the three and nine months ended September 30, 2024, respectively, as compared to the same periods in the prior year, primarily due to the decreases in inventory write-downs and losses from firm purchase commitments, partially offset by higher deliveries of the Lucid Air vehicles. The decrease in cost of revenue for the nine months ended September 30, 2024, as compared to the same period in the prior year, was also partially offset by a provision associated with a special warranty campaign recorded in the current year. We continue to incur significant personnel and overhead costs to operate our large-scale manufacturing facilities while ramping up production. In the near term, we expect our production volume of vehicles to continue to be significantly less than our manufacturing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write-downs of $154.9 million and $446.9 million for the three and nine months ended September 30, 2024, respectively, and $230.8 million and $752.8 million for the same periods in the prior year, respectively, to reduce our inventories to their net realizable values, for any excess or obsolete inventories, and losses from firm purchase commitments. The decreases in the inventory write-downs and losses from firm purchase commitments were primarily due to decreases in overall inventory balances and obsolescence. The decrease in overall inventory balances and obsolescence for the three months ended September 30, 2024, compared to the same period in the prior year, was primarily driven by higher deliveries of the Lucid Air vehicles. The decrease in overall inventory balances and obsolescence for the nine months ended September 30, 2024, compared to the same period in the prior year, was primarily driven by lower purchases of raw materials and higher deliveries of the Lucid Air vehicles. We expect inventory write-downs could negatively affect our costs of vehicle sales in upcoming periods in the near term as we ramp production volumes up toward our manufacturing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(the “IRA”) was enacted with clean energy incentives. For the three and nine months ended September 30, 2024, the impact of the IRA on our results of operations was not material. We will continue to evaluate the expected future impact of the IRA on our business and financial statements as additional regulatory guidance is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Operating Expenses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expenses for the periods presented (in thousands):</w:t>
      </w:r>
    </w:p>
    <w:tbl>
      <w:tblPr>
        <w:tblW w:w="12030" w:type="dxa"/>
        <w:jc w:val="left"/>
        <w:tblInd w:w="0" w:type="dxa"/>
        <w:tblLayout w:type="fixed"/>
        <w:tblCellMar>
          <w:top w:w="28" w:type="dxa"/>
          <w:left w:w="28" w:type="dxa"/>
          <w:bottom w:w="28" w:type="dxa"/>
          <w:right w:w="28" w:type="dxa"/>
        </w:tblCellMar>
      </w:tblPr>
      <w:tblGrid>
        <w:gridCol w:w="460"/>
        <w:gridCol w:w="325"/>
        <w:gridCol w:w="32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0"/>
        <w:gridCol w:w="200"/>
        <w:gridCol w:w="471"/>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2"/>
        <w:gridCol w:w="192"/>
        <w:gridCol w:w="532"/>
      </w:tblGrid>
      <w:tr>
        <w:trPr/>
        <w:tc>
          <w:tcPr>
            <w:tcW w:w="4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efforts have primarily focused on the development of our battery and powertrain technology, the Lucid Air, the Lucid Gravity SUV,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$93.6 million, or 41% for the three months ended September 30, 2024, as compared to the same period in the prior year. The increase was primarily attributable to higher personnel-related expenses of $63.0 million ($45.3 million increase due to our growth in headcount and $17.7 million higher stock-based compensation expenses) and an increase of $26.1 million for prototype material, engineering, design and testing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$202.1 million, or 29% for the nine months ended September 30, 2024, as compared to the same period in the prior year. The increase was primarily attributable to higher personnel-related expenses of $142.2 million ($118.8 million increase due to our growth in headcount and $23.4 million higher stock-based compensation expenses) and an increase of $70.9 million for prototype material, engineering, design and testing services, partially offset by lower utilization of contractors and professional fees of $17.8 million.</w:t>
      </w:r>
    </w:p>
    <w:p>
      <w:pPr>
        <w:pStyle w:val="TextBody"/>
        <w:bidi w:val="0"/>
        <w:spacing w:lineRule="auto" w:line="288" w:before="240" w:after="283"/>
        <w:jc w:val="left"/>
        <w:rPr/>
      </w:pPr>
      <w:r>
        <w:rPr>
          <w:rFonts w:ascii="Times New Roman;sans-serif" w:hAnsi="Times New Roman;sans-serif"/>
          <w:b w:val="false"/>
          <w:i/>
          <w:color w:val="000000"/>
          <w:sz w:val="20"/>
        </w:rPr>
        <w:t>Selling, General, and Administrative</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 consists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the development of the Lucid Gravity SUV and our Midsize platform, and future generations of our electric vehicles, we expect that our selling, general and administrative costs will increase.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$43.9 million, or 23% for the three months ended September 30, 2024, as compared to the same period in the prior year. The increase was primarily attributable to higher personnel-related expenses of $26.2 million ($24.0 million increase due to our growth in headcount and $2.2 million higher stock-based compensation expense), higher utilization of contractors and professional fees of $10.3 million, and an increase of $8.2 million in allocated facilities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 increased by $100.9 million, or 18% for the nine months ended September 30, 2024, as compared to the same period in the prior year. The increase was primarily attributable to higher personnel-related expenses of $60.4 million ($68.8 million increase due to our growth in headcount, partially offset by $8.4 million lower stock-based compensation expense), an increase in sales and marketing expenses of $27.8 million, and an increase of $9.7 million in allocated facilities costs.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Charges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24, 2024, we announced a restructuring plan (the “2024 Restructuring Plan”) intended to optimize operating expenses in response to evolving business needs and productivity improvement through a reduction in workforce. We substantially completed the 2024 Restructuring Plan in the third quarter of 2024.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2024, we recorded restructuring charges of $0.1 million and $20.3 million, respectively, related to the 2024 Restructuring Plan within restructuring charges in the condensed consolidated statements of operations and comprehensive loss. The restructuring charges were primarily related to severance payments, employee benefits, employee transition and stock-based compensation, net of a reversal of previously recognized stock-based compensation expense.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28, 2023, we announced a restructuring plan (the “2023 Restructuring Plan”) intended to reduce operating expenses in response to evolving business needs and productivity improvement through a reduction in workforce. We completed the 2023 Restructuring Plan during the first quarter of 2024. During the three and nine months ended September 30, 2023, we recorded restructuring charges of $0.5 million and $24.5 million, respectively, and recorded no restructuring charges for the same periods in the current year related to the 2023 Restructuring Plan. The restructuring charges were primarily related to severance payments, employee benefits, employee transition and stock-based compensation, net of a reversal of previously recognized stock-based compensation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other income (expense), net for the periods presented (in thousands):</w:t>
      </w:r>
    </w:p>
    <w:p>
      <w:pPr>
        <w:pStyle w:val="TextBody"/>
        <w:bidi w:val="0"/>
        <w:spacing w:before="0" w:after="0"/>
        <w:jc w:val="left"/>
        <w:rPr/>
      </w:pPr>
      <w:r>
        <w:rPr/>
      </w:r>
    </w:p>
    <w:tbl>
      <w:tblPr>
        <w:tblW w:w="11623" w:type="dxa"/>
        <w:jc w:val="left"/>
        <w:tblInd w:w="0" w:type="dxa"/>
        <w:tblLayout w:type="fixed"/>
        <w:tblCellMar>
          <w:top w:w="28" w:type="dxa"/>
          <w:left w:w="28" w:type="dxa"/>
          <w:bottom w:w="28" w:type="dxa"/>
          <w:right w:w="28" w:type="dxa"/>
        </w:tblCellMar>
      </w:tblPr>
      <w:tblGrid>
        <w:gridCol w:w="399"/>
        <w:gridCol w:w="258"/>
        <w:gridCol w:w="259"/>
        <w:gridCol w:w="109"/>
        <w:gridCol w:w="109"/>
        <w:gridCol w:w="10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218"/>
        <w:gridCol w:w="218"/>
        <w:gridCol w:w="471"/>
        <w:gridCol w:w="109"/>
        <w:gridCol w:w="109"/>
        <w:gridCol w:w="109"/>
        <w:gridCol w:w="196"/>
        <w:gridCol w:w="661"/>
        <w:gridCol w:w="109"/>
        <w:gridCol w:w="109"/>
        <w:gridCol w:w="109"/>
        <w:gridCol w:w="109"/>
        <w:gridCol w:w="196"/>
        <w:gridCol w:w="736"/>
        <w:gridCol w:w="109"/>
        <w:gridCol w:w="109"/>
        <w:gridCol w:w="109"/>
        <w:gridCol w:w="109"/>
        <w:gridCol w:w="196"/>
        <w:gridCol w:w="751"/>
        <w:gridCol w:w="109"/>
        <w:gridCol w:w="109"/>
        <w:gridCol w:w="109"/>
        <w:gridCol w:w="109"/>
        <w:gridCol w:w="218"/>
        <w:gridCol w:w="218"/>
        <w:gridCol w:w="532"/>
      </w:tblGrid>
      <w:tr>
        <w:trPr/>
        <w:tc>
          <w:tcPr>
            <w:tcW w:w="39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securities of a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*nm</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pPr>
      <w:r>
        <w:rPr>
          <w:rFonts w:ascii="Times New Roman;sans-serif" w:hAnsi="Times New Roman;sans-serif"/>
          <w:b w:val="false"/>
          <w:i/>
          <w:color w:val="000000"/>
          <w:sz w:val="16"/>
        </w:rPr>
        <w:t xml:space="preserve">*nm </w:t>
      </w:r>
      <w:r>
        <w:rPr>
          <w:rFonts w:ascii="Times New Roman;sans-serif" w:hAnsi="Times New Roman;sans-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 in Fair Value of Common Stock Warrant Liability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common stock warrant liability relates to the privately placed common stock warrants (the “Private Placement Warrants”) to purchase shares of our common stock that were effectively issued upon the Closing in connection with the reverse recapitalization treatment of the Merger. Our common stock warrant liability is subject to remeasurement to fair value at each reporting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remained unexercised as of September 30, 2024. The liability was remeasured to fair value, resulting in a loss of $13.7 million and a gain of $20.8 million for the three and nine months ended September 30, 2024, respectively, and gains of $60.3 million and $61.6 million for the same periods in the prior year, respectively. The change in fair value was classified within change in fair value of common stock warrant liability in the condensed consolidated statements of operations and comprehensive loss. See Note 7 “Common Stock Warrant Liability”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Equity Securities of a Related Party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 In connection with the commencement of the Strategic Technology Arrangement with Aston Martin, we received 28,352,273 ordinary shares of Aston Martin (subject to a lock-up provision of 365 days from its issuance). The ordinary shares of Aston Martin are subject to remeasurement to fair value at each reporting period. Such shares were initially measured at a fair value of $73.2 million and were remeasured to a fair value of $45.7 million and $81.5 million as of September 30, 2024 and December 31, 2023, respectively. The change in fair value resulted in unrealized losses of $8.8 million and $38.2 million for the three and nine months ended September 30, 2024, respectively, and was classified within change in fair value of equity securities of a related party in the condensed consolidated statements of operations and comprehensive loss. See Note 5 “Fair Value Measurements and Financial Instruments” and Note 16 “Related Party Transactions”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Derivative Liabilities Associated with Redeemable Convertible Preferred Stock (Related Party)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entered into a subscription agreement (the “Series A Subscription Agreement”) with Ayar. Pursuant to the Series A Subscription Agreement, Ayar agreed to purchase from us 100,000 shares of our Series A Convertible Preferred Stock, par value $0.0001 per share (the “Series A Redeemable Convertible Preferred Stock”) for an aggregate purchase price of $1.0 billion in a private placement. Subsequently, in March 2024, we issued the shares to Ayar pursuant to the Series A Subscription Agreement and received aggregate gross proceeds of $1.0 billion.</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2024, we entered into the Series B Subscription Agreement with Ayar. Pursuant to the Series B Subscription Agreement, Ayar agreed to purchase from us 75,000 shares of our Series B Redeemable Convertible Preferred Stock for an aggregate purchase price of $750.0 million in a private placement. Subsequently, in August 2024, we issued the shares to Ayar pursuant to the Series B Subscription Agreement and received aggregate gross proceeds of $750.0 million.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concluded that the conversion features, inclusive of all settlement outcomes where the pay-off is indexed to the if-converted value, meets all the requirements to be separately accounted for as a bifurcated derivative. As a result, we bifurcated the Series A Redeemable Convertible Preferred Stock and Series B Redeemable Convertible Preferred Stock (the “Redeemable Convertible Preferred Stock”) between (i) the host contracts which are accounted for within mezzanine equity, and (ii) the bifurcated derivative liabilities related to the conversion features. The bifurcated derivatives are remeasured to fair value at each reporting period with changes in fair value recorded in the condensed consolidated statement of operations and comprehensive loss. </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derivative liabilities of the Series A Redeemable Convertible Preferred Stock and Series B Redeemable Convertible Preferred Stock were initially measured at fair values of $497.1 million and $297.7 million, respectively. The derivative liabilities of the Redeemable Convertible Preferred Stock were remeasured to a fair value of $932.0 million as of September 30, 2024. We recognized losses of $240.3 million and $137.3 million for the three and nine months ended September 30, 2024, respectively, primarily driven by an increase in our stock price during the respective periods, in change in fair value of derivative liabilities associated with redeemable convertible preferred stock (related party) in the condensed consolidated statements of operations and comprehensive loss. See Note 8 “Redeemable Convertible Preferred Stock”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by $16.0 million, or 24% for the three months ended September 30, 2024, as compared to the same period in the prior year, primarily due to lower average balances and lower book yield from cash on hand and our investments of available-for-sale securities.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$9.6 million, or 7% for the nine months ended September 30, 2024, as compared to the same period in the prior year, primarily due to higher book yield from cash on hand and our investments of available-for-sale securities, partially offset by lower average cash on hand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primarily consists of contractual interest and amortization of debt discounts and debt issuance costs incurred related to the 2026 Notes issued in December 2021, commitment fees and amortization of deferred issuance costs from the five-year senior secured asset-based revolving credit facility (“ABL Credit Facility”) and the DDTL Credit Facility, interest on Gulf International Bank (“GIB”) revolving credit facility and on our finance leases, and capitalized interest on construction in progress related to significant capital asset construction.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$5.1 million, or 154%, and $5.5 million, or 32% for the three and nine months ended September 30, 2024, respectively, as compared to the same periods in the prior year. The increases were primarily due to higher interest expense of $1.1 million and $3.3 million from the GIB credit facility resulting from higher average borrowings and commitment fees related to the DDTL Credit Facility, and decreases of $3.6 million and $1.2 million in interest capitalized on construction in progress related to significant capital asset construction during the three and nine months ended September 30, 2024, respectively, as compared to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primarily consists of foreign currency gains and losses.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decreased by $0.6 million and increased by $5.2 million for the three and nine months ended September 30, 2024, respectively, as compared to the same periods in the prior year, primarily due to changes in foreign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i/>
          <w:color w:val="000000"/>
          <w:sz w:val="20"/>
        </w:rPr>
        <w:t>Provision for Income Taxes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provision for income taxes for the periods presented (in thousands):</w:t>
      </w:r>
    </w:p>
    <w:tbl>
      <w:tblPr>
        <w:tblW w:w="10205" w:type="dxa"/>
        <w:jc w:val="left"/>
        <w:tblInd w:w="0" w:type="dxa"/>
        <w:tblLayout w:type="fixed"/>
        <w:tblCellMar>
          <w:top w:w="28" w:type="dxa"/>
          <w:left w:w="28" w:type="dxa"/>
          <w:bottom w:w="28" w:type="dxa"/>
          <w:right w:w="28" w:type="dxa"/>
        </w:tblCellMar>
      </w:tblPr>
      <w:tblGrid>
        <w:gridCol w:w="421"/>
        <w:gridCol w:w="369"/>
        <w:gridCol w:w="371"/>
        <w:gridCol w:w="109"/>
        <w:gridCol w:w="109"/>
        <w:gridCol w:w="109"/>
        <w:gridCol w:w="196"/>
        <w:gridCol w:w="421"/>
        <w:gridCol w:w="109"/>
        <w:gridCol w:w="109"/>
        <w:gridCol w:w="109"/>
        <w:gridCol w:w="109"/>
        <w:gridCol w:w="196"/>
        <w:gridCol w:w="421"/>
        <w:gridCol w:w="109"/>
        <w:gridCol w:w="109"/>
        <w:gridCol w:w="109"/>
        <w:gridCol w:w="109"/>
        <w:gridCol w:w="214"/>
        <w:gridCol w:w="461"/>
        <w:gridCol w:w="121"/>
        <w:gridCol w:w="109"/>
        <w:gridCol w:w="109"/>
        <w:gridCol w:w="109"/>
        <w:gridCol w:w="200"/>
        <w:gridCol w:w="200"/>
        <w:gridCol w:w="471"/>
        <w:gridCol w:w="109"/>
        <w:gridCol w:w="109"/>
        <w:gridCol w:w="109"/>
        <w:gridCol w:w="196"/>
        <w:gridCol w:w="421"/>
        <w:gridCol w:w="109"/>
        <w:gridCol w:w="109"/>
        <w:gridCol w:w="109"/>
        <w:gridCol w:w="109"/>
        <w:gridCol w:w="196"/>
        <w:gridCol w:w="556"/>
        <w:gridCol w:w="109"/>
        <w:gridCol w:w="109"/>
        <w:gridCol w:w="109"/>
        <w:gridCol w:w="109"/>
        <w:gridCol w:w="196"/>
        <w:gridCol w:w="492"/>
        <w:gridCol w:w="109"/>
        <w:gridCol w:w="109"/>
        <w:gridCol w:w="109"/>
        <w:gridCol w:w="109"/>
        <w:gridCol w:w="195"/>
        <w:gridCol w:w="195"/>
        <w:gridCol w:w="535"/>
      </w:tblGrid>
      <w:tr>
        <w:trPr/>
        <w:tc>
          <w:tcPr>
            <w:tcW w:w="4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provision for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approximately $4.0 billion of cash, cash equivalents and investments. Since inception, our existing sources of liquidity include cash, cash equivalents, investments, and credit facilities. We funded operations primarily with issuances of common stock, convertible preferred stock and convertible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phase 2 in Casa Grande, Arizona, (iv) construction of the CBU portion of AMP-2 in Saudi Arabia, (v) expansion of retail studios and service centers, and (vi) other initiatives related to the sale of vehicles and/ or technology.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our cumulative spending on capital expenditures to be approximately $1.0 billion for the fiscal year 2024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Our future capital expenditures may vary and will depend on many factors including the timing and extent of spending and other growth initiatives. In addition, we expect our operating expenses to increase in order to grow and support the operations of a global automotive company targeting volumes in line with Lucid’s aspirations.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our total minimum lease payments are $490.1 million, of which $15.6 million is due in fiscal year 2024. We also have non-cancellable long-term commitments of approximately $3.0 billion, primarily relating to certain inventory component purchases. For details regarding these obligations, refer to Note 11 “Leases” and Note 12 “Commitments and Contingencies” to the condensed consolidated financial statements included elsewhere in this Quarterly Report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2026 Notes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September 30, 2024 and December 31, 2023, we were in compliance with applicable covenants under the indenture governing the 2026 Notes.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Manufacturing Expansion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we announced that we had selected King Abdullah Economic City (“KAEC”) in Saudi Arabia as the location of our first international manufacturing plant and signed related agreements with the Ministry of Investment of Saudi Arabia, the Saudi Industrial Development Fund, and the Economic City at KAEC. The operations at the new plant initially consist of re-assembly of the Lucid Air vehicle “kits” pre-manufactured in the U.S. and, over time, will consist of production of complete vehicles.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Saudi Industrial Development Fund (“SIDF”) Loan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27, 2022, Lucid, LLC, a limited liability company established in Saudi Arabia and our subsidiary (“Lucid LLC”) entered into a loan agreement (as subsequently amended, the “SIDF Loan Agreement”) with SIDF, a related party of Public Investment Fund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SIDF Loans will not bear interest. Instead, Lucid LLC will be required to pay SIDF service fees, consisting of follow-up and technical evaluation fees, ranging, in aggregate, from SAR 415 million (approximately $110.6 million) to SAR 1.77 billion (approximately $471.8 million), over the term of the SIDF Loans. SIDF Loans will be secured by security interests in the equipment, machines and assets funded thereby.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September 30, 2024 and December 31, 2023, no amount was outstanding under the SIDF Loan Agreement.</w:t>
      </w:r>
    </w:p>
    <w:p>
      <w:pPr>
        <w:pStyle w:val="TextBody"/>
        <w:bidi w:val="0"/>
        <w:spacing w:lineRule="auto" w:line="288" w:before="240" w:after="283"/>
        <w:jc w:val="left"/>
        <w:rPr/>
      </w:pPr>
      <w:r>
        <w:rPr>
          <w:rFonts w:ascii="Times New Roman;sans-serif" w:hAnsi="Times New Roman;sans-serif"/>
          <w:b w:val="false"/>
          <w:i/>
          <w:color w:val="000000"/>
          <w:sz w:val="20"/>
        </w:rPr>
        <w:t>Ministry of Investment of Saudi Arabia</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MISA”) Agreements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Lucid LLC entered into agreements with MISA, a related party of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agreements, MISA has the right to require Lucid LLC to transfer the ownership of AMP-2 to MISA, at the fair market value thereof, minus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we received support of SAR 366 million (approximately $97.3 million) in cash, of which $64.0 million was recorded as deferred liability within other long-term liabilities and $33.3 million was recorded as a deduction in calculating the carrying amount of the related assets in the consolidated balance sheet as of December 31, 2022. Subsequently, we recorded $64.0 million as a deduction in calculating the carrying amount of the related assets in the consolidated balance sheet as of December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September 30, 2024, we recorded $97.5 million as a deduction in calculating the carrying amount of the related assets in the condensed consolidated balance sheet. There were no unfulfilled conditions and contingencies attached to the payments received. </w:t>
      </w:r>
    </w:p>
    <w:p>
      <w:pPr>
        <w:pStyle w:val="TextBody"/>
        <w:bidi w:val="0"/>
        <w:spacing w:lineRule="auto" w:line="288" w:before="240" w:after="283"/>
        <w:jc w:val="left"/>
        <w:rPr>
          <w:rFonts w:ascii="Times New Roman;sans-serif" w:hAnsi="Times New Roman;sans-serif"/>
          <w:b w:val="false"/>
          <w:i/>
          <w:color w:val="242424"/>
          <w:sz w:val="20"/>
          <w:shd w:fill="FFFFFF" w:val="clear"/>
        </w:rPr>
      </w:pPr>
      <w:r>
        <w:rPr>
          <w:rFonts w:ascii="Times New Roman;sans-serif" w:hAnsi="Times New Roman;sans-serif"/>
          <w:b w:val="false"/>
          <w:i/>
          <w:color w:val="242424"/>
          <w:sz w:val="20"/>
          <w:shd w:fill="FFFFFF" w:val="clear"/>
        </w:rPr>
        <w:t>GIB Facility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Lucid LLC entered into a revolving credit facility agreement (the “GIB Facility Agreement”) with GIB, maturing on February 28, 2025. GIB is a related party of PIF, which is an affiliate of Ayar. The GIB Facility Agreement provided for two committed revolving credit facilities in an aggregate principal amount of SAR 1 billion (approximately $266.1 million). SAR 650 million (approximately $173.0 million) under the GIB Facility Agreement was available as bridge financing (the “Bridge Facility”) of Lucid LLC’s capital expenditures in connection with AMP-2. The remaining SAR 350 million (approximately $93.1 million) might be used for general corporate purposes (the “Working Capital Facility”). Loans under the Bridge Facility and the Working Capital Facility had a maturity of no more than 12 months. The Bridge Facility incurred interest at a rate of 1.25% per annum over 3-month SAIBOR and the Working Capital Facility incurred interest at a rate of 1.70% per annum over 1~3-month SAIBOR and associated fees.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12, 2023, Lucid LLC entered into an amendment of the GIB Facility Agreement (together with the GIB Facility Agreement, the “Amended GIB Facility Agreement”) to combine the Bridge Facility and the Working Capital Facility into a committed SAR 1 billion (approximately $266.6 million) revolving credit facility (the “GIB Credit Facility”) which may be used for general corporate purposes. Loans under the Amended GIB Credit Facility Agreement have a maturity of no more than 12 months and bear interest at a rate of 1.40% per annum over SAIBOR (based on the term of borrowing) and associated fees.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pay a quarterly commitment fee of 0.15% per annum based on the unutilized portion of the GIB Credit Facility. Commitments under the Amended GIB Facility Agreement will terminate, and all amounts then outstanding thereunder would become payable, on the maturity date of the Amended GIB Facility Agreement. The Amended GIB Facility Agreement contains certain conditions precedent to drawdowns, representations and warranties and covenants of Lucid LLC and events of default.</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we had outstanding borrowings of SAR 175 million (approximately $46.6 million) and SAR 272 million (approximately $72.5 million), respectively. The weighted average interest rate on the outstanding borrowings was 7.56% and 7.49% as of September 30, 2024 and December 31, 2023, respectively. As of September 30, 2024 and December 31, 2023, availability under the GIB Credit Facility was SAR 823 million (approximately $219.4 million) and SAR 727 million (approximately $193.9 million), respectively, after giving effect to the outstanding letters of credit. The outstanding borrowings were recorded within other current liabilities in the condensed consolidated balance sheets. As of September 30, 2024 and December 31, 2023, we were in compliance with applicable covenants under the Amended GIB Facility Agreement.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ABL Credit Facility</w:t>
      </w:r>
    </w:p>
    <w:p>
      <w:pPr>
        <w:pStyle w:val="TextBody"/>
        <w:bidi w:val="0"/>
        <w:spacing w:lineRule="auto" w:line="288" w:before="240" w:after="283"/>
        <w:jc w:val="left"/>
        <w:rPr/>
      </w:pPr>
      <w:r>
        <w:rPr>
          <w:rFonts w:ascii="Times New Roman;sans-serif" w:hAnsi="Times New Roman;sans-serif"/>
          <w:b w:val="false"/>
          <w:color w:val="000000"/>
          <w:sz w:val="20"/>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w:t>
      </w:r>
      <w:r>
        <w:rPr>
          <w:rFonts w:ascii="Times New Roman;sans-serif" w:hAnsi="Times New Roman;sans-serif"/>
          <w:b w:val="false"/>
          <w:color w:val="242424"/>
          <w:sz w:val="20"/>
        </w:rPr>
        <w:t>In June 2024, we amended the ABL Credit Facility to update the Canadian reference rate.</w:t>
      </w:r>
      <w:r>
        <w:rPr>
          <w:color w:val="000000"/>
        </w:rPr>
        <w:t xml:space="preserve"> </w:t>
      </w:r>
      <w:r>
        <w:rPr>
          <w:rFonts w:ascii="Times New Roman;sans-serif" w:hAnsi="Times New Roman;sans-serif"/>
          <w:b w:val="false"/>
          <w:color w:val="000000"/>
          <w:sz w:val="20"/>
        </w:rPr>
        <w:t xml:space="preserve">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September 30, 2024 and December 31, 2023, we were in compliance with applicable covenants under the ABL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we had no outstanding borrowings under the ABL Credit Facility. Outstanding letters of credit under the ABL Credit Facility were $67.4 million and $45.4 million as of September 30, 2024 and December 31, 2023, respectively. Availability under the ABL Credit Facility was $335.0 million (including $169.9 million cash and cash equivalents) and $413.4 million (including $144.0 million cash and cash equivalents) as of September 30, 2024 and December 31, 2023, respectively, after giving effect to the borrowing base and the outstanding letters of credit.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DDTL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we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We are required to pay a quarterly undrawn fee of 0.50% per annum based on the unutilized portion of the DDTL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DDTL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September 30, 2024, we were in compliance with applicable covenants under the DDTL Credit Facility.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no outstanding borrowings under the DDTL Credit Facility.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Subscription Agreements and Underwriting Agreements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we completed our at-the-market offering program (the “At-the-Market Offering”) pursuant to the equity distribution agreement for net proceeds of $594.3 million after deducting commissions and other issuance costs and also consummated a private placement of shares to Ayar (the “2022 Subscription Agreement”) pursuant to the 2022 Subscription Agreement for $915.0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we completed the public offering pursuant to the Underwriting Agreement for aggregate net proceeds of $1.2 billion and also consummated a private placement of shares to Ayar pursuant to the 2023 Subscription Agreement for aggregate net proceeds of $1.8 billion after deducting issuance costs. See Note 9 “Stockholders’ Equity” to the condensed consolidated financial statements included elsewhere in this Quarterly Report, for more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issued 100,000 shares of our Series A Redeemable Convertible Preferred Stock to Ayar pursuant to the Series A Subscription Agreement and received aggregate gross proceeds of $1.0 billion. In August 2024, we also issued 75,000 shares of our Series B Redeemable Convertible Preferred Stock to Ayar pursuant to the Series B Subscription Agreement and received aggregate gross proceeds of $750.0 million. See Note 8 “Redeemable Convertible Preferred Stock” to the condensed consolidated financial statements included elsewhere in this Quarterly Report, for more information.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2024, we completed the public offering pursuant to the 2024 Underwriting Agreement and received aggregate proceeds of approximately $719.0 million and also consummated the private placement of shares to Ayar pursuant to the 2024 Subscription Agreement for aggregate proceeds of approximately $1,026.5 million. See Note 17 “Subsequent Events” to the condensed consolidated financial statements included elsewhere in this Quarterly Report,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generated significant losses from our operations as reflected in our accumulated deficit of $12.5 billion and $10.2 billion as of September 30, 2024 and December 31, 2023, respectively. Additionally, we have generated significant negative cash flows from operations and investing activities as we continue to support the growth of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“Risk Factors” in Part II, Item 1A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(in thousands):</w:t>
      </w:r>
    </w:p>
    <w:tbl>
      <w:tblPr>
        <w:tblW w:w="8483" w:type="dxa"/>
        <w:jc w:val="left"/>
        <w:tblInd w:w="0" w:type="dxa"/>
        <w:tblLayout w:type="fixed"/>
        <w:tblCellMar>
          <w:top w:w="28" w:type="dxa"/>
          <w:left w:w="28" w:type="dxa"/>
          <w:bottom w:w="28" w:type="dxa"/>
          <w:right w:w="28" w:type="dxa"/>
        </w:tblCellMar>
      </w:tblPr>
      <w:tblGrid>
        <w:gridCol w:w="2029"/>
        <w:gridCol w:w="1787"/>
        <w:gridCol w:w="1793"/>
        <w:gridCol w:w="196"/>
        <w:gridCol w:w="946"/>
        <w:gridCol w:w="109"/>
        <w:gridCol w:w="109"/>
        <w:gridCol w:w="109"/>
        <w:gridCol w:w="109"/>
        <w:gridCol w:w="196"/>
        <w:gridCol w:w="946"/>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(2,015,204)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(571,373)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decreased by $528.7 million to $1,486.5 million during the nine months ended September 30, 2024, as compared to the same period in the prior year. The decrease was primarily due to an overall decrease in net operating assets and liabilities of $727.1 million, partially offset by an increase in net loss excluding non-cash expenses and gains of $198.4 million during the nine months ended September 30, 2024, as compared to the same period in the prior year. The change in net operating assets and liabilities was mainly attributable to a decrease in inventory of $354.5 million due to lower purchases of raw materials and continuous improvement in inventory management, and a decrease in accounts payable of $157.4 million due to timing of payments. The decreases are partially offset by an increase in accounts receivable of $42.8 million during the nine months ended September 30, 2024, as compared to the same period in the prior year. We had $98.2 million accounts receivable, net as of September 30, 2024, compared to $51.8 million as of December 31, 2023. The increase in the accounts receivable, net primarily resulted from higher vehicle sales during the nine months ended September 30, 2024, as compared to the same period in the prior year, and payment term associated with the EV purchase agreement with the Government of Saudi Arabia, a related party of PIF, which is an affiliate of Ayar, as represented by the Ministry of Finance (the “EV Purchase Agreement”).</w:t>
      </w:r>
    </w:p>
    <w:p>
      <w:pPr>
        <w:pStyle w:val="TextBody"/>
        <w:bidi w:val="0"/>
        <w:spacing w:lineRule="auto" w:line="288" w:before="240" w:after="283"/>
        <w:jc w:val="left"/>
        <w:rPr/>
      </w:pPr>
      <w:r>
        <w:rPr>
          <w:rFonts w:ascii="Times New Roman;sans-serif" w:hAnsi="Times New Roman;sans-serif"/>
          <w:b/>
          <w:i/>
          <w:color w:val="000000"/>
          <w:sz w:val="20"/>
        </w:rPr>
        <w:t>Cash Provided by (Used in) Investing Activities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provided by (used in) investing activities primarily relate to purchases of investments and capital expenditures to support our growth, and proceeds from maturities of investments.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$290.0 million during the nine months ended September 30, 2024, compared to $1,599.1 million of net cash used in investing activities for the same period in the prior year. The change was primarily attributable to $1,211.0 million lower purchases of investments and $770.8 million higher proceeds from maturities of investments, partially offset by $143.4 million lower proceeds from sale of investments during the nine months ended September 30, 2024 compared to the same period in the prior year.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our operations primarily from the issuances of equity securities, including the At-the-Market Offering, the private placements to Ayar, convertible preferred stock, the proceeds of the Merger, and the 2026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by $1,324.2 million to $1,718.7 million during the nine months ended September 30, 2024, as compared to the same period in the prior year. We received gross proceeds of $1,000.0 million from the issuance of Series A Redeemable Convertible Preferred Stock and $750.0 million from the issuance of Series B Redeemable Convertible Preferred Stock during the nine months ended September 30, 2024, and net proceeds of $2,996.9 million from the issuance of common stock under the 2023 Subscription Agreement and the Underwriting Agreement during the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Critical Accounting Estimates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and the related notes thereto included elsewhere in this Quarterly Report are prepared in accordance with generally accepted accounting principles in the United States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following accounting policies involve a high degree of judgment and complexity. Accordingly, these are the policies we believe are the most critical to aid in fully understanding and evaluating our condensed consolidated financial condition and results of our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Sales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without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4 years. Shipping and handling provided by us is considered a fulfillment activity.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revenue recognition, we reduce the transaction price and record a sales return reserve against revenue for estimated variable consideration related to future product returns. Such return rate estimates are based on historical experience.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Vehicle Sales with Residual Value Guarantee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a residual value guarantee (“RVG”) to our commercial banking partner in connection with its vehicle leasing program. Under the vehicle leasing program, we generally receive payment for the vehicle sales price at the time of delivery or shortly after delivery, do not bear casualty and credit risks during the lease term, and are contractually obligated (or entitled) to share a portion of the shortfall (or excess) between the resale value realized by the commercial banking partner and a predetermined resale value. At the lease inception, we are required to deposit cash collateral equal to a contractual percentage of the residual value of the leased vehicles with the commercial banking partner. The cash collateral is held in a restricted bank account owned by the commercial banking partner until it is used, as applicable, in settlement of the RVG at the end of the lease term. Cash collateral is recorded in other noncurrent assets, subject to asset impairment review at each reporting period. </w:t>
      </w:r>
    </w:p>
    <w:p>
      <w:pPr>
        <w:pStyle w:val="TextBody"/>
        <w:bidi w:val="0"/>
        <w:spacing w:lineRule="auto" w:line="288" w:before="240" w:after="283"/>
        <w:jc w:val="left"/>
        <w:rPr/>
      </w:pPr>
      <w:r>
        <w:rPr>
          <w:rFonts w:ascii="Times New Roman;sans-serif" w:hAnsi="Times New Roman;sans-serif"/>
          <w:b w:val="false"/>
          <w:color w:val="000000"/>
          <w:sz w:val="20"/>
        </w:rPr>
        <w:t xml:space="preserve">We account for the vehicle leasing program in accordance with ASC 842, </w:t>
      </w:r>
      <w:r>
        <w:rPr>
          <w:rFonts w:ascii="Times New Roman;sans-serif" w:hAnsi="Times New Roman;sans-serif"/>
          <w:b w:val="false"/>
          <w:i/>
          <w:color w:val="000000"/>
          <w:sz w:val="20"/>
        </w:rPr>
        <w:t xml:space="preserve">Leases, </w:t>
      </w:r>
      <w:r>
        <w:rPr>
          <w:rFonts w:ascii="Times New Roman;sans-serif" w:hAnsi="Times New Roman;sans-serif"/>
          <w:b w:val="false"/>
          <w:color w:val="000000"/>
          <w:sz w:val="20"/>
        </w:rPr>
        <w:t xml:space="preserve">ASC 460, </w:t>
      </w:r>
      <w:r>
        <w:rPr>
          <w:rFonts w:ascii="Times New Roman;sans-serif" w:hAnsi="Times New Roman;sans-serif"/>
          <w:b w:val="false"/>
          <w:i/>
          <w:color w:val="000000"/>
          <w:sz w:val="20"/>
        </w:rPr>
        <w:t>Guarantees</w:t>
      </w:r>
      <w:r>
        <w:rPr>
          <w:color w:val="000000"/>
        </w:rPr>
        <w:t xml:space="preserve"> </w:t>
      </w:r>
      <w:r>
        <w:rPr>
          <w:rFonts w:ascii="Times New Roman;sans-serif" w:hAnsi="Times New Roman;sans-serif"/>
          <w:b w:val="false"/>
          <w:color w:val="000000"/>
          <w:sz w:val="20"/>
        </w:rPr>
        <w:t xml:space="preserve">and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We are the lessor at inception of a lease and immediately transfer the lease as well as the underlying vehicle to our commercial banking partner, with the transaction being accounted for as a sale under ASC 606. We recognize revenue when control transfers upon delivery when the consumer-lessee takes physical possession of the vehicle, and bifurcate the RVG at fair value and account for it as a guarantee liability. The remaining amount of the transaction price is allocated among the performance obligations, including the vehicle, the right to unspecified </w:t>
      </w:r>
      <w:r>
        <w:rPr>
          <w:rFonts w:ascii="Times New Roman;sans-serif" w:hAnsi="Times New Roman;sans-serif"/>
          <w:b w:val="false"/>
          <w:color w:val="333333"/>
          <w:sz w:val="20"/>
        </w:rPr>
        <w:t>OTA</w:t>
      </w:r>
      <w:r>
        <w:rPr>
          <w:color w:val="000000"/>
        </w:rPr>
        <w:t xml:space="preserve"> </w:t>
      </w:r>
      <w:r>
        <w:rPr>
          <w:rFonts w:ascii="Times New Roman;sans-serif" w:hAnsi="Times New Roman;sans-serif"/>
          <w:b w:val="false"/>
          <w:color w:val="000000"/>
          <w:sz w:val="20"/>
        </w:rPr>
        <w:t xml:space="preserve">software updates and remarketing activities, in proportion to the standalone selling price of our performance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Inventory Valuation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is also reviewed to determine whether its carrying value exceeds the net amount realizable upon the ultimate sale of the inventory. This requires us to determine the selling price of our vehicles less the estimated cost to convert the inventory on-hand into a finished product.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Once inventory is written-down, a new lower cost basis for that inventory is established and subsequent changes in facts and circumstances do not result in the restoration or increase in that newly established cost basis.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Redeemable 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We accrete the redeemable convertible preferred Stock to its redemption value at each reporting period end. In certain circumstances, the redemption price may vary based on changes in stock price, in which case we will recognize changes in the redemption value immediately as they occur and adjust the carrying value of the security to equal the then current maximum redemption value at each reporting period end.</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Derivative Liabilities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The proceeds from issuance are first allocated to the fair value of the bifurcated derivatives with the residual being allocated to the host contracts. The bifurcated derivatives are remeasured to fair value each reporting period with changes in fair value recorded in earnings. We estimated the fair value of the derivative liabilities using a binomial lattice model. Inherent in a binomial lattice model are unobservable inputs and assumptions. The inputs for the valuation of the derivative liabilities included the volatility, credit spread, and term. Assumptions used in the valuation also take into account the contractual terms as well as the quoted price of our common stock in an active market. Significant changes in any of those inputs in isolation would result in significant changes to the fair value measurement. We remeasure the derivative liabilities at each reporting period and recognize the changes in fair value in the condensed consolidated statement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color w:val="000000"/>
          <w:sz w:val="20"/>
        </w:rPr>
        <w:t>Item 3. Quantitative and Qualitative Disclosures about Market Risk.</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for changes in interest rates applicable to our cash and cash equivalents, restricted cash, and investments. We had cash, cash equivalents, restricted cash, and investments totaling approximately $4.0 billion as of September 30, 2024.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September 30, 2024, a hypothetical 100 basis point increase in interest rates would result in $13.6 million incremental decline in the fair market value of our portfolio.</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Equity Price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hold equity securities of Aston Martin Lagonda Global Holdings plc. The fair value of these equity securities was $45.7 million as of September 30, 2024. Changes in fair value of these equity securities are impacted by the volatility of the stock market and changes in general economic conditions, among other factors. A hypothetical 10% decrease in the stock price of these equity securities would decrease the fair value as of September 30, 2024 by $4.6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Inflationary Pressure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U.S. and Saudi Arabian economies have experienced increased inflation. Our vehicle manufacturing costs are heavily influenced by the cost of the key components and materials used in the vehicle, labor costs, as well as the cost of equipment used in our manufacturing facilities. As we continue the phased construction of our AMP-1 and AMP-2 facilities, any further increases in material and infrastructure equipment prices, as well as construction labor costs, could lead to higher capital expenditures.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Supply Risk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its products according to the schedule and at prices, quality levels and volumes acceptable to us, or its inability to efficiently manage these components, could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their evaluation, our principal executive officer and principal financial officer concluded that as of September 30, 2024,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that occurred during the fiscal quarter ended September 30, 2024, that has materially affected,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legal proceedings, please see the description set forth in the “Legal Matters” section in Note 12 “Commitments and Contingencies” to the condensed consolidated financial statements in Item 1 of Part I of this Quarterly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 description of the risks and uncertainties associated with our business is set forth below. Investors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our stockholders could lose all or part of their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000000"/>
          <w:sz w:val="20"/>
        </w:rPr>
        <w:t>Our limited operating history makes evaluating our business and future prospects difficult and may increase the risk of stockholders’ investment.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incurred net losses each year since our inception and expect to incur increasing expenses and substantial losses for the foreseeable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be unable to adequately control the substantial costs associated with our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global economic recession, government closures of banks and liquidity concerns at other financial institutions, or other downturn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currently depend primarily on revenue generated from a single model and in the foreseeable future will be significantly dependent on a limited number of models.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and prospects depend significantly on our brand.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do not have a third-party retail product distribution and full-service network.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face challenges providing charging solutions for our vehicles, both domestically and internationally.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fail to manage our future growth effectively, we may not be able to develop, manufacture, distribute, market and sell our vehicles successfully.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face risks associated with international operations, including unfavorable regulatory, political, tax and labor conditions, which could harm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automotive industry has significant barriers to entry that we must overcome in order to manufacture and sell EVs at scale.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automotive market is highly competitive, and we may not be successful in competing in this industry.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experienced and may in the future experience significant delays in the design, manufacture, launch and financing of our vehicles, including the Lucid Air, the Lucid Gravity SUV and our Midsize platform, which could harm our business and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costs, changes of supply or shortage of materials, in particular for lithium-ion battery cells or semiconductors, could harm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limited experience in high volume manufacture of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our vehicles fail to perform as expected, our ability to develop, market and sell or lease our products could be harmed.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loss of key employees or an inability to attract, retain and motivate qualified personnel may impair our ability to expand our business.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highly dependent on the services of Peter Rawlinson, our Chief Executive Officer and Chief Technology Officer.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face regulatory limitations on our ability to sell vehicles directly, which could materially and adversely affect its ability to sell our vehicles.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require additional capital to support business growth, and this capital might not be available on commercially reasonable terms,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We may not be able to </w:t>
      </w:r>
      <w:r>
        <w:rPr>
          <w:rFonts w:ascii="Times New Roman;sans-serif" w:hAnsi="Times New Roman;sans-serif"/>
          <w:b w:val="false"/>
          <w:color w:val="000000"/>
          <w:sz w:val="20"/>
          <w:shd w:fill="FFFFFF" w:val="clear"/>
        </w:rPr>
        <w:t>realize the anticipated benefits of our agreement with Aston Martin.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issuance of additional shares of our common stock or other equity or equity-linked securities, including our Redeemable Convertible Preferred Stock, or sales of a significant portion of our common stock, could depress the market price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PIF and Ayar beneficially own a significant equity interest in us and have significant influence over us, which could decrease the relative ownership interest and voting power other holders of our common stock have over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holders of our Redeemable Convertible Preferred Stock are entitled to vote their shares of the Redeemable Convertible Preferred Stock on an as-converted to common stock basis and have rights to approve certain actions, which reduces the relative voting power of the holders of our common stock. The settlement of our obligations upon conversion, redemption, or repurchase of our Redeemable Convertible Preferred Stock is expected to dilute the ownership of common stockholders and may adversely affect the market price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Business and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limited operating history makes evaluating our business and future prospects difficult and may increase the risk of stockholders’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an early-stage company with a limited operating history, operating in a rapidly evolving and highly regulated market. Furthermore, we have only released one commercially available vehicle, and we have limited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pStyle w:val="TextBody"/>
        <w:bidi w:val="0"/>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We have encountered and expect to continue to encounter risks and uncertainties frequently experienced by early-stage companies in rapidly changing markets, including risks relating to our ability to,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hire, integrate and retain professional and technical talent, including key members of management;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make significant investments in research, development, manufacturing, marketing and sales;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successfully design, build, manufacture and market new variants and models of electric vehicles, such as the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and our Midsize platform;</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a well-recognized and respected brand;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implement, refine and scale our commercial manufacturing capabilities and distribution infrastructure;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satisfactory arrangements with third-party suppliers;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expand a customer base;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anticipate and adapt to changing market conditions, including consumer demand for certain vehicle types, models or trim levels, technological developments and changes in competitive landscape; </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navigate an evolving and complex regulatory environment;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successfully obtain, maintain, protect, defend and enforce our intellectual property and defend against claims of intellectual property infringement, misappropriation or other violation.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incurred net losses each year since our inception and expect to incur increasing expenses and substantial losses for the foreseeable future.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each year since our inception, including net loss of $992.5 million and $2,316.7 million for the three and nine months ended September 30, 2024, respectively. As of September 30, 2024, our accumulated deficit was $12.5 billion. We expect to continue to incur substantial losses and increasing expenses in the foreseeable future as we: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to design, develop and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equip and expand our research, service, battery, powertrain, and manufacturing facilities to produce our vehicles in Arizona and in international locations such as Saudi Arabia;</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build up inventories of parts and components for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manufacture and store an available inventory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develop and deploy geographically dispersed vehicle charging partnerships;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design, research, development, maintenance and repair capabilities and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 our sales, service and marketing activities and develop our distribution infrastructure;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 our general and administrative functions to support our growing operations and status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unable to adequately control the substantial costs associated with our operations.</w:t>
      </w:r>
    </w:p>
    <w:p>
      <w:pPr>
        <w:pStyle w:val="TextBody"/>
        <w:bidi w:val="0"/>
        <w:spacing w:lineRule="auto" w:line="288" w:before="240" w:after="283"/>
        <w:jc w:val="left"/>
        <w:rPr/>
      </w:pPr>
      <w:r>
        <w:rPr>
          <w:rFonts w:ascii="Times New Roman;sans-serif" w:hAnsi="Times New Roman;sans-serif"/>
          <w:b w:val="false"/>
          <w:color w:val="231F20"/>
          <w:sz w:val="20"/>
        </w:rPr>
        <w:t>We will require significant capital to develop and grow our business. We have inc</w:t>
      </w:r>
      <w:r>
        <w:rPr>
          <w:rFonts w:ascii="Times New Roman;sans-serif" w:hAnsi="Times New Roman;sans-serif"/>
          <w:b w:val="false"/>
          <w:color w:val="000000"/>
          <w:sz w:val="20"/>
        </w:rPr>
        <w:t xml:space="preserve">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SUV, our Midsize platform and other future products); raw material procurement costs; and general and administrative expenses as we scale our operations and continue to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have in the past and may further result in an inability to fully utilize our purchase commitments with suppliers which could result in increased costs and excess inventory as well as potential inventory write-offs. </w:t>
      </w:r>
      <w:r>
        <w:rPr>
          <w:rFonts w:ascii="Times New Roman;sans-serif" w:hAnsi="Times New Roman;sans-serif"/>
          <w:b w:val="false"/>
          <w:color w:val="231F20"/>
          <w:sz w:val="20"/>
        </w:rPr>
        <w:t>In addition, we have incurred and expect to continue to incur significant costs servicing and maintaining customers’ vehicles, including establishing our service operations and facilities and undertaking product recalls. As a company,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Delays in customer deliveries, delays in the availability of options, potential changes in customer preferences, competitive developments, increased interest rates, negative publicity, decreased demand for electric vehicles, and other factors could result in failure to attract customers, failure to complete the purchase process with customers, and customer cancellation. Increases in interest rates could make financing unaffordable for segments of our customer base and any event or incident which generates negative media coverage about us or the safety or quality of our vehicles could result in failure to attract customers, failure to complete the purchase process, and customer cancellations. In addition, if we encounter delays in customer deliveries of the Lucid Air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 </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global economic recession, government closures of banks and liquidity concerns at other financial institutions, or other downturn may have a material adverse impact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 xml:space="preserve">A global economic recession or other downturn, whether due to inflation, global conflicts or other geopolitical events including the evolving conflicts in the Middle East, public health crises, interest rate increases or other policy actions by major central banks, government closures of banks and liquidity concerns at other financial institutions, or other factors, may have an adverse impact on our business, prospects, financial condition and results of operations. Adverse economic conditions as well as uncertainty about the current and future global economic conditions may cause our customers to defer purchases or cancel their orders in response to higher interest rates, availability of consumer credit, decreased cash availability, </w:t>
      </w:r>
      <w:r>
        <w:rPr>
          <w:rFonts w:ascii="Times New Roman;sans-serif" w:hAnsi="Times New Roman;sans-serif"/>
          <w:b w:val="false"/>
          <w:color w:val="231F20"/>
          <w:sz w:val="20"/>
        </w:rPr>
        <w:t xml:space="preserve">fluctuations in foreign currency exchange rates, </w:t>
      </w:r>
      <w:r>
        <w:rPr>
          <w:rFonts w:ascii="Times New Roman;sans-serif" w:hAnsi="Times New Roman;sans-serif"/>
          <w:b w:val="false"/>
          <w:color w:val="000000"/>
          <w:sz w:val="20"/>
        </w:rPr>
        <w:t xml:space="preserve">and weakened consumer confidence. Reduced demand for our products may result in significant decreases in our product sales, which in turn would have a material adverse impact on our business, prospects, financial condition and results of operations. </w:t>
      </w:r>
      <w:r>
        <w:rPr>
          <w:rFonts w:ascii="Times New Roman;sans-serif" w:hAnsi="Times New Roman;sans-serif"/>
          <w:b w:val="false"/>
          <w:color w:val="231F20"/>
          <w:sz w:val="20"/>
        </w:rPr>
        <w:t xml:space="preserve">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In addition, any economic recession or other downturn could also cause logistical challenges and other operational risks if any of our suppliers, sub-suppliers or partners become insolvent or are otherwise unable to continue their operations, fulfill their obligations to us, or meet our future demand.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currently depend primarily on revenue generated from a single model and in the foreseeable future will be significantly dependent on a limited number of models.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depend primarily on revenue generated from a single vehicle model, the Lucid Air, and in the foreseeable future will be significantly dependent on a single or limited number of models. Although we have other vehicle models on our product roadmap, we are not scheduled to introduce another vehicle model for sale, the Lucid Gravity SUV, until late 2024. We expect to rely on sales from the Lucid Air, among other sources of financing, for the capital that will be required to develop and commercialize those subsequent models. To the extent that production of the Lucid Air or future models is delayed or reduced, or if the Lucid Air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entered into an EV purchase agreement with the Government of Saudi Arabia as represented by the Ministry of Finance (the “EV Purchase Agreement”), which supersedes the letter of undertaking that we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absolute discretion to decide whether to exercise the option to purchase the additional 50,000 vehicles. See Item 2. Management’s Discussion and Analysis of Financial Condition and Results of Operations for more information.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and prospects depend significantly on our brand.</w:t>
      </w:r>
    </w:p>
    <w:p>
      <w:pPr>
        <w:pStyle w:val="TextBody"/>
        <w:bidi w:val="0"/>
        <w:spacing w:lineRule="auto" w:line="288" w:before="240" w:after="283"/>
        <w:jc w:val="left"/>
        <w:rPr/>
      </w:pPr>
      <w:r>
        <w:rPr>
          <w:rFonts w:ascii="Times New Roman;sans-serif" w:hAnsi="Times New Roman;sans-serif"/>
          <w:b w:val="false"/>
          <w:color w:val="000000"/>
          <w:sz w:val="20"/>
        </w:rPr>
        <w:t>Our business and prospects will heavily depend on our ab</w:t>
      </w:r>
      <w:r>
        <w:rPr>
          <w:rFonts w:ascii="Times New Roman;sans-serif" w:hAnsi="Times New Roman;sans-serif"/>
          <w:b w:val="false"/>
          <w:color w:val="242424"/>
          <w:sz w:val="20"/>
        </w:rPr>
        <w:t>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change our customer development and branding practices, which could result in substantially increased expenses, including the need to use public relations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time-to-time,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sales will depend in part on our ability to establish and maintain confidence in our long-term business prospects among consumers, the investment community and others within our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Maintaining such confidence may be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Certain of these new entrants or other traditional automotive manufacturers now producing electric vehicles have become insolvent, and if additional manufacturers producing electric vehicles become insolvent or are perceived to likely become insolvent, discontinue production of electric vehicles,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do not have a third-party retail product distribution and full-service network.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 xml:space="preserve">Third-party dealer networks are the traditional method of vehicle sales distribution and service. Because we sell directly to consumers,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 </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Our ability to generate meaningful product revenue will depend on consumer adoption of electric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are developing and producing only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pStyle w:val="TextBody"/>
        <w:bidi w:val="0"/>
        <w:spacing w:lineRule="auto" w:line="288" w:before="240" w:after="283"/>
        <w:jc w:val="left"/>
        <w:rPr/>
      </w:pPr>
      <w:r>
        <w:rPr>
          <w:rFonts w:ascii="Times New Roman;sans-serif" w:hAnsi="Times New Roman;sans-serif"/>
          <w:b w:val="false"/>
          <w:color w:val="242424"/>
          <w:sz w:val="20"/>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interest rates,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w:t>
      </w:r>
      <w:r>
        <w:rPr>
          <w:rFonts w:ascii="Times New Roman;sans-serif" w:hAnsi="Times New Roman;sans-serif"/>
          <w:b w:val="false"/>
          <w:color w:val="231F20"/>
          <w:sz w:val="20"/>
        </w:rPr>
        <w:t>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factors that may influence the adoption of electric vehicles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electric vehicle quality, safety, design, performance and cost;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limited range over which electric vehicles may be driven on a single battery charge;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concerns about electric grid capacity and reliability;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perceptions about the sustainability and environmental impact of electric vehicles, including with respect to both the sourcing and disposal of materials for electric vehicle batteries and the generation of electricity provided in the electric grid;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other alternative fuel vehicles, including plug-in hybrid electric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improvements in the fuel economy of the internal combustion engine;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quality and availability of service for electric vehicles, especially in international markets;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volatility in the cost of oil and gasoline;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government regulations and economic incentives promoting fuel efficiency and alternate forms of energy;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access to charging stations compatible with our vehicles and cost to charge an electric vehicle, especially in international markets, and related infrastructure costs and standardization;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availability of tax and other governmental incentives to purchase and operate electric vehicles or future regulation requiring increased use of nonpolluting vehicles;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macroeconomic factors.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challenges providing charging solutions for our vehicles, both domestically and internationally.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for our vehicles will depend in part on the availability of charging infrastructure both domestically and internationally. While the prevalence of charging stations has been increasing, charging station locations are significantly less widespread than gas stations. Furthermore, charging stations often experience downtime, leading to customer dissatisfaction. Although we have partnered with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and reliable charging infrastructure. In addition, although we have agreed to join Tesla’s Supercharger network, there may be delays in making changes to our vehicles or the network necessary for Lucid vehicles to charge at Tesla Superchargers, and there is no guarantee that our customers will not experience performance, access or other issues with this or other charging networks. In addition, although the current U.S. presidential administration has proposed a plan to deploy 500,000 additional public charging stations across the United States by 2030, the deployment may not occur at planned levels, which could serve to limit the development of public charging infrastructure and increase the relative attractiveness to potential customers of a proprietary charging solution.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manage our future growth effectively, we may not be able to develop, manufacture, distribute, market and sell our vehicles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failure to manage our growth effectively could materially and adversely affect our business, prospects, results of operations and financial condition. We are expanding our operations significantly and our current and future expansion plans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our management team;</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hiring and training new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or expanding design, manufacturing, distribution, sales and service facilities;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implementing and enhancing administrative and business infrastructure, governance, systems and processes, including in connection with our maturation as a public company;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expanding into new markets and establishing sales, service, administrative, distribution, and/or manufacturing operations in many of those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We require qualified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electric vehicles is intense, and we may not be able to identify, attract, integrate, train, motivate or retain sufficient highly qualified personnel in the future. Furthermore, we recently announced a restructuring plan, which involves the reduction of our employee workforce and may adversely affect our internal programs and initiatives as well as our ability to recruit and retain skilled and motivated personnel.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integrate, train, motivate and retain these employees could seriously harm our business and pros</w:t>
      </w:r>
      <w:r>
        <w:rPr>
          <w:rFonts w:ascii="Times New Roman;sans-serif" w:hAnsi="Times New Roman;sans-serif"/>
          <w:b w:val="false"/>
          <w:color w:val="000000"/>
          <w:sz w:val="20"/>
        </w:rPr>
        <w:t xml:space="preserve">pects. In addition, our employee equity program is a key factor in our ability to attract and retain talent and continue to support the growth of the company. If </w:t>
      </w:r>
      <w:r>
        <w:rPr>
          <w:rFonts w:ascii="Times New Roman;sans-serif" w:hAnsi="Times New Roman;sans-serif"/>
          <w:b w:val="false"/>
          <w:color w:val="231F20"/>
          <w:sz w:val="20"/>
        </w:rPr>
        <w:t>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Any failure to develop and implement such manufacturing processes and capabilities within our projected costs and timelines could stunt our future growth and impair our ability to produce, market, service and sell or lease our vehicles successfully. In addition, our rapid growth, competitive real estate markets, and increasing rental rates, may impact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face risks associated with international operations, including unfavorable regulatory, political, tax and labor conditions, which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conforming our vehicles to various international regulatory and homologation requirements where our vehicles are sold;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localized supply chains and managing international supply chain and logistics costs, including the shipping and delivery of kits for the SKD facility;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establishing sufficient charging points for our customers in those jurisdictions, via partnerships or, if necessary, via development of our own charging networks or accessing those of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staffing and managing foreign operations, especially in jurisdictions where no EV ecosystem exists and qualified personnel must be hired and relocated;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difficulties attracting customers in new jurisdictions;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difficulties controlling costs and potential loss of funding, including as a result of delays in the construction or ramp-up of operations at AMP-2;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difficulties or delays caused by local jurisdictions in implementing infrastructure improvements for manufacturing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inflation as well as fluctuations in foreign currency exchange rates and interest rates, including risks related to any forward currency contracts, interest rate swaps or other hedging activities we may undertake;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currency fluctuations or localized inflationary pressure;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United States and foreign government trade restrictions, tariffs and price or exchange controls;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foreign laws, regulations and restrictions, including in the areas of supply chain, labor, sales, service, environment and health and safety, and related compliance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increasingly restrictive and complex foreign data privacy and cybersecurity laws, regulations and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diplomatic and trade relationships, including political risk and customer perceptions based on such changes and risks;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political instability, natural disasters, pandemics, wars, global conflicts or other geopolitical events (including the conflict in the Middle East, which is affecting shipping routes in that region directly and consequently globally), or events of terrorism;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strength of international economies.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fail to successfully address these risks, our business, prospects, results of operations and financial condition could be materially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industry has significant barriers to entry that we must overcome in order to manufacture and sell electric vehicles at scale.</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AMP-1, we have not finished tooling all production lines at AMP-1. If we are not able to overcome these barriers, our business, prospects, results of operations and financial condition will be negatively impacted, and our ability to grow our business will be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automotive market is highly competitive, and we may not be successful in competing in this industry.</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The global automotive market, particularly for electric and alternative fuel vehicles, is highly competitive, and we expect it will become even more so in the future. In recent years, the electric vehicle industry has grown, with the emergence of several companies that focus completely or partially on the electric vehicle market. In addition, traditional automotive manufacturers are also producing and selling electric and alternative fuel vehicles. We expect additional companies to enter this market within the next several years. Electric vehicle manufacturers with which we compete include Tesla, an increasing number of U.S.-based and international entrants and traditional automotive manufacturers, many of which have begun, or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recently announced vehicle price reductions, which may result in downward price pressure and reduced demand for our vehicles. However,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increased demand for alternative fuel vehicles, continuing globalization, favorable governmental policies,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Developments in electric vehicle or alternative fuel technology or improvements in the internal combustion engine may adversely affect the demand for our vehicles.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The unavailability, reduction or elimination of certain government and economic programs could have a material adverse effect on our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42424"/>
          <w:sz w:val="20"/>
        </w:rPr>
        <w:t xml:space="preserve">We expect to benefit from government and economic programs that encourage the development, manufacture or purchase of electric vehicles, such as zero emission vehicle credits, production tax credits, greenhouse gas credits and similar regulatory credits, the loss of which could harm our ability to generate revenue from the sale of such credits to other manufacturers;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guarantee that the current governmental incentives and subsidies available for purchasers of electric vehicles will remain available. For example, beginning in 2023, the Inflation Reduction Act of 2022 eliminated the $7,500 federal sales tax credit for sedans that have a manufacturer’s suggested retail price over $55,000, although a tax credit remains available for vehicles that are leased rather than purchased. See “— </w:t>
      </w:r>
      <w:r>
        <w:rPr>
          <w:rFonts w:ascii="Times New Roman;sans-serif" w:hAnsi="Times New Roman;sans-serif"/>
          <w:b w:val="false"/>
          <w:i/>
          <w:color w:val="242424"/>
          <w:sz w:val="20"/>
        </w:rPr>
        <w:t>Failure to attract customers and complete the purchase process, and cancellation of orders.”</w:t>
      </w:r>
      <w:r>
        <w:rPr>
          <w:color w:val="242424"/>
        </w:rPr>
        <w:t xml:space="preserve"> </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and residual value risk.</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guarantee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bidi w:val="0"/>
        <w:spacing w:lineRule="auto" w:line="288" w:before="240" w:after="283"/>
        <w:jc w:val="left"/>
        <w:rPr/>
      </w:pPr>
      <w:r>
        <w:rPr>
          <w:rFonts w:ascii="Times New Roman;sans-serif" w:hAnsi="Times New Roman;sans-serif"/>
          <w:b w:val="false"/>
          <w:color w:val="242424"/>
          <w:sz w:val="20"/>
        </w:rPr>
        <w:t xml:space="preserve">Our vehicles are designed with advanced driver assistance system (“ADAS”) hardware and software. The Lucid Air is equipped with Level 2 (partial automation) ADAS functionality, and we expect to launch the </w:t>
      </w:r>
      <w:r>
        <w:rPr>
          <w:rFonts w:ascii="Times New Roman;sans-serif" w:hAnsi="Times New Roman;sans-serif"/>
          <w:b w:val="false"/>
          <w:color w:val="000000"/>
          <w:sz w:val="20"/>
        </w:rPr>
        <w:t xml:space="preserve">Lucid </w:t>
      </w:r>
      <w:r>
        <w:rPr>
          <w:rFonts w:ascii="Times New Roman;sans-serif" w:hAnsi="Times New Roman;sans-serif"/>
          <w:b w:val="false"/>
          <w:color w:val="242424"/>
          <w:sz w:val="20"/>
        </w:rPr>
        <w:t>Gravity SUV with Level 2 functionality as well. We plan to upgrade our vehicles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the National Highway Traffic Safety Administration (“NHTSA”) that requires us to report any crashes in which certain ADAS features were active, and these crash reports will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and could have a material adverse effect on our business, results of operations, prospects and financial condition.</w:t>
      </w:r>
    </w:p>
    <w:p>
      <w:pPr>
        <w:pStyle w:val="TextBody"/>
        <w:bidi w:val="0"/>
        <w:spacing w:lineRule="auto" w:line="288" w:before="240" w:after="283"/>
        <w:jc w:val="left"/>
        <w:rPr/>
      </w:pPr>
      <w:r>
        <w:rPr>
          <w:rFonts w:ascii="Times New Roman;sans-serif" w:hAnsi="Times New Roman;sans-serif"/>
          <w:b w:val="false"/>
          <w:color w:val="242424"/>
          <w:sz w:val="20"/>
        </w:rPr>
        <w:t xml:space="preserve">ADAS technology is also subject to regulatory uncertainty, which exposes us to additional risks. See “— Risks Related to Litigation and Regulation </w:t>
      </w:r>
      <w:r>
        <w:rPr>
          <w:color w:val="242424"/>
        </w:rPr>
        <w:t xml:space="preserve">— </w:t>
      </w:r>
      <w:r>
        <w:rPr>
          <w:rFonts w:ascii="Times New Roman;sans-serif" w:hAnsi="Times New Roman;sans-serif"/>
          <w:b w:val="false"/>
          <w:i/>
          <w:color w:val="242424"/>
          <w:sz w:val="20"/>
        </w:rPr>
        <w:t>ADAS technology is subject to uncertain and evolving regulations.</w:t>
      </w:r>
      <w:r>
        <w:rPr>
          <w:color w:val="242424"/>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Uninsured or underinsured losses could result in payment of substantial damages, which would decrease our cash reserves and could harm our cash flow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customary for a company of our size and operations, we may not maintain as much insurance coverage as other original equipment manufacturers, and in some cases, we may not maintain any at all. Additionally, the policies that we have in place may include significant deductibles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or changes in our risk profile. This may require a change in our insurance purchasing philosophy and strategy which can result in the assumption of greater risks to offset insurance market fluctuations.</w:t>
      </w:r>
    </w:p>
    <w:p>
      <w:pPr>
        <w:pStyle w:val="TextBody"/>
        <w:bidi w:val="0"/>
        <w:spacing w:lineRule="auto" w:line="288" w:before="240" w:after="283"/>
        <w:jc w:val="left"/>
        <w:rPr>
          <w:rFonts w:ascii="Times New Roman;sans-serif" w:hAnsi="Times New Roman;sans-serif"/>
          <w:b/>
          <w:i/>
          <w:color w:val="242424"/>
          <w:sz w:val="20"/>
        </w:rPr>
      </w:pPr>
      <w:r>
        <w:rPr>
          <w:rFonts w:ascii="Times New Roman;sans-serif" w:hAnsi="Times New Roman;sans-serif"/>
          <w:b/>
          <w:i/>
          <w:color w:val="242424"/>
          <w:sz w:val="20"/>
        </w:rPr>
        <w:t>Extended periods of low gasoline or other petroleum-based fuel prices could adversely affect demand for our vehicles, which would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pStyle w:val="TextBody"/>
        <w:bidi w:val="0"/>
        <w:spacing w:lineRule="auto" w:line="288" w:before="240" w:after="283"/>
        <w:jc w:val="left"/>
        <w:rPr>
          <w:rFonts w:ascii="Times New Roman;sans-serif" w:hAnsi="Times New Roman;sans-serif"/>
          <w:b w:val="false"/>
          <w:color w:val="242424"/>
          <w:sz w:val="20"/>
        </w:rPr>
      </w:pPr>
      <w:r>
        <w:rPr>
          <w:rFonts w:ascii="Times New Roman;sans-serif" w:hAnsi="Times New Roman;sans-serif"/>
          <w:b w:val="false"/>
          <w:color w:val="242424"/>
          <w:sz w:val="20"/>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Increasing scrutiny and changing expectations from global regulations, our investors, customers and employees with respect to our ESG practices may impose additional costs on us or expose us to new or additional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increased focus, including from governmental organizations and our investors, customers and employees, on ESG issues such as environmental stewardship, climate change, diversity and inclusion, racial justice, workplace conduct, recyclability, sourcing and ESG disclosure.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our stakeholders may not be satisfied with our ESG disclosures, practices, or the speed of their adoption, and our systems may not be adequate to comply with increasing global regulations on ESG topics, such as human rights and sustainability reporting. Actual or perceived shortcomings with respect to our ESG initiatives and reporting may subject us to litigation and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or downgraded ratings of our company or our industries, as well as non-inclusion or removal of our stock on ESG-oriented investment funds or indexes, may lead to negative investor sentiment and the diversion of investment to other companies or industries, which could have a negative impact on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Manufacturing and Supply Chain</w:t>
      </w:r>
    </w:p>
    <w:p>
      <w:pPr>
        <w:pStyle w:val="TextBody"/>
        <w:bidi w:val="0"/>
        <w:spacing w:lineRule="auto" w:line="288" w:before="240" w:after="283"/>
        <w:jc w:val="left"/>
        <w:rPr/>
      </w:pPr>
      <w:r>
        <w:rPr>
          <w:rFonts w:ascii="Times New Roman;sans-serif" w:hAnsi="Times New Roman;sans-serif"/>
          <w:b/>
          <w:i/>
          <w:color w:val="231F20"/>
          <w:sz w:val="20"/>
        </w:rPr>
        <w:t xml:space="preserve">We have experienced and may in the future experience significant delays in the design, manufacture, launch and financing of our vehicles, including the Lucid Air, the </w:t>
      </w:r>
      <w:r>
        <w:rPr>
          <w:rFonts w:ascii="Times New Roman;sans-serif" w:hAnsi="Times New Roman;sans-serif"/>
          <w:b/>
          <w:i/>
          <w:color w:val="000000"/>
          <w:sz w:val="20"/>
        </w:rPr>
        <w:t>Lucid</w:t>
      </w:r>
      <w:r>
        <w:rPr>
          <w:color w:val="000000"/>
        </w:rPr>
        <w:t xml:space="preserve"> </w:t>
      </w:r>
      <w:r>
        <w:rPr>
          <w:rFonts w:ascii="Times New Roman;sans-serif" w:hAnsi="Times New Roman;sans-serif"/>
          <w:b/>
          <w:i/>
          <w:color w:val="231F20"/>
          <w:sz w:val="20"/>
        </w:rPr>
        <w:t>Gravity SUV and our Midsize platform, which could harm our business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plan to scale our manufacturing capacity and increase sales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including as a result of design changes to components. Any future delays in the financing, design, manufacture and launch of the Lucid Air, including planned future variants, and any future electric vehicles could materially damage our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31F20"/>
          <w:sz w:val="20"/>
        </w:rPr>
        <w:t>Many of our v</w:t>
      </w:r>
      <w:r>
        <w:rPr>
          <w:rFonts w:ascii="Times New Roman;sans-serif" w:hAnsi="Times New Roman;sans-serif"/>
          <w:b w:val="false"/>
          <w:color w:val="000000"/>
          <w:sz w:val="20"/>
        </w:rPr>
        <w:t>ehicles, including the Lucid Gravity SUV and our Midsize platform, are still in the development and/or testing phase, and ma</w:t>
      </w:r>
      <w:r>
        <w:rPr>
          <w:rFonts w:ascii="Times New Roman;sans-serif" w:hAnsi="Times New Roman;sans-serif"/>
          <w:b w:val="false"/>
          <w:color w:val="231F20"/>
          <w:sz w:val="20"/>
        </w:rPr>
        <w:t>y occur later than expected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our Arizona and Saudi Arabia manufacturing facilities, or other future manufacturing facilities.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supplier lead times. These challenges have affected our ability, and the ability of our suppliers, to obtain parts, components and manufacturing equipment on a timely basis, and in some instances have resulted in increased costs and delays to the construction and expansion of our facilities. We expect that the risk of unexpected disruptions will continue for the foreseeable future. To the extent our suppliers experience any delays in providing us with or developing necessary components, we could experience delays in delivering on our timelines.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delay or other complication in the production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pStyle w:val="TextBody"/>
        <w:bidi w:val="0"/>
        <w:spacing w:lineRule="auto" w:line="288" w:before="240" w:after="283"/>
        <w:jc w:val="left"/>
        <w:rPr/>
      </w:pPr>
      <w:r>
        <w:rPr>
          <w:rFonts w:ascii="Times New Roman;sans-serif" w:hAnsi="Times New Roman;sans-serif"/>
          <w:b w:val="false"/>
          <w:color w:val="231F20"/>
          <w:sz w:val="20"/>
        </w:rPr>
        <w:t xml:space="preserve">The continued development of and the ability to manufacture our vehicles, including the Lucid Air, the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and our Midsize platform, are and will be subject to risks, including with respect to: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ongoing readiness of firmware features and functions to be integrated into the Lucid Air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our ability to finalize release candidate specifications for the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and our Midsize platform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delays by us in delivering final component designs to our suppliers or any changes to such component designs;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or our suppliers’ ability to successfully tool manufacturing facilities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ensure a working supply chain and desired supplier part quality and quantity as planned and on the desired timeline;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accurately manufacture vehicles within specified design tolerances;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establish, implement,</w:t>
      </w:r>
      <w:r>
        <w:rPr>
          <w:color w:val="000000"/>
        </w:rPr>
        <w:t xml:space="preserve"> </w:t>
      </w:r>
      <w:r>
        <w:rPr>
          <w:rFonts w:ascii="Times New Roman;sans-serif" w:hAnsi="Times New Roman;sans-serif"/>
          <w:b w:val="false"/>
          <w:color w:val="000000"/>
          <w:sz w:val="20"/>
        </w:rPr>
        <w:t>refine and scale, as well as make significant investments in manufacturing, supply chain management and logistics functions, including the related information technology systems and software applications;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adequately reduce and control the costs of key parts and materials;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our ability to significantly reduce freight costs, including in-bound freight costs;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manage any transitions or changes in our production process, planned or unplanned;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occurrence of product defects that cannot be remedied without adversely affecting the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secure neces</w:t>
      </w:r>
      <w:r>
        <w:rPr>
          <w:rFonts w:ascii="Times New Roman;sans-serif" w:hAnsi="Times New Roman;sans-serif"/>
          <w:b w:val="false"/>
          <w:color w:val="231F20"/>
          <w:sz w:val="20"/>
        </w:rPr>
        <w:t>sary funding;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negotiate and execute definitive agreements with various suppliers for hardware, software, or services necessary to engineer or manufacture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obtain required regulatory approvals and certifications;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comply with environmental, safety, and similar regulations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secure necessary components, services, or licenses on acceptable terms and in a timely manner;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attract, recruit, hire, retain and train skilled employees including supply chain management, supplier quality, manufacturing and logistics personnel;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design and implement effective and efficient quality control and inventory management processes;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delays or disruptions in our supply chain including raw material supplies and international shipping;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other delays, backlog in manufacturing and research and development of new mo</w:t>
      </w:r>
      <w:r>
        <w:rPr>
          <w:rFonts w:ascii="Times New Roman;sans-serif" w:hAnsi="Times New Roman;sans-serif"/>
          <w:b w:val="false"/>
          <w:color w:val="000000"/>
          <w:sz w:val="20"/>
        </w:rPr>
        <w:t>dels, and cost overruns;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any other risks identified herein.</w:t>
      </w:r>
    </w:p>
    <w:p>
      <w:pPr>
        <w:pStyle w:val="TextBody"/>
        <w:bidi w:val="0"/>
        <w:spacing w:lineRule="auto" w:line="288" w:before="240" w:after="283"/>
        <w:jc w:val="left"/>
        <w:rPr/>
      </w:pPr>
      <w:r>
        <w:rPr>
          <w:rFonts w:ascii="Times New Roman;sans-serif" w:hAnsi="Times New Roman;sans-serif"/>
          <w:b w:val="false"/>
          <w:color w:val="000000"/>
          <w:sz w:val="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w:t>
      </w:r>
      <w:r>
        <w:rPr>
          <w:color w:val="000000"/>
        </w:rPr>
        <w:t>—</w:t>
      </w:r>
      <w:r>
        <w:rPr>
          <w:rFonts w:ascii="Times New Roman;sans-serif" w:hAnsi="Times New Roman;sans-serif"/>
          <w:b w:val="false"/>
          <w:color w:val="000000"/>
          <w:sz w:val="20"/>
        </w:rPr>
        <w:t xml:space="preserve">Risks Related to Financing and Strategic Transactions </w:t>
      </w:r>
      <w:r>
        <w:rPr>
          <w:color w:val="000000"/>
        </w:rPr>
        <w:t xml:space="preserve">— </w:t>
      </w:r>
      <w:r>
        <w:rPr>
          <w:rFonts w:ascii="Times New Roman;sans-serif" w:hAnsi="Times New Roman;sans-serif"/>
          <w:b w:val="false"/>
          <w:i/>
          <w:color w:val="00000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ans-serif" w:hAnsi="Times New Roman;sans-serif"/>
          <w:b/>
          <w:i/>
          <w:color w:val="000000"/>
          <w:sz w:val="20"/>
        </w:rPr>
        <w:t xml:space="preserve">Our ability to continue production and our future growth depends upon our ability to </w:t>
      </w:r>
      <w:r>
        <w:rPr>
          <w:rFonts w:ascii="Times New Roman;sans-serif" w:hAnsi="Times New Roman;sans-serif"/>
          <w:b/>
          <w:i/>
          <w:color w:val="231F20"/>
          <w:sz w:val="20"/>
        </w:rPr>
        <w:t>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our supply agreements do not guarantee sufficient quantities of components for our vehicle production ramp curve. We plan to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prices for such components, materials and equipment, whether due to supply chain or logistics issues or due to inflation, or increased energy or natural gas costs,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rely on hundreds of third-party suppliers for the provision and development of many of the key components and materials used in our vehicles. While we plan to obtain components from multiple sources whenever possible, many of the components used in our vehicles will be custom and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have been affected by ongoing, industry-wide challenges in logistics and supply chains, such as increased supplier lead times. We expect that these industry-wide trends may continue to affect the ability of us and our suppliers to obtain parts, components and manufacturing equipment, including electrical and mechanical equipment for AMP-2 and the phase 2 expansion of AMP-1, on a timely basis for the foreseeable future, and may result in increased costs. Changes in our supply chain or production needs in order to meet our quality targets and development timelines as well as due to design changes have resulted in cost increases from our suppliers. </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significant increases in our production may in the future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pStyle w:val="TextBody"/>
        <w:bidi w:val="0"/>
        <w:spacing w:lineRule="auto" w:line="26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have experienced, and in the future could continue to experience, delays if our suppliers do not meet agreed-upon timelines, experience capacity constraints, or deliver components that do not meet our quality standards or other requirements. Any disruption in the supply of components, including battery cells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as the scale of our vehicle production increases,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In addition, we have not yet begun servicing vehicles at significant volumes.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unexpected changes in business conditions, materials pricing, labor issues, wars, global conflicts or other geopolitical events, governmental changes, tariffs, natural disasters, health epidemics, and other factors beyond our and our suppliers’ control could also affect these suppliers’ ability to deliver components to us on a timely basis. For example, some of the shipping routes in the Red Sea have been affected by the ongoing conflict in the Middle East resulting in delays in delivery of components and an increase in shipping costs globally. Such disruptions or increase in costs could have a material adverse impact on our business, including our ability to timely manufacture and distribute our products in a cost-effective manner and adversely affect our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have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costs, changes of supply or shortage of materials, in particular for lithium-ion battery cells or semiconductors,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material and infrastructure equipment prices and cost of construction labor. In addition, we use various materials in our business, including aluminum, steel, lithium, nickel, copper, cobalt, neodymium, terbium, praseodymium and manganese, as well as lithium-ion battery cells and semiconductors from suppliers. The prices for these materials fluctuate, and their available supply may be unstable, depending on market conditions, inflationary pressure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battery cells. These risks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 change in the cost, or changes in the available supply, of materials, such as cobalt, used in lithium-ion battery cells;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disruption in the supply of lithium-ion battery cells due to quality issues or recalls by manufacturers;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ability to manage our supply and inventory of lithium-ion battery cells;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fluctuations in the value of any foreign currencies, in which lithium-ion battery cells and related raw material purchases are or may be denominated against the U.S. dollar.</w:t>
      </w:r>
    </w:p>
    <w:p>
      <w:pPr>
        <w:pStyle w:val="TextBody"/>
        <w:bidi w:val="0"/>
        <w:spacing w:lineRule="auto" w:line="288" w:before="240" w:after="283"/>
        <w:jc w:val="left"/>
        <w:rPr/>
      </w:pPr>
      <w:r>
        <w:rPr>
          <w:rFonts w:ascii="Times New Roman;sans-serif" w:hAnsi="Times New Roman;sans-serif"/>
          <w:b w:val="false"/>
          <w:color w:val="231F20"/>
          <w:sz w:val="20"/>
        </w:rPr>
        <w:t xml:space="preserve">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In addition, </w:t>
      </w:r>
      <w:r>
        <w:rPr>
          <w:rFonts w:ascii="Times New Roman;sans-serif" w:hAnsi="Times New Roman;sans-serif"/>
          <w:b w:val="false"/>
          <w:color w:val="000000"/>
          <w:sz w:val="20"/>
        </w:rPr>
        <w:t xml:space="preserve">we have entered into amended agreements with Panasonic Energy Co., Ltd. and certain of its affiliates for the supply of lithium-ion battery cells, pursuant to which we have made certain </w:t>
      </w:r>
      <w:r>
        <w:rPr>
          <w:rFonts w:ascii="Times New Roman;sans-serif" w:hAnsi="Times New Roman;sans-serif"/>
          <w:b w:val="false"/>
          <w:color w:val="231F20"/>
          <w:sz w:val="20"/>
        </w:rPr>
        <w:t>non-can</w:t>
      </w:r>
      <w:r>
        <w:rPr>
          <w:rFonts w:ascii="Times New Roman;sans-serif" w:hAnsi="Times New Roman;sans-serif"/>
          <w:b w:val="false"/>
          <w:color w:val="000000"/>
          <w:sz w:val="2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sans-serif" w:hAnsi="Times New Roman;sans-serif"/>
          <w:b w:val="false"/>
          <w:color w:val="231F20"/>
          <w:sz w:val="20"/>
        </w:rPr>
        <w:t>material adverse effect on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our ability to manufacture our vehicles depends on continuing access to semiconductors and components that incorporate semiconductors. We have experienced in the past and may experience an impact on our operations as a result of another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any of which could have a material adverse effect on our business, prospects and results of operations. In addition, prices and transportation expenses for these materials fluctuate depending on many factors beyond our control, including fluctuations in supply and demand, foreign currency fluctuations, tariffs and taxes, fluctuations in energy prices and shortages in petroleum or natural gas supply, freight charges and other economic and political factors. These risks could be further magnified by geographical developments, global conflicts or other geopolitical events, including the conflict in the Middle East, which is affecting shipping routes in that region directly and consequently globally.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lower demand for our vehicles and materially and adversely affect our brand, image, business, results of operations, prospects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foreign currency fluctuations, tariffs or shortages in petroleum or natural gas and other economic or political conditions have contributed to and may continue to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must develop complex software and technology systems, including in coordination with vendors and suppliers, in order to produce our electric vehicles, and there can be no assurance such systems will be successfully developed.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production and delivery of our vehicles, including the Lucid Air;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delayed market acceptance of our vehicles;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loss of customers or inability to attract new customers;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diversion of engineering or other resources for remedying the defect or error;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damage to our brand or reputation;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increased service and warranty costs;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legal action by customers or third parties, including product liability claims;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penalties imposed by regulatory authorities.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240" w:after="283"/>
        <w:jc w:val="left"/>
        <w:rPr/>
      </w:pPr>
      <w:r>
        <w:rPr>
          <w:rFonts w:ascii="Times New Roman;sans-serif" w:hAnsi="Times New Roman;sans-serif"/>
          <w:b w:val="false"/>
          <w:color w:val="231F20"/>
          <w:sz w:val="20"/>
        </w:rPr>
        <w:t>While we have completed the initial phase and portions of the second phase of construction at AMP-1, and the SKD portion of AMP-2, tooling our facilities for production of our vehicles and our future expansion plans are complicated and present significant challe</w:t>
      </w:r>
      <w:r>
        <w:rPr>
          <w:rFonts w:ascii="Times New Roman;sans-serif" w:hAnsi="Times New Roman;sans-serif"/>
          <w:b w:val="false"/>
          <w:color w:val="000000"/>
          <w:sz w:val="20"/>
        </w:rPr>
        <w:t>nges and may require us to take vehicle production offline. In addition, certain o</w:t>
      </w:r>
      <w:r>
        <w:rPr>
          <w:rFonts w:ascii="Times New Roman;sans-serif" w:hAnsi="Times New Roman;sans-serif"/>
          <w:b w:val="false"/>
          <w:color w:val="231F20"/>
          <w:sz w:val="20"/>
        </w:rPr>
        <w:t>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for the Lucid Air and open the door to increased competition. All of the foregoing could hinder our ability to successfully launch and grow our business and achieve a competitive position in the market.</w:t>
      </w:r>
    </w:p>
    <w:p>
      <w:pPr>
        <w:pStyle w:val="TextBody"/>
        <w:bidi w:val="0"/>
        <w:spacing w:lineRule="auto" w:line="288" w:before="240" w:after="283"/>
        <w:jc w:val="left"/>
        <w:rPr/>
      </w:pPr>
      <w:r>
        <w:rPr>
          <w:rFonts w:ascii="Times New Roman;sans-serif" w:hAnsi="Times New Roman;sans-serif"/>
          <w:b w:val="false"/>
          <w:color w:val="231F20"/>
          <w:sz w:val="20"/>
        </w:rPr>
        <w:t xml:space="preserve">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Although we do not currently expect that we will be required to take vehicle production offline or reduce our planned manufacturing volumes, any such repairs or remediation could entail significant costs, and we may be unable to recover some or all of such costs from the applicable contractor(s).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construction of our facilities and our operations are also subject to review and inspection by officials in the jurisdictions where our facilities are located, including without limitation, fire officials and building construction officials. We have received in the past, and could in the future receive, results from inspections by local officials at our facilities, both existing and currently under construction, citing failing marks. When such results have arisen, we actively engaged with the local authorities to address all of the specific issues identified by those officials as well as to devise means and methods that help ensure a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rely on complex machinery for our operations, and production involves a significant degree of risk and uncertainty in terms of operational performance, safety, security and costs.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the equipment we use to manufacture our vehicles will be costly to repair or replace and could require substantial lead-time to repair or replace and qualify for use.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or health epidemics,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in high volume manufacture of our vehicles.</w:t>
      </w:r>
    </w:p>
    <w:p>
      <w:pPr>
        <w:pStyle w:val="TextBody"/>
        <w:bidi w:val="0"/>
        <w:spacing w:lineRule="auto" w:line="288" w:before="240" w:after="283"/>
        <w:jc w:val="left"/>
        <w:rPr/>
      </w:pPr>
      <w:r>
        <w:rPr>
          <w:rFonts w:ascii="Times New Roman;sans-serif" w:hAnsi="Times New Roman;sans-serif"/>
          <w:b w:val="false"/>
          <w:color w:val="231F20"/>
          <w:sz w:val="20"/>
        </w:rPr>
        <w:t xml:space="preserve">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global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ongoing conflict in the Middle East, we have experienced an impact on our shipping routes in the Red Sea, which has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ramp production of the Lucid Air and begin production of the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Gravity SUV,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If our vehicles fail to perform as expected, our ability to develop, market and sell or lease our products could be harmed.</w:t>
      </w:r>
    </w:p>
    <w:p>
      <w:pPr>
        <w:pStyle w:val="TextBody"/>
        <w:bidi w:val="0"/>
        <w:spacing w:lineRule="auto" w:line="288" w:before="240" w:after="283"/>
        <w:jc w:val="left"/>
        <w:rPr/>
      </w:pPr>
      <w:r>
        <w:rPr>
          <w:rFonts w:ascii="Times New Roman;sans-serif" w:hAnsi="Times New Roman;sans-serif"/>
          <w:b w:val="false"/>
          <w:color w:val="231F20"/>
          <w:sz w:val="20"/>
        </w:rPr>
        <w:t xml:space="preserve">Our vehicles or the components installed therein have in the past and may in the future contain defects in design or manufacture, including components designed or manufactured by suppliers,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w:t>
      </w:r>
      <w:r>
        <w:rPr>
          <w:rFonts w:ascii="Times New Roman;sans-serif" w:hAnsi="Times New Roman;sans-serif"/>
          <w:b w:val="false"/>
          <w:color w:val="000000"/>
          <w:sz w:val="20"/>
        </w:rPr>
        <w:t xml:space="preserve">when first introduced </w:t>
      </w:r>
      <w:r>
        <w:rPr>
          <w:rFonts w:ascii="Times New Roman;sans-serif" w:hAnsi="Times New Roman;sans-serif"/>
          <w:b w:val="false"/>
          <w:color w:val="231F20"/>
          <w:sz w:val="20"/>
        </w:rPr>
        <w:t>contain defects and</w:t>
      </w:r>
      <w:r>
        <w:rPr>
          <w:color w:val="000000"/>
        </w:rPr>
        <w:t xml:space="preserve"> </w:t>
      </w:r>
      <w:r>
        <w:rPr>
          <w:rFonts w:ascii="Times New Roman;sans-serif" w:hAnsi="Times New Roman;sans-serif"/>
          <w:b w:val="false"/>
          <w:color w:val="000000"/>
          <w:sz w:val="20"/>
        </w:rPr>
        <w:t>errors. If our vehicles contain defects in design or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In addition, our over-the-air software updates may fail to achieve its intended repair and performance goals, expose our customers’ vehicles to vulnerabilities, or have unintended consequences, and may require our customers to bring their vehicles to our service centers.</w:t>
      </w:r>
    </w:p>
    <w:p>
      <w:pPr>
        <w:pStyle w:val="TextBody"/>
        <w:bidi w:val="0"/>
        <w:spacing w:lineRule="auto" w:line="288" w:before="240" w:after="283"/>
        <w:jc w:val="left"/>
        <w:rPr/>
      </w:pPr>
      <w:r>
        <w:rPr>
          <w:rFonts w:ascii="Times New Roman;sans-serif" w:hAnsi="Times New Roman;sans-serif"/>
          <w:b w:val="false"/>
          <w:color w:val="231F20"/>
          <w:sz w:val="20"/>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sans-serif" w:hAnsi="Times New Roman;sans-serif"/>
          <w:b w:val="false"/>
          <w:color w:val="000000"/>
          <w:sz w:val="20"/>
        </w:rPr>
        <w:t xml:space="preserve">Any such defects or noncompliance with legal requirements could also result in safety recalls. See “— Risks Related to Litigation and Regulation — </w:t>
      </w:r>
      <w:r>
        <w:rPr>
          <w:rFonts w:ascii="Times New Roman;sans-serif" w:hAnsi="Times New Roman;sans-serif"/>
          <w:b w:val="false"/>
          <w:i/>
          <w:color w:val="000000"/>
          <w:sz w:val="20"/>
        </w:rPr>
        <w:t xml:space="preserve">We have in the past and may choose in the future, or we may be compelled, to undertake product recalls or take other actions, which could adversely affect our business, prospects, results of operations, reputation and financial condition.” </w:t>
      </w:r>
      <w:r>
        <w:rPr>
          <w:rFonts w:ascii="Times New Roman;sans-serif" w:hAnsi="Times New Roman;sans-serif"/>
          <w:b w:val="false"/>
          <w:color w:val="231F20"/>
          <w:sz w:val="20"/>
        </w:rPr>
        <w:t>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limited experience servicing or repairing our vehicles and their integrated software. Servicing electric vehicles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electric vehicles, they will initially have no experience in servicing our vehicles. We also have a limited network of locations to perform service and will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including energy storage systems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Our facilities or operations could be adversely affected by events outside of our control, such as natural disasters, wars, global conflicts or other geopolitical events, health epidemics or pandemics, or security incidents.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We and our suppliers may be impacted by weather events, natural disasters, wars, global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ans-serif" w:hAnsi="Times New Roman;sans-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ans-serif" w:hAnsi="Times New Roman;sans-serif"/>
          <w:b w:val="false"/>
          <w:color w:val="000000"/>
          <w:sz w:val="20"/>
        </w:rPr>
        <w:t xml:space="preserve">In addition, global conflicts or other geopolitical events may increase the likelihood of supply chain interruptions and may impair our ability to compete in current or future markets, or otherwise subject us to potential liability. See “—Risks Related to Manufacturing and Supply Chain — </w:t>
      </w:r>
      <w:r>
        <w:rPr>
          <w:rFonts w:ascii="Times New Roman;sans-serif" w:hAnsi="Times New Roman;sans-serif"/>
          <w:b w:val="false"/>
          <w:i/>
          <w:color w:val="000000"/>
          <w:sz w:val="20"/>
        </w:rPr>
        <w:t xml:space="preserve">if we fail to successfully tool our manufacturing facilities or if our manufacturing facilities become inoperable, we will be unable to produce our vehicles and our business will be harmed.” </w:t>
      </w:r>
      <w:r>
        <w:rPr>
          <w:rFonts w:ascii="Times New Roman;sans-serif" w:hAnsi="Times New Roman;sans-serif"/>
          <w:b w:val="false"/>
          <w:color w:val="000000"/>
          <w:sz w:val="20"/>
        </w:rPr>
        <w:t xml:space="preserve">and “— Risks Related to Litigation and Regulation — </w:t>
      </w:r>
      <w:r>
        <w:rPr>
          <w:rFonts w:ascii="Times New Roman;sans-serif" w:hAnsi="Times New Roman;sans-serif"/>
          <w:b w:val="false"/>
          <w:i/>
          <w:color w:val="000000"/>
          <w:sz w:val="20"/>
        </w:rPr>
        <w:t>Changes in U.S. trade policy, including the imposition of tariffs or revocation of normal trade relations and the resulting consequences, could adversely affect our business, prospects, results of operations and financial condition</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We may incur significant expenses or delays relating to such events outside of our control, which could have a material adverse impact on our business,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vehicles make use of lithium-ion battery cells, which have been observed to catch fire or vent smoke and flame.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battery packs within our vehicles make use of,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as we expand our service network, increase our recycling practices and scale the manufacturing of our vehicles and any future energy storage products, we will need to store lithium-ion battery cells at our facilities and we have,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Cybersecurity and Data Privacy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products contain complex information technology systems. For example, our vehicles are designed with built-in data connectivity to accept and install periodic remote updates to improve their functionality.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we collect, store, transmit and otherwise process data from vehicles, customers, employees and other third parties as part of our business operations, some of which includes personal, or confidential or proprietary information. We also work with third-party service providers and vendors that collect, store and process such data and information on our behalf. We have taken certain measures designed to prevent unauthorized access to our information technology systems, networks and information (including personal data) and plan to continue to deploy additional measures as we grow. Our third-party service providers and vendors also take steps designed to protect the security and integrity of our and their information technology systems and networks and our and their customers’ information (including personal data). However, there can be no assurance that such systems, networks and measures will not be compromised, including as a result of intentional misconduct by employees, contractors, vendors, or other third parties as well as a result of software bugs, human error, or technical malfunctions.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cyber threat actors may in the future attempt to gain unauthorized access to, modify, alter and/or use our vehicles, products, systems and networks to (i) gain control of, (ii) change the functionality, user interface or performance characteristics of and/or (iii) gain access to data stored in or generated by, our vehicles, products, systems and networks. Advances in technology, such as artificial intelligence,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could be subject to break-ins, sabotage and intentional acts of vandalism causing potential disruptions. We may also be subject to certain laws and regulations, such as “right to repair” laws,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have been heightened in connection with ongoing global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confidential or proprietary information (including our proprietary software code), products, systems and networks, resulting in a data breach, or disruption, modification or destruction to our systems and networks. As a result, we may suffer monetary losses, business interruption, and long-lasting operational issues, damage to our reputation and brand or loss of our intellectual property (including trade secrets).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are unable to protect our personal, confidential or proprietary information (including our proprietary software code), products, systems and networks from unauthorized access, use, disclosure, disruption, modification, destruction or other breach, such threats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products, systems and networks, as well as other factors that may result in the perception that our vehicles, products, systems and networks are vulnerable to being “hacked,” could negatively affect our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tax and regulatory compliance. Our ability to operate our business will depend on the availability and effectiveness of these systems and networks and could be impacted by system outages or similar events. The implementation, maintenance, segregation, and improvement of these systems and networks require significant management time, support and cost. Moreover, there are inherent risks associated with developing, improving and expanding our core systems and networks as well as implementing new systems and networks, including the disruption of our data management, procurement, manufacturing execution, finance, supply chain, inventory management, and sales and service processes. We cannot be certain that these systems and networks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vehicles depend on the ability of software and hardware to store, retrieve, process and manage immense amounts of data. Our software and hardware, including any over-the-air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personal, confidential or proprietary information (including our proprietary software code), products, systems or networks or inability to prevent or effectively remedy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adequate insurance coverage, if any, to cover losses associated with any of the foregoing.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sure that our existing insurance coverage will continue to be available on acceptable terms or at all or that our insurers will not deny coverage as to any future claim.</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at the international level, the EU adopted the General Data Protection Regulation (“GDPR”)</w:t>
      </w:r>
      <w:r>
        <w:rPr>
          <w:rFonts w:ascii="Times New Roman;sans-serif" w:hAnsi="Times New Roman;sans-serif"/>
          <w:b w:val="false"/>
          <w:i/>
          <w:color w:val="231F20"/>
          <w:sz w:val="24"/>
        </w:rPr>
        <w:t xml:space="preserve">, </w:t>
      </w:r>
      <w:r>
        <w:rPr>
          <w:rFonts w:ascii="Times New Roman;sans-serif" w:hAnsi="Times New Roman;sans-serif"/>
          <w:b w:val="false"/>
          <w:color w:val="231F20"/>
          <w:sz w:val="20"/>
        </w:rPr>
        <w:t>which became effective in May 2018, as well as the European Data Act, the Artificial Intelligence Act, and the Cyber Resilience Act in 2024. Canada adopted and continued to amend the Personal Information Protection and Electronic Documents Act (“PIPEDA”) in addition to applicable provincial laws. The United Arab Emirates adopted the Data Protection Law (“DPL”), which became effective in January 2022. Saudi Arabia enacted the Personal Data Protection Law (“PDPL”) which came into effect in September 2023. Similarly, China’s Data Security Law (“DSL”) and Personal Information Protection Law (“PIPL”) have been effective since 2021. Additionally, following the withdrawal of the United Kingdom (“UK”) from the EU, we may also be subject to the UK General Data Protection Regulation (“UK GDPR”) (i.e., a version of the GDPR as implemented into UK law). Each of these regulations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and reputational risks.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 example, failure to comply with the GDPR and the UK GDPR can result in significant fines and other liability, including fines of up to EUR 20 million (or GBP 17.5 million under the UK GDPR)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and the UK GDPR may have a significant adverse effect on our business and operations. While the UK GDPR currently imposes substantially the same obligations as the GDPR, the UK GDPR will not automatically incorporate changes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so-called third countries outside the EEA. Similar complexities and uncertainties also apply to transfers from the UK to third countries. While we have taken steps to mitigate the impact on us, the efficacy and longevity of these mechanisms remains uncertain.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practices, and related disclosures, of companies within its jurisdiction, which at a minimum can result in distraction of management and diversion of resources for targeted businesses. On July 26, 2023, the SEC adopted new cybersecurity disclosure rules (the “SEC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At the U.S. state level, we are subject to laws and regulations such as the California Consumer Privacy Act of 2018 (as amended by the California Privacy Rights Act of 2020, collectively, the “CCPA”). The CCPA establishes a privacy framework for covered businesses, including an expansive definition of personal information and data privacy rights for California residents, including expanded rights with respect to certain sensitive personal information.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Some observers have noted that the CCPA marked the beginning of a trend toward more stringent privacy legislation in the United States, and a number of other states have enacted or are in the process of enacting, or considering similar laws. Complian</w:t>
      </w:r>
      <w:r>
        <w:rPr>
          <w:rFonts w:ascii="Times New Roman;sans-serif" w:hAnsi="Times New Roman;sans-serif"/>
          <w:b w:val="false"/>
          <w:color w:val="000000"/>
          <w:sz w:val="20"/>
        </w:rPr>
        <w:t>ce with these state statutes, other similar state or federal laws that may be enacted in the future, and other applicable data privacy and cybersecurity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applicable privacy notices or applicable data privacy laws, regulations, standards, policies, or contractual obligations could, even if we are not found liable, be expensive and time-consuming to defend and could result in adverse publicity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business days of determining an incident is material. Additionally, upon discovery of an incident in which the unencrypted customer information of at least 500 consumers is acquired without authorization by the consumers to whom the information pertains,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also impacted by regulations obligating us to share vehicle repair-related information, including location information, with third parties, including repair shops and repair tool hardware developers, under what are commonly called “right-to-repair” laws, including Massachusetts. Other state, federal, and foreign jurisdictions are exploring expanding right-to-repair obligations in this area as well. Furthermore, some entities within the U.S. federal government, including certain members of Congress and the NHTSA, have recently focused attention on automotive cybersecurity issues and may in the future propose or implement regulations specific to automotive cybersecurity. In addition, the United Nations Economic Commission for Europe (“UNECE”) has introduced regulations governing connected vehicle cybersecurity in the European Union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products, services and business lines may face scrutiny from regulators as well. Certain emerging data privacy and cybersecurity laws and regulations are still subject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Employees and Human Resources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loss of key employees or an inability to attract, retain and motivate qualified personnel may impair our ability to expand our business.</w:t>
      </w:r>
    </w:p>
    <w:p>
      <w:pPr>
        <w:pStyle w:val="TextBody"/>
        <w:bidi w:val="0"/>
        <w:spacing w:lineRule="auto" w:line="288" w:before="240" w:after="283"/>
        <w:jc w:val="left"/>
        <w:rPr/>
      </w:pPr>
      <w:r>
        <w:rPr>
          <w:rFonts w:ascii="Times New Roman;sans-serif" w:hAnsi="Times New Roman;sans-serif"/>
          <w:b w:val="false"/>
          <w:color w:val="231F20"/>
          <w:sz w:val="20"/>
        </w:rPr>
        <w:t xml:space="preserve">Our success is substantially dependent upon the continued service and performance of our senior management team. Our employees, including our senior management team, are generally at-will employees, and therefore may terminate employment with us at any time with no advance notice. It is always possible that we could lose some key employees, especially if we are unable to grant sufficient or competitive compensation, including equity awards and bonuses, or if the volatility of our stock price increases. </w:t>
      </w:r>
      <w:r>
        <w:rPr>
          <w:rFonts w:ascii="Times New Roman;sans-serif" w:hAnsi="Times New Roman;sans-serif"/>
          <w:b w:val="false"/>
          <w:color w:val="000000"/>
          <w:sz w:val="20"/>
        </w:rPr>
        <w:t xml:space="preserve">In addition, we recently announced a restructuring plan, which involves the reduction of our employee workforce. Such plan may adversely affect our internal programs and initiatives as well as our ability to recruit and retain skilled and motivated personnel.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w:t>
      </w:r>
      <w:r>
        <w:rPr>
          <w:rFonts w:ascii="Times New Roman;sans-serif" w:hAnsi="Times New Roman;sans-serif"/>
          <w:b w:val="false"/>
          <w:color w:val="231F20"/>
          <w:sz w:val="20"/>
        </w:rPr>
        <w:t>The replacement of any members of our senior management team or other key employees likely would involve significant time and costs and may significantly delay or prevent the achievement of our business objectives. Our future success also depends, in part, on our ability to continue to attract, integrate and retain highly skilled personnel. Competition for personnel is frequently intense, especially in the San Francisco Bay Area, where we have a substantial presence and need for highly skilled personnel, including, but not limited to, in particular, engineers, and Arizona, where we have a substantial presence and a need for, among others, a large skilled repair, logistics, supply chain, and manufacturing workforce. As with any company with finite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global conflicts and other geopolitical events. Our inability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highly dependent on the services of Peter Rawlinson, our Chief Executive Officer and Chief Technology Officer.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need to hire, retain, and train a significant number of employees for our business operations, and our business could be adversely affected by labor and union activities.</w:t>
      </w:r>
    </w:p>
    <w:p>
      <w:pPr>
        <w:pStyle w:val="TextBody"/>
        <w:bidi w:val="0"/>
        <w:spacing w:lineRule="auto" w:line="288" w:before="240" w:after="283"/>
        <w:jc w:val="left"/>
        <w:rPr/>
      </w:pPr>
      <w:r>
        <w:rPr>
          <w:rFonts w:ascii="Times New Roman;sans-serif" w:hAnsi="Times New Roman;sans-serif"/>
          <w:b w:val="false"/>
          <w:color w:val="231F20"/>
          <w:sz w:val="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sans-serif" w:hAnsi="Times New Roman;sans-serif"/>
          <w:b w:val="false"/>
          <w:color w:val="000000"/>
          <w:sz w:val="20"/>
        </w:rPr>
        <w:t>ective company culture. Although the area surrounding our AMP-1 facility in Casa Grande, Arizona and the area surrounding our AMP-2 facility in King Abdullah Economic City (“KAEC”) are home to highly trained workforces with experience in engineering and manufacturing, these workforces do not have significant experience with electric vehicle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We cannot guarantee that we will be able to operate in compliance with local labor laws and regulations as well as with differing local customs, in order to operate the manufacturing facility. If we are unsuccessful in hiring</w:t>
      </w:r>
      <w:r>
        <w:rPr>
          <w:rFonts w:ascii="Times New Roman;sans-serif" w:hAnsi="Times New Roman;sans-serif"/>
          <w:b w:val="false"/>
          <w:color w:val="231F20"/>
          <w:sz w:val="20"/>
        </w:rPr>
        <w:t>, retaining and training a workforce in a timely and cost-effective manner,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although none of our United States based employees are currently represented by a labor union and none of our international employees are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and/or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Misconduct by our employees and independent contractors during and before their employment with us could expose us to potentially significant legal liabilities, reputational harm and/or other damages to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guarantee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while we have screening procedures during the recruitment process, we cannot guarantee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Litigation and Regulation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 xml:space="preserve">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w:t>
      </w:r>
      <w:r>
        <w:rPr>
          <w:rFonts w:ascii="Times New Roman;sans-serif" w:hAnsi="Times New Roman;sans-serif"/>
          <w:b w:val="false"/>
          <w:color w:val="000000"/>
          <w:sz w:val="20"/>
        </w:rPr>
        <w:t xml:space="preserve">Lucid </w:t>
      </w:r>
      <w:r>
        <w:rPr>
          <w:rFonts w:ascii="Times New Roman;sans-serif" w:hAnsi="Times New Roman;sans-serif"/>
          <w:b w:val="false"/>
          <w:color w:val="231F20"/>
          <w:sz w:val="20"/>
        </w:rPr>
        <w:t xml:space="preserve">Gravity SUV and any future vehicle programs will be subject to such regulation under federal, state and local laws and standards. These regulations include those promulgated by the U.S. Environmental Protection Agency, NHTSA, other federal agencies, various state agencies and various state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If compliance results in delays or substantial expenses, our business could be adversely affected. Laws and industrial standards for electric vehicles continue to evolve, and we face risks associated with changes to these regulations, which could have an impact on the adoption of electric vehicles. In addition, increased sensitivity by regulators to the needs of established automobile manufacturers with large employment bases, high fixed costs and business models based on the internal combustion engine could lead them to adopt regulations that could reduce the compliance costs of such established manufacturers or mitigate the effects of government efforts to promote electric vehicles. </w:t>
      </w:r>
    </w:p>
    <w:p>
      <w:pPr>
        <w:pStyle w:val="TextBody"/>
        <w:bidi w:val="0"/>
        <w:spacing w:lineRule="auto" w:line="288" w:before="240" w:after="283"/>
        <w:jc w:val="left"/>
        <w:rPr/>
      </w:pPr>
      <w:r>
        <w:rPr>
          <w:rFonts w:ascii="Times New Roman;sans-serif" w:hAnsi="Times New Roman;sans-serif"/>
          <w:b w:val="false"/>
          <w:color w:val="231F20"/>
          <w:sz w:val="20"/>
        </w:rPr>
        <w:t>We currently are, and expect to become, subject to laws and regulations applicable to the supply chain,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w:t>
      </w:r>
      <w:r>
        <w:rPr>
          <w:rFonts w:ascii="Times New Roman;sans-serif" w:hAnsi="Times New Roman;sans-serif"/>
          <w:b w:val="false"/>
          <w:color w:val="000000"/>
          <w:sz w:val="20"/>
        </w:rPr>
        <w:t xml:space="preserve">volving. </w:t>
      </w:r>
      <w:r>
        <w:rPr>
          <w:rFonts w:ascii="Times New Roman;sans-serif" w:hAnsi="Times New Roman;sans-serif"/>
          <w:b w:val="false"/>
          <w:color w:val="000000"/>
          <w:sz w:val="20"/>
          <w:shd w:fill="FFFFFF" w:val="clear"/>
        </w:rPr>
        <w:t>For example, the European Union has enacted a battery regulation that affects Lucid vehicles and batteries delivered in Europe beginning in August 2024 with increasing requirements for the durability, marking and recycled content of the high-voltage batteries in our vehicles in subsequent years, among other things. C</w:t>
      </w:r>
      <w:r>
        <w:rPr>
          <w:rFonts w:ascii="Times New Roman;sans-serif" w:hAnsi="Times New Roman;sans-serif"/>
          <w:b w:val="false"/>
          <w:color w:val="000000"/>
          <w:sz w:val="20"/>
        </w:rPr>
        <w:t>ompliance with such regulations will require additional time and resources</w:t>
      </w:r>
      <w:r>
        <w:rPr>
          <w:rFonts w:ascii="Times New Roman;sans-serif" w:hAnsi="Times New Roman;sans-serif"/>
          <w:b w:val="false"/>
          <w:color w:val="231F20"/>
          <w:sz w:val="20"/>
        </w:rPr>
        <w:t>. This process may include official review and verification of our batteries and related documentation prior to market entry.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face regulatory limitations on our ability to sell vehicles directly, which could materially and adversely affect our ability to sell our vehicles.</w:t>
      </w:r>
    </w:p>
    <w:p>
      <w:pPr>
        <w:pStyle w:val="TextBody"/>
        <w:bidi w:val="0"/>
        <w:spacing w:lineRule="auto" w:line="288" w:before="240" w:after="283"/>
        <w:jc w:val="left"/>
        <w:rPr/>
      </w:pPr>
      <w:r>
        <w:rPr>
          <w:rFonts w:ascii="Times New Roman;sans-serif" w:hAnsi="Times New Roman;sans-serif"/>
          <w:b w:val="false"/>
          <w:color w:val="231F20"/>
          <w:sz w:val="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w:t>
      </w:r>
      <w:r>
        <w:rPr>
          <w:color w:val="000000"/>
        </w:rPr>
        <w:t xml:space="preserve"> </w:t>
      </w:r>
      <w:r>
        <w:rPr>
          <w:rFonts w:ascii="Times New Roman;sans-serif" w:hAnsi="Times New Roman;sans-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TextBody"/>
        <w:bidi w:val="0"/>
        <w:spacing w:lineRule="auto" w:line="288" w:before="240" w:after="283"/>
        <w:jc w:val="left"/>
        <w:rPr/>
      </w:pPr>
      <w:r>
        <w:rPr>
          <w:rFonts w:ascii="Times New Roman;sans-serif" w:hAnsi="Times New Roman;sans-serif"/>
          <w:b w:val="false"/>
          <w:color w:val="231F20"/>
          <w:sz w:val="20"/>
        </w:rPr>
        <w:t xml:space="preserve">We may face legal challenges to this distribution model. For example, in states where direct sales are not permitted, dealers and their lobbying organizations may complain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See “— Risks Related to Litigation and Regulation — </w:t>
      </w:r>
      <w:r>
        <w:rPr>
          <w:rFonts w:ascii="Times New Roman;sans-serif" w:hAnsi="Times New Roman;sans-serif"/>
          <w:b w:val="false"/>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r>
        <w:rPr>
          <w:rFonts w:ascii="Times New Roman;sans-serif" w:hAnsi="Times New Roman;sans-serif"/>
          <w:b w:val="false"/>
          <w:color w:val="231F20"/>
          <w:sz w:val="20"/>
        </w:rPr>
        <w: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w:t>
      </w:r>
      <w:r>
        <w:rPr>
          <w:color w:val="000000"/>
        </w:rPr>
        <w:t xml:space="preserve"> </w:t>
      </w:r>
      <w:r>
        <w:rPr>
          <w:rFonts w:ascii="Times New Roman;sans-serif" w:hAnsi="Times New Roman;sans-serif"/>
          <w:b w:val="false"/>
          <w:color w:val="231F20"/>
          <w:sz w:val="20"/>
        </w:rPr>
        <w:t>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bidi w:val="0"/>
        <w:spacing w:lineRule="auto" w:line="288" w:before="240" w:after="283"/>
        <w:jc w:val="left"/>
        <w:rPr/>
      </w:pPr>
      <w:r>
        <w:rPr>
          <w:rFonts w:ascii="Times New Roman;sans-serif" w:hAnsi="Times New Roman;sans-serif"/>
          <w:b w:val="false"/>
          <w:color w:val="231F20"/>
          <w:sz w:val="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electric vehicles or components (including our batteries) prove to be defective or noncompliant with applicable federal motor vehicle safety standards. If a large number</w:t>
      </w:r>
      <w:r>
        <w:rPr>
          <w:color w:val="000000"/>
        </w:rPr>
        <w:t xml:space="preserve"> </w:t>
      </w:r>
      <w:r>
        <w:rPr>
          <w:rFonts w:ascii="Times New Roman;sans-serif" w:hAnsi="Times New Roman;sans-serif"/>
          <w:b w:val="false"/>
          <w:color w:val="231F20"/>
          <w:sz w:val="20"/>
        </w:rPr>
        <w:t>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bidi w:val="0"/>
        <w:spacing w:lineRule="auto" w:line="288" w:before="240" w:after="283"/>
        <w:jc w:val="left"/>
        <w:rPr/>
      </w:pPr>
      <w:r>
        <w:rPr>
          <w:rFonts w:ascii="Times New Roman;sans-serif" w:hAnsi="Times New Roman;sans-serif"/>
          <w:b w:val="false"/>
          <w:color w:val="231F20"/>
          <w:sz w:val="20"/>
        </w:rPr>
        <w:t xml:space="preserve">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contractual and commercial disputes and other matters that could adversely affect our business, brand, reputation, results of operations, cash flows, financial condition, and the trading price of our common stock. Such claims could be asserted against us by individuals, either acting individually or through class actions, by governmental entities in civil or criminal investigations and proceedings, or by other entities. For example, we are currently the subject of several class actions filed against us and certain of our former and then-current directors and officers, alleging violations of securities laws. For details regarding these legal proceedings, refer to Note </w:t>
      </w:r>
      <w:r>
        <w:rPr>
          <w:rFonts w:ascii="Times New Roman;sans-serif" w:hAnsi="Times New Roman;sans-serif"/>
          <w:b w:val="false"/>
          <w:color w:val="000000"/>
          <w:sz w:val="20"/>
        </w:rPr>
        <w:t>12</w:t>
      </w:r>
      <w:r>
        <w:rPr>
          <w:color w:val="231F20"/>
        </w:rPr>
        <w:t xml:space="preserve"> “</w:t>
      </w:r>
      <w:r>
        <w:rPr>
          <w:rFonts w:ascii="Times New Roman;sans-serif" w:hAnsi="Times New Roman;sans-serif"/>
          <w:b w:val="false"/>
          <w:color w:val="231F20"/>
          <w:sz w:val="20"/>
        </w:rPr>
        <w:t>Commitments and Contingencies” to the condensed consolidated financial statements included elsewhere in this Quarterly Report for more information.</w:t>
      </w:r>
    </w:p>
    <w:p>
      <w:pPr>
        <w:pStyle w:val="TextBody"/>
        <w:bidi w:val="0"/>
        <w:spacing w:lineRule="auto" w:line="288" w:before="240" w:after="283"/>
        <w:jc w:val="left"/>
        <w:rPr/>
      </w:pPr>
      <w:r>
        <w:rPr>
          <w:rFonts w:ascii="Times New Roman;sans-serif" w:hAnsi="Times New Roman;sans-serif"/>
          <w:b w:val="false"/>
          <w:color w:val="000000"/>
          <w:sz w:val="20"/>
        </w:rPr>
        <w:t>Litigation and regulatory proceedings may be protracted an</w:t>
      </w:r>
      <w:r>
        <w:rPr>
          <w:rFonts w:ascii="Times New Roman;sans-serif" w:hAnsi="Times New Roman;sans-serif"/>
          <w:b w:val="false"/>
          <w:color w:val="231F20"/>
          <w:sz w:val="20"/>
        </w:rPr>
        <w:t>d expensive, and the results are difficult to predict. Additionally, our litigation and legal defense costs could be significant, even if we achieve favorable outcomes. Adverse outcomes with respect to litigation or any other legal proceedings may result in significant settlement costs or judgments, criminal and civil penalties and fines, or injunctive relief, including suspension or revocation of licenses to conduct business or other changes to our business practices, all of which could negatively affect our sales and revenue growth and adversely affect our business, prospects, results of operations, cash flows and financial condition. See Part II, Item 1 “Legal Proceedings.”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become subject to product liability and warranty-related claims, which could harm our financial condition and liquidity if we are not able to successfully defend or insure against such claims.</w:t>
      </w:r>
    </w:p>
    <w:p>
      <w:pPr>
        <w:pStyle w:val="TextBody"/>
        <w:bidi w:val="0"/>
        <w:spacing w:lineRule="auto" w:line="288" w:before="240" w:after="283"/>
        <w:jc w:val="left"/>
        <w:rPr/>
      </w:pPr>
      <w:r>
        <w:rPr>
          <w:rFonts w:ascii="Times New Roman;sans-serif" w:hAnsi="Times New Roman;sans-serif"/>
          <w:b w:val="false"/>
          <w:color w:val="231F20"/>
          <w:sz w:val="20"/>
        </w:rPr>
        <w:t>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w:t>
      </w:r>
      <w:r>
        <w:rPr>
          <w:color w:val="000000"/>
        </w:rPr>
        <w:t xml:space="preserve"> </w:t>
      </w:r>
      <w:r>
        <w:rPr>
          <w:rFonts w:ascii="Times New Roman;sans-serif" w:hAnsi="Times New Roman;sans-serif"/>
          <w:b w:val="false"/>
          <w:color w:val="231F20"/>
          <w:sz w:val="20"/>
        </w:rPr>
        <w:t>from or related to failures, claimed failures or misuse of new technologies that we expect to offer, including</w:t>
      </w:r>
      <w:r>
        <w:rPr>
          <w:color w:val="000000"/>
        </w:rPr>
        <w:t xml:space="preserve"> </w:t>
      </w:r>
      <w:r>
        <w:rPr>
          <w:rFonts w:ascii="Times New Roman;sans-serif" w:hAnsi="Times New Roman;sans-serif"/>
          <w:b w:val="false"/>
          <w:i/>
          <w:color w:val="231F20"/>
          <w:sz w:val="20"/>
        </w:rPr>
        <w:t xml:space="preserve">ADAS </w:t>
      </w:r>
      <w:r>
        <w:rPr>
          <w:rFonts w:ascii="Times New Roman;sans-serif" w:hAnsi="Times New Roman;sans-serif"/>
          <w:b w:val="false"/>
          <w:color w:val="231F20"/>
          <w:sz w:val="20"/>
        </w:rPr>
        <w:t xml:space="preserve">features in our vehicles. See “— Risks Related to Litigation and Regulation — </w:t>
      </w:r>
      <w:r>
        <w:rPr>
          <w:rFonts w:ascii="Times New Roman;sans-serif" w:hAnsi="Times New Roman;sans-serif"/>
          <w:b w:val="false"/>
          <w:i/>
          <w:color w:val="231F20"/>
          <w:sz w:val="20"/>
        </w:rPr>
        <w:t>ADAS technology is subject to uncertain and evolving regulations</w:t>
      </w:r>
      <w:r>
        <w:rPr>
          <w:rFonts w:ascii="Times New Roman;sans-serif" w:hAnsi="Times New Roman;sans-serif"/>
          <w:b w:val="false"/>
          <w:color w:val="231F20"/>
          <w:sz w:val="20"/>
        </w:rPr>
        <w:t>.” 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 Furthermore, if our products contain design defects, manufacturing defects, or other defects in materials or workmanship that cause them to not conform to applicable express or implied warranties, and/or we are unable to service or repair nonconforming vehicles within a reasonable period of time or number of repair attempts, we may be subject to breach of warranty, lemon law, and other consumer protection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A successful product liability or warranty-related claim against us could result in a substantial monetary loss.</w:t>
      </w:r>
      <w:r>
        <w:rPr>
          <w:color w:val="000000"/>
        </w:rPr>
        <w:t xml:space="preserve"> </w:t>
      </w:r>
      <w:r>
        <w:rPr>
          <w:rFonts w:ascii="Times New Roman;sans-serif" w:hAnsi="Times New Roman;sans-serif"/>
          <w:b w:val="false"/>
          <w:color w:val="231F20"/>
          <w:sz w:val="20"/>
        </w:rPr>
        <w:t>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exposed to delays, limitations and risks related to the environmental permits and other operating permits required to operate our manufacturing facilities.</w:t>
      </w:r>
    </w:p>
    <w:p>
      <w:pPr>
        <w:pStyle w:val="TextBody"/>
        <w:bidi w:val="0"/>
        <w:spacing w:lineRule="auto" w:line="288" w:before="240" w:after="283"/>
        <w:jc w:val="left"/>
        <w:rPr/>
      </w:pPr>
      <w:r>
        <w:rPr>
          <w:rFonts w:ascii="Times New Roman;sans-serif" w:hAnsi="Times New Roman;sans-serif"/>
          <w:b w:val="false"/>
          <w:color w:val="231F20"/>
          <w:sz w:val="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ans-serif" w:hAnsi="Times New Roman;sans-serif"/>
          <w:b w:val="false"/>
          <w:i/>
          <w:color w:val="231F20"/>
          <w:sz w:val="20"/>
        </w:rPr>
        <w:t>We have experienced and may in the future experience significant delays in the design, manufacture, launch and financing of our vehicles, including the Lucid Air, the Lucid Gravity SUV and our Midsize platform, which could harm our business and prospects.</w:t>
      </w:r>
      <w:r>
        <w:rPr>
          <w:color w:val="231F20"/>
        </w:rPr>
        <w:t>”</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various environmental, health and safety laws and regulations that could impose substantial costs on us and cause delays in expanding our production facilities.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consistent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operations are also subject to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our vehicles, which could have a material adverse effect on our business, prospects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ADAS technology is subject to uncertain and evolving regulations.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in effect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Both the U.S. and Europe have proposed new rules for ADAS technologies that are expected to come into effect in future years.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as well as the antiboycott regulations of the U.S. Export Administration regulations.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Anti-money laundering laws and regulations of the U.S. and other countries may require additional due diligence of counterparties and for us to provide ownership and financial information to counterparties. The antiboycott regulations of the U.S. Export Administration require us to refuse to comply with the Arab League boycott of Israel and report any requests to do so.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are subject to governmental export and import controls and laws that could subject us to liability if we are not in compliance with such laws.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Changes in U.S. trade policy, including the imposition of tariffs or revocation of normal trade relations and the resulting consequences, could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U.S. government has adopted an evolving approach to trade policy and in some cases has attempted to renegotiate or terminate certain existing bilateral or multi-lateral trade agreements. It has also imposed, or proposed to impose, tariffs on certain foreign goods, including steel, certain vehicle parts and software, which have resulted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pStyle w:val="TextBody"/>
        <w:bidi w:val="0"/>
        <w:spacing w:lineRule="auto" w:line="288" w:before="240" w:after="283"/>
        <w:jc w:val="left"/>
        <w:rPr/>
      </w:pPr>
      <w:r>
        <w:rPr>
          <w:rFonts w:ascii="Times New Roman;sans-serif" w:hAnsi="Times New Roman;sans-serif"/>
          <w:b w:val="false"/>
          <w:color w:val="000000"/>
          <w:sz w:val="20"/>
        </w:rPr>
        <w:t>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our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w:t>
      </w:r>
      <w:r>
        <w:rPr>
          <w:color w:val="231F20"/>
        </w:rPr>
        <w:t xml:space="preserve"> </w:t>
      </w:r>
      <w:r>
        <w:rPr>
          <w:rFonts w:ascii="Times New Roman;sans-serif" w:hAnsi="Times New Roman;sans-serif"/>
          <w:b w:val="false"/>
          <w:color w:val="231F20"/>
          <w:sz w:val="20"/>
        </w:rPr>
        <w:t>and could have an adverse effect on our business and results of operations</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2022, in response to actions taken by Russia against Ukraine, the United States and other countries around the world undertook rapidly evolving and escalating campaigns targeting Russia and Belarus, and Russian and Belarussian entities and persons, with significant new economic sanctions designations and embargoes, financial restrictions, trade controls and other government restrictions.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are not aware of any company-related operations or activities in these jurisdictions, these economic sanctions and other laws and regulations could disrupt our supply chains, impair our ability to compete in current or future markets, or otherwise subject us to potential liability. While we have implemented certain procedures to facilitate compliance with applicable laws and regulations in connection with the growing sanctions and trade control programs around the globe related to Russia and Belarus,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also have negative consequences for us, including reputational harm, government investigations, loss of export privileges, and penalties or fines. These economic sanctions and other restrictions continue to evolve, and the long-term potential impact on our operations and business is still unclear.</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United States enacted federal regulations that significantly constrain trade relations with Russia and Belarus. As a result of this and executive action increasing import duty rates on certain Russia-origin products, imports of merchandise that is of Russian- or Belarussian-origin are subject to potentially higher import duty rates. To the extent such merchandise is found in our cross-border supply chains and subject to higher duties, the suspension of normal trade relations with Russian and Belarus could increase our input costs, which could have adverse impacts on our business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A failure to properly comply with foreign trade zone laws and regulations could increase the cost of our duties and tariffs.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Intellectual Property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measures we take to obtain, maintain, protect, defend and enforce our intellectual property, including preventing unauthorized use by third parties, may not be effective for various reasons, including the following:</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trademark or patent applications we file may not result in the issuance of trademarks or patents;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we may not be the first inventor of the subject matter to which we have filed a particular patent application, and we may not be the first party to file such a patent application;</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issued patents may be challenged or invalidated by our competitors or other third parties;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patents have a finite term, and competitors and other third parties may offer identical or similar products after the expiration of our patents that cover such products;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our employees, contractors or business partners may breach their confidentiality, non-disclosure and non-use obligations;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independently develop technologies that are the same or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intellectual property rights of others could also bar us from licensing and exploiting any patents that issue from our pending applications;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231F20"/>
          <w:sz w:val="20"/>
        </w:rPr>
        <w:t>the costs associated with enforcing patents or other intellectual property rights, or confidentiality and invention assignment agreements may make enforcement impracticable;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competitors and other third parties may circumvent or otherwise design around our patents or other intellectual property.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in June 2024, we reached an agreement with Gravity, Inc. to settle a claim before the USPTO that opposed and requested cancellation of our trademark application and registration for the use of “Gravity.”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ans-serif" w:hAnsi="Times New Roman;sans-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bidi w:val="0"/>
        <w:spacing w:lineRule="auto" w:line="288" w:before="240" w:after="283"/>
        <w:jc w:val="left"/>
        <w:rPr/>
      </w:pPr>
      <w:r>
        <w:rPr>
          <w:rFonts w:ascii="Times New Roman;sans-serif" w:hAnsi="Times New Roman;sans-serif"/>
          <w:b w:val="false"/>
          <w:color w:val="231F20"/>
          <w:sz w:val="20"/>
        </w:rPr>
        <w:t>There are considerable issued patents, pending patent applications, and other intellectual property development, ownership, and activity in our industry.</w:t>
      </w:r>
      <w:r>
        <w:rPr>
          <w:color w:val="000000"/>
        </w:rPr>
        <w:t xml:space="preserve"> </w:t>
      </w:r>
      <w:r>
        <w:rPr>
          <w:rFonts w:ascii="Times New Roman;sans-serif" w:hAnsi="Times New Roman;sans-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pay substantial damages, including treble damages for willful infringement, or ongoing royalty payments;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cease developing, selling, leasing, using or incorporating certain components into vehicles or offering goods or services that incorporate or use the asserted intellectual property;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seek a license from the owner of the asserted intellectual property, which license may not be available on reasonable terms, or at all;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comply with other unfavorable terms;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establish and maintain alternative branding for our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Some of our products contain open-source software, which may pose particular risks to our proprietary software, products and services in a manner that could harm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Financing and Strategic Transactions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ans-serif" w:hAnsi="Times New Roman;sans-serif"/>
          <w:b w:val="false"/>
          <w:color w:val="231F20"/>
          <w:sz w:val="20"/>
        </w:rPr>
        <w:t xml:space="preserve">We have funded our operations since inception primarily through equity and debt financings. For example, we issued $2.0 billion of 1.25% convertible senior notes due 2026 in December 2021 (the “2026 Notes”), entered into a credit agreement that provides for a $1.0 billion senior secured asset-based revolving credit facility in June 2022 (the “ABL Credit Facility”), </w:t>
      </w:r>
      <w:r>
        <w:rPr>
          <w:rFonts w:ascii="Times New Roman;sans-serif" w:hAnsi="Times New Roman;sans-serif"/>
          <w:b w:val="false"/>
          <w:color w:val="000000"/>
          <w:sz w:val="20"/>
        </w:rPr>
        <w:t>completed an “at-the-market” equity offering program for aggregate net proceeds of $594.3 million after deducting commissions and other issuance costs and consummated a private placement of common stock to Ayar for aggregate proceeds of $915.0 million in December 2022</w:t>
      </w:r>
      <w:r>
        <w:rPr>
          <w:rFonts w:ascii="Times New Roman;sans-serif" w:hAnsi="Times New Roman;sans-serif"/>
          <w:b w:val="false"/>
          <w:color w:val="231F20"/>
          <w:sz w:val="20"/>
        </w:rPr>
        <w:t xml:space="preserve">. In addition, we have, through our subsidiary, entered into a loan agreement with the Saudi Industrial Development Fund for an aggregate principal amount of up to SAR 5.19 billion in February 2022 (the “SIDF Loan </w:t>
      </w:r>
      <w:r>
        <w:rPr>
          <w:rFonts w:ascii="Times New Roman;sans-serif" w:hAnsi="Times New Roman;sans-serif"/>
          <w:b w:val="false"/>
          <w:color w:val="000000"/>
          <w:sz w:val="20"/>
        </w:rPr>
        <w:t>Agreement”), entered into a revolving credit facility agreement with Gulf International Bank for an aggregate principal amount of SAR 1 billion in April 2022, which was amended in March 2023 (as amended, the “Amended GIB Facility Agreement”), and also entered into $750 million unsecured delayed draw term loan credit facility (the “DDTL Credit Facility”) in August 2024. In June 2023, we completed an underwritten public offering of common stock for aggregate net proceeds of $1.2 billion and consummated a private placement to Ayar for aggregate net proceeds of $1.8 billion, after deducting issuance costs. We also consummated private placements of Redeemable Convertible Preferred Stock to Ayar for aggregate gross proceeds of $1.0 billion in March 2024 and $750 million in August 2024. In addition, in October 2024, we completed an underwritten public offering of common stock for aggregate proceeds of approximately $719.0 million and consummated a private placement to Ayar for aggregate proceeds of approximately $1,026.5 million. We anticipate that we will continue to need to raise additional funds through equity, equity-linked or debt financings. Our business is capital-intensive, and we expect the costs and expenses associated with our planned operations will continue to increase in the near term. We do not expect to achieve positive cash flo</w:t>
      </w:r>
      <w:r>
        <w:rPr>
          <w:rFonts w:ascii="Times New Roman;sans-serif" w:hAnsi="Times New Roman;sans-serif"/>
          <w:b w:val="false"/>
          <w:color w:val="231F20"/>
          <w:sz w:val="20"/>
        </w:rPr>
        <w:t xml:space="preserve">w from operations for several years, if at all. In addition, we have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 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w:t>
      </w:r>
    </w:p>
    <w:p>
      <w:pPr>
        <w:pStyle w:val="TextBody"/>
        <w:bidi w:val="0"/>
        <w:spacing w:lineRule="auto" w:line="288" w:before="240" w:after="283"/>
        <w:jc w:val="left"/>
        <w:rPr/>
      </w:pPr>
      <w:r>
        <w:rPr>
          <w:rFonts w:ascii="Times New Roman;sans-serif" w:hAnsi="Times New Roman;sans-serif"/>
          <w:b w:val="false"/>
          <w:color w:val="231F20"/>
          <w:sz w:val="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sans-serif" w:hAnsi="Times New Roman;sans-serif"/>
          <w:b w:val="false"/>
          <w:color w:val="000000"/>
          <w:sz w:val="20"/>
        </w:rPr>
        <w:t xml:space="preserve">For example, we have entered into amended agreements with Panasonic Energy Co., Ltd. and certain of its affiliates. Pursuant to the terms of the amended agreements, for the remainder of 2024 through 2031, we have remaining minimum purchase commitments of an aggregate of approximately $2.8 billion of lithium-ion battery cells using the current base prices, which could vary period-to-period primarily as a result of changes in raw material indexes. </w:t>
      </w:r>
      <w:r>
        <w:rPr>
          <w:rFonts w:ascii="Times New Roman;sans-serif" w:hAnsi="Times New Roman;sans-serif"/>
          <w:b w:val="false"/>
          <w:color w:val="231F20"/>
          <w:sz w:val="20"/>
        </w:rPr>
        <w:t>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If we raise additional funds through further issuances of equity or equity-linked securities, our stockholders could experience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TextBody"/>
        <w:bidi w:val="0"/>
        <w:spacing w:lineRule="auto" w:line="288" w:before="240" w:after="283"/>
        <w:jc w:val="left"/>
        <w:rPr/>
      </w:pPr>
      <w:r>
        <w:rPr>
          <w:rFonts w:ascii="Times New Roman;sans-serif" w:hAnsi="Times New Roman;sans-serif"/>
          <w:b w:val="false"/>
          <w:color w:val="231F20"/>
          <w:sz w:val="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government closures of banks and liquidity concerns at other financial institutions, interest rate changes, global conflicts or other geopolitical events, or investor acceptance of our business model. These factors may </w:t>
      </w:r>
      <w:r>
        <w:rPr>
          <w:rFonts w:ascii="Times New Roman;sans-serif" w:hAnsi="Times New Roman;sans-serif"/>
          <w:b w:val="false"/>
          <w:color w:val="000000"/>
          <w:sz w:val="20"/>
        </w:rPr>
        <w:t>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realize the anticipated benefits of our agreement with Aston Martin.</w:t>
      </w:r>
    </w:p>
    <w:p>
      <w:pPr>
        <w:pStyle w:val="TextBody"/>
        <w:bidi w:val="0"/>
        <w:spacing w:lineRule="auto" w:line="288" w:before="240" w:after="283"/>
        <w:jc w:val="left"/>
        <w:rPr/>
      </w:pPr>
      <w:r>
        <w:rPr>
          <w:rFonts w:ascii="Times New Roman;sans-serif" w:hAnsi="Times New Roman;sans-serif"/>
          <w:b w:val="false"/>
          <w:color w:val="000000"/>
          <w:sz w:val="20"/>
        </w:rPr>
        <w:t>In June 2023, we entered into an agreement (the “Implementation Agreement”) with Aston Martin Lagonda Global Holdings plc (together with its subsidiaries,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electric vehicle chassis, and supply powertrain and battery components to Aston Martin (collectively, the “Strategic Technology Arrangement”).</w:t>
      </w:r>
      <w:r>
        <w:rPr>
          <w:color w:val="000000"/>
        </w:rPr>
        <w:t xml:space="preserve"> </w:t>
      </w:r>
      <w:r>
        <w:rPr>
          <w:rFonts w:ascii="Times New Roman;sans-serif" w:hAnsi="Times New Roman;sans-serif"/>
          <w:b w:val="false"/>
          <w:color w:val="000000"/>
          <w:sz w:val="20"/>
        </w:rPr>
        <w:t>See Item 2. Management’s Discussion and Analysis of Financial Condition and Results of Operations for more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realize the anticipated benefits of the Strategic Technology Arrangement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Any such delay or failure for any reason, including for reasons beyond our control, may have an adverse effect on our brand and reputation, and our business, prospects,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debt such as the 2026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ASU 2020-06, we accounted for the issuance of the 2026 Notes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shares underlying the 2026 Notes will be reflected in our diluted earnings per share using the “if converted” method, in accordance with ASU 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our current and future debt and potential payment obligations in certain circumstances under the terms of our Redeemable Convertible Preferred Stock may require a significant amount of cash, and we may not have sufficient cash flow from our business to pay our indebtedness or satisfy our payment obligations.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we issued $2.0 billion principal amount of 2026 Notes and have entered into several credit facilities in 2022. See Note 6 “Debt” to the condensed consolidated financial statements included elsewhere in this Quarterly Report for further information on our outstanding debt obligations. Our ability to make scheduled payments of the principal of, to pay interest on or to refinance our indebtedness from time-to-time depends on our future performance, which is subject to economic, financial, competitive and other factors beyond our control. Our business may not generate cash flow from operations in the future sufficient to service our debt, our obligations under the 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Our ability to refinance any current or future indebtedness or preferred stock will 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any of these activities or engage in these activities on desirable terms, which could result in a default on our debt obligations. In addition, our existing debt agreements contain, and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indebtedness and our obligations under our Redeemable Convertible Preferred Stock, combined with our other existing and future financial obligations and contractual commitments, could have other important consequences. For example, it could:</w:t>
      </w:r>
    </w:p>
    <w:p>
      <w:pPr>
        <w:pStyle w:val="TextBody"/>
        <w:bidi w:val="0"/>
        <w:spacing w:lineRule="auto" w:line="288" w:before="120" w:after="283"/>
        <w:ind w:left="0" w:right="0" w:hanging="360"/>
        <w:jc w:val="left"/>
        <w:rPr>
          <w:color w:val="231F20"/>
        </w:rPr>
      </w:pPr>
      <w:r>
        <w:rPr>
          <w:color w:val="231F20"/>
        </w:rPr>
        <w:t>•    </w:t>
      </w:r>
      <w:r>
        <w:rPr>
          <w:rFonts w:ascii="Times New Roman;sans-serif" w:hAnsi="Times New Roman;sans-serif"/>
          <w:b w:val="false"/>
          <w:color w:val="231F20"/>
          <w:sz w:val="20"/>
        </w:rPr>
        <w:t>make us more vulnerable to adverse changes in general U.S. and worldwide economic, industry and competitive conditions and adverse changes in government regulation;</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flexibility in planning for, or reacting to, changes in our business and our industry;</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place us at a disadvantage compared to our competitors who have less debt or other obligations;</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limit our ability to borrow or raise additional amounts to fund acquisitions, for working capital and for other general corporate purposes; and</w:t>
      </w:r>
    </w:p>
    <w:p>
      <w:pPr>
        <w:pStyle w:val="TextBody"/>
        <w:bidi w:val="0"/>
        <w:spacing w:lineRule="auto" w:line="288" w:before="120" w:after="283"/>
        <w:ind w:left="0" w:right="0" w:hanging="360"/>
        <w:jc w:val="left"/>
        <w:rPr>
          <w:color w:val="000000"/>
        </w:rPr>
      </w:pPr>
      <w:r>
        <w:rPr>
          <w:color w:val="000000"/>
        </w:rPr>
        <w:t>•    </w:t>
      </w:r>
      <w:r>
        <w:rPr>
          <w:rFonts w:ascii="Times New Roman;sans-serif" w:hAnsi="Times New Roman;sans-serif"/>
          <w:b w:val="false"/>
          <w:color w:val="000000"/>
          <w:sz w:val="20"/>
        </w:rPr>
        <w:t>make an acquisition of our company less attractive or more difficult.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SIDF Loan Agreement, the Amended GIB Facility Agreement, the ABL Credit Facility, and the DDTL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pStyle w:val="TextBody"/>
        <w:bidi w:val="0"/>
        <w:spacing w:lineRule="auto" w:line="288" w:before="240" w:after="283"/>
        <w:jc w:val="left"/>
        <w:rPr/>
      </w:pPr>
      <w:r>
        <w:rPr>
          <w:rFonts w:ascii="Times New Roman;sans-serif" w:hAnsi="Times New Roman;sans-serif"/>
          <w:b w:val="false"/>
          <w:color w:val="000000"/>
          <w:sz w:val="20"/>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 See “—</w:t>
      </w:r>
      <w:r>
        <w:rPr>
          <w:rFonts w:ascii="Times New Roman;sans-serif" w:hAnsi="Times New Roman;sans-serif"/>
          <w:b w:val="false"/>
          <w:i/>
          <w:color w:val="000000"/>
          <w:sz w:val="20"/>
        </w:rPr>
        <w:t>We may be unable to raise the funds necessary to pay the cash amounts due upon mandatory conversion, redeem our Redeemable</w:t>
      </w:r>
      <w:r>
        <w:rPr>
          <w:color w:val="000000"/>
        </w:rPr>
        <w:t xml:space="preserve"> </w:t>
      </w:r>
      <w:r>
        <w:rPr>
          <w:rFonts w:ascii="Times New Roman;sans-serif" w:hAnsi="Times New Roman;sans-serif"/>
          <w:b w:val="false"/>
          <w:i/>
          <w:color w:val="000000"/>
          <w:sz w:val="20"/>
        </w:rPr>
        <w:t>Convertible Preferred Stock or repurchase the Redeemable</w:t>
      </w:r>
      <w:r>
        <w:rPr>
          <w:color w:val="000000"/>
        </w:rPr>
        <w:t xml:space="preserve"> </w:t>
      </w:r>
      <w:r>
        <w:rPr>
          <w:rFonts w:ascii="Times New Roman;sans-serif" w:hAnsi="Times New Roman;sans-serif"/>
          <w:b w:val="false"/>
          <w:i/>
          <w:color w:val="000000"/>
          <w:sz w:val="20"/>
        </w:rPr>
        <w:t>Convertible Preferred Stock upon a fundamental change</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and may still incur substantially more debt.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have incurred and may be able to incur substantial additional debt in the future, subject to the restrictions contained in our debt instruments, some of which may be secured debt. The ABL Credit Facility and Certificate of Designations imposes certain restrictions on our ability to incur additional debt, but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From and after September 15, 2026, noteholders may convert their 2026 Notes at any time at their election until the close of business on the second scheduled trading day immediately before the maturity date.</w:t>
      </w:r>
      <w:r>
        <w:rPr>
          <w:color w:val="000000"/>
        </w:rPr>
        <w:t xml:space="preserve"> </w:t>
      </w:r>
      <w:r>
        <w:rPr>
          <w:rFonts w:ascii="Times New Roman;sans-serif" w:hAnsi="Times New Roman;sans-serif"/>
          <w:b w:val="false"/>
          <w:color w:val="000000"/>
          <w:sz w:val="20"/>
        </w:rPr>
        <w:t xml:space="preserve">In the event the conditional conversion feature of the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is triggered, holders of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will be entitled under the indenture governing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to convert their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at any time during specified periods at their option. If one or more holders of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 xml:space="preserve">Notes elect to convert such </w:t>
      </w:r>
      <w:r>
        <w:rPr>
          <w:rFonts w:ascii="Times New Roman;sans-serif" w:hAnsi="Times New Roman;sans-serif"/>
          <w:b w:val="false"/>
          <w:color w:val="000000"/>
          <w:sz w:val="20"/>
          <w:shd w:fill="FFFFFF" w:val="clear"/>
        </w:rPr>
        <w:t>2026</w:t>
      </w:r>
      <w:r>
        <w:rPr>
          <w:color w:val="000000"/>
        </w:rPr>
        <w:t xml:space="preserve"> </w:t>
      </w:r>
      <w:r>
        <w:rPr>
          <w:rFonts w:ascii="Times New Roman;sans-serif" w:hAnsi="Times New Roman;sans-serif"/>
          <w:b w:val="false"/>
          <w:color w:val="000000"/>
          <w:sz w:val="20"/>
        </w:rPr>
        <w:t>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raise the funds necessary to repurchase the 2026 Notes for cash following a fundamental change, or to pay any cash amounts due upon conversion, and our other indebtedness may limit our ability to repurchase the 2026 Notes or pay cash upon their conversion.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Noteholders may, subject to a limited exception, require us to repurchase their 2026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such as the covenants in the ABL Credit Facility and Certificate of Designations,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pStyle w:val="TextBody"/>
        <w:bidi w:val="0"/>
        <w:spacing w:lineRule="auto" w:line="288" w:before="240" w:after="283"/>
        <w:jc w:val="left"/>
        <w:rPr/>
      </w:pPr>
      <w:r>
        <w:rPr>
          <w:rFonts w:ascii="Times New Roman;sans-serif" w:hAnsi="Times New Roman;sans-serif"/>
          <w:b/>
          <w:i/>
          <w:color w:val="000000"/>
          <w:sz w:val="20"/>
        </w:rPr>
        <w:t>We may be unable to raise the funds necessary should any cash amounts become payable upon mandatory conversion or in connection with a fundamental change or optional redemption in relation to our Redeemable</w:t>
      </w:r>
      <w:r>
        <w:rPr>
          <w:color w:val="000000"/>
        </w:rPr>
        <w:t xml:space="preserve"> </w:t>
      </w:r>
      <w:r>
        <w:rPr>
          <w:rFonts w:ascii="Times New Roman;sans-serif" w:hAnsi="Times New Roman;sans-serif"/>
          <w:b/>
          <w:i/>
          <w:color w:val="000000"/>
          <w:sz w:val="20"/>
        </w:rPr>
        <w:t>Convertible Preferred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issued 100,000 shares of our Series A Redeemable Convertible Preferred Stock and in August 2024, we issued 75,000 shares of our Series B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above)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w:t>
      </w:r>
    </w:p>
    <w:p>
      <w:pPr>
        <w:pStyle w:val="TextBody"/>
        <w:bidi w:val="0"/>
        <w:spacing w:lineRule="auto" w:line="288" w:before="240" w:after="283"/>
        <w:jc w:val="left"/>
        <w:rPr/>
      </w:pPr>
      <w:r>
        <w:rPr>
          <w:rFonts w:ascii="Times New Roman;sans-serif" w:hAnsi="Times New Roman;sans-serif"/>
          <w:b w:val="false"/>
          <w:color w:val="000000"/>
          <w:sz w:val="20"/>
        </w:rPr>
        <w:t>The holders of our Redeemable Convertible Preferred Stock also have the right to receive certain Minimum Consideration (as defined below)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Times New Roman;sans-serif" w:hAnsi="Times New Roman;sans-serif"/>
          <w:b w:val="false"/>
          <w:i/>
          <w:color w:val="000000"/>
          <w:sz w:val="20"/>
        </w:rPr>
        <w:t>The settlement of our obligations upon conversion, optional redemption or required repurchase of our Redeemable Convertible Preferred Stock is expected to dilute the ownership of common stockholders and the number of shares of common stock issuable upon mandatory conversion, optional redemption or fundamental change is presently indeterminable</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The settlement of our obligations upon conversion, optional redemption or required repurchase of our Series A or Series B Redeemable</w:t>
      </w:r>
      <w:r>
        <w:rPr>
          <w:color w:val="000000"/>
        </w:rPr>
        <w:t xml:space="preserve"> </w:t>
      </w:r>
      <w:r>
        <w:rPr>
          <w:rFonts w:ascii="Times New Roman;sans-serif" w:hAnsi="Times New Roman;sans-serif"/>
          <w:b/>
          <w:i/>
          <w:color w:val="000000"/>
          <w:sz w:val="20"/>
        </w:rPr>
        <w:t>Convertible Preferred Stock is expected to dilute the ownership of common stockholders and the number of shares of common stock issuable upon mandatory conversion, optional redemption or fundamental change is presently indeterminable.</w:t>
      </w:r>
    </w:p>
    <w:p>
      <w:pPr>
        <w:pStyle w:val="TextBody"/>
        <w:bidi w:val="0"/>
        <w:spacing w:lineRule="auto" w:line="288" w:before="240" w:after="283"/>
        <w:jc w:val="left"/>
        <w:rPr/>
      </w:pPr>
      <w:r>
        <w:rPr>
          <w:rFonts w:ascii="Times New Roman;sans-serif" w:hAnsi="Times New Roman;sans-serif"/>
          <w:b w:val="false"/>
          <w:color w:val="000000"/>
          <w:sz w:val="20"/>
        </w:rPr>
        <w:t>The Series A Redeemable Convertible Preferred Stock and the Series B Redeemable Convertible Preferred Stock are convertible into our common stock at an initial conversion price of $3.5952 per share and $4.3799 per share, respectively (the “Conversion Price”). The Conversion Price is subject to customary anti-dilution adjustments, including in the event of any stock split, stock dividend, recapitalization or similar event. Dividends on the Redeemable Convertible Preferred Stock are payable at an initial rate of 9% per annum in the form of dividends compounding on a quarterly basis. Such compounded dividends are not subject to any cap or sunset provisions and can accrue into perpetuity. At issuance, the Series A Redeemable Convertible Preferred Stock was initially convertible into 278.15 million shares of common stock, representing approximately 12% of our then issued and outstanding common stock. Upon entry into the Series B Subscription Agreement, the Series B Redeemable Convertible Preferred Stock is expected to be initially convertible into 171.24 million shares of common stock, representing approximately 7% of our then issued and outstanding common stock. Holders of the Redeemable Convertible Preferred Stock may convert their shares (a) at any time that the closing price per share of our common stock on the trading day immediately preceding the date of the relevant notice of conversion is at least $5.50 (subject to certain adjustments), unless we otherwise consent to such conversion in our sole discretion, or (b) in all events during certain specified periods relating to a fundamental change or optional redemption by us. The number of shares of common stock issuable upon conversion (other than a mandatory conversion) in the future, subject to certain exceptions, is determined by dividing (i) the applicable Accrued Value (as defined in the Certificate of Designations) as of the conversion date by (ii) the applicable Conversion Price in effect as of such conversion date. As such, the number of shares of common stock issuable upon conversion may continue to increase in perpetuity as each of the compounded dividends increases the Accrued Value. Meeting these conversion obligations could impact our financial condition, liquidity, ability to obtain additional financing, or ability to allocate resources to addressing other aspects of our business including addressing the interests of the holders of our common stock. Except in the case of a mandatory conversion for which we elect (or are required) to satisfy our conversion obligation in cash (as further described under “—</w:t>
      </w:r>
      <w:r>
        <w:rPr>
          <w:rFonts w:ascii="Times New Roman;sans-serif" w:hAnsi="Times New Roman;sans-serif"/>
          <w:b w:val="false"/>
          <w:i/>
          <w:color w:val="000000"/>
          <w:sz w:val="20"/>
        </w:rPr>
        <w:t>We may be unable to raise the funds necessary should any cash amounts become payable upon mandatory conversion or in connection with a fundamental change in relation to our Redeemable</w:t>
      </w:r>
      <w:r>
        <w:rPr>
          <w:color w:val="000000"/>
        </w:rPr>
        <w:t xml:space="preserve"> </w:t>
      </w:r>
      <w:r>
        <w:rPr>
          <w:rFonts w:ascii="Times New Roman;sans-serif" w:hAnsi="Times New Roman;sans-serif"/>
          <w:b w:val="false"/>
          <w:i/>
          <w:color w:val="000000"/>
          <w:sz w:val="20"/>
        </w:rPr>
        <w:t>Convertible Preferred Stock, or to optionally redeem our Redeemable</w:t>
      </w:r>
      <w:r>
        <w:rPr>
          <w:color w:val="000000"/>
        </w:rPr>
        <w:t xml:space="preserve"> </w:t>
      </w:r>
      <w:r>
        <w:rPr>
          <w:rFonts w:ascii="Times New Roman;sans-serif" w:hAnsi="Times New Roman;sans-serif"/>
          <w:b w:val="false"/>
          <w:i/>
          <w:color w:val="000000"/>
          <w:sz w:val="20"/>
        </w:rPr>
        <w:t>Convertible Preferred Stock</w:t>
      </w:r>
      <w:r>
        <w:rPr>
          <w:color w:val="000000"/>
        </w:rPr>
        <w:t>”</w:t>
      </w:r>
      <w:r>
        <w:rPr>
          <w:rFonts w:ascii="Times New Roman;sans-serif" w:hAnsi="Times New Roman;sans-serif"/>
          <w:b w:val="false"/>
          <w:color w:val="000000"/>
          <w:sz w:val="20"/>
        </w:rPr>
        <w:t xml:space="preserve">), any conversion of the Redeemable Convertible Preferred Stock will also increase the number of shares of our common stock available for public trading, which could adversely affect prevailing market prices of our common stock.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holders of the Redeemable Convertible Preferred Stock may also be entitled to receive “Minimum Consideration” in certain situations in the case the Company exercises its rights in respect of a mandatory conversion or optional redemption or in the case of a fundamental change (as defined in the Certificate of Designations). Such Minimum Consideration is determined by multiplying the Accrued Value by the relevant percentage set forth in the Certificate of Designations based on the number of months that have elapsed since the initial issuance of the Redeemable Convertible Preferred Stock. In the event that the Minimum Consideration exceeds the Accrued Value, we would be required to pay or deliver, as the case may be, consideration having a value in excess of Accrued Value in order to redeem or refinance the Redeemable Convertible Preferred Stock. If an event occurs that requires us to deliver Minimum Consideration, the number of shares of common stock issuable to satisfy such obligation is presently indeterminable and, in particular if our stock price is substantially below the initial conversion price, meeting such common stock issuance obligation may result in significant dilution to the common stockholders which could have a material adverse effect on the market prices of our common stock and on our financial condition, liquidity, and ability to obtain additional financing. In addition, the holders of the Redeemable Convertible Preferred Stock may also be entitled to receive Minimum Consideration in the event of our liquidation, dissolution or winding up, which may reduce or eliminate the value of any remaining assets for distribution to common stockholders in such an event.</w:t>
      </w:r>
    </w:p>
    <w:p>
      <w:pPr>
        <w:pStyle w:val="TextBody"/>
        <w:bidi w:val="0"/>
        <w:spacing w:lineRule="auto" w:line="288" w:before="240" w:after="283"/>
        <w:jc w:val="left"/>
        <w:rPr/>
      </w:pPr>
      <w:r>
        <w:rPr>
          <w:rFonts w:ascii="Times New Roman;sans-serif" w:hAnsi="Times New Roman;sans-serif"/>
          <w:b/>
          <w:i/>
          <w:color w:val="000000"/>
          <w:sz w:val="20"/>
        </w:rPr>
        <w:t>The holders of our Redeemable</w:t>
      </w:r>
      <w:r>
        <w:rPr>
          <w:color w:val="000000"/>
        </w:rPr>
        <w:t xml:space="preserve"> </w:t>
      </w:r>
      <w:r>
        <w:rPr>
          <w:rFonts w:ascii="Times New Roman;sans-serif" w:hAnsi="Times New Roman;sans-serif"/>
          <w:b/>
          <w:i/>
          <w:color w:val="000000"/>
          <w:sz w:val="20"/>
        </w:rPr>
        <w:t>Convertible Preferred Stock are entitled to vote on an as-converted to common stock basis and have rights to approve certain actions, which reduces the relative voting power of the holders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long as at least 10% of the aggregate number of shares of the Series A and Series B Redeemable Convertible Preferred Stock originally issued remain outstanding, respectively, and subject to certain other conditions, holders of such Redeemable Convertible Preferred Stock are entitled to a separate class vote with respect to, among other things, amendments to our organizational documents that have an adverse effect on the respective Redeemable Convertible Preferred Stock, authorizations or issuances by us of capital stock that ranks senior or equal to the respective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will comply with certain debt incurrence covenants in our ABL Credit Facility.</w:t>
      </w:r>
    </w:p>
    <w:p>
      <w:pPr>
        <w:pStyle w:val="TextBody"/>
        <w:bidi w:val="0"/>
        <w:spacing w:lineRule="auto" w:line="288" w:before="240" w:after="283"/>
        <w:jc w:val="left"/>
        <w:rPr/>
      </w:pPr>
      <w:r>
        <w:rPr>
          <w:rFonts w:ascii="Times New Roman;sans-serif" w:hAnsi="Times New Roman;sans-serif"/>
          <w:b w:val="false"/>
          <w:color w:val="000000"/>
          <w:sz w:val="20"/>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Times New Roman;sans-serif" w:hAnsi="Times New Roman;sans-serif"/>
          <w:b w:val="false"/>
          <w:i/>
          <w:color w:val="000000"/>
          <w:sz w:val="20"/>
        </w:rPr>
        <w:t>The settlement of our obligations upon conversion, optional redemption or required repurchase of our Redeemable</w:t>
      </w:r>
      <w:r>
        <w:rPr>
          <w:color w:val="000000"/>
        </w:rPr>
        <w:t xml:space="preserve"> </w:t>
      </w:r>
      <w:r>
        <w:rPr>
          <w:rFonts w:ascii="Times New Roman;sans-serif" w:hAnsi="Times New Roman;sans-serif"/>
          <w:b w:val="false"/>
          <w:i/>
          <w:color w:val="000000"/>
          <w:sz w:val="20"/>
        </w:rPr>
        <w:t>Convertible Preferred Stock is expected to dilute the ownership of common stockholders and the number of shares of common stock issuable upon mandatory conversion, optional redemption or fundamental change is presently indeterminable</w:t>
      </w:r>
      <w:r>
        <w:rPr>
          <w:rFonts w:ascii="Times New Roman;sans-serif" w:hAnsi="Times New Roman;sans-serif"/>
          <w:b w:val="false"/>
          <w:color w:val="000000"/>
          <w:sz w:val="20"/>
        </w:rPr>
        <w:t>.” In addition, holders of our Redeemable Convertible Preferred Stock have the right to receive payment in cash upon a mandatory conversion, optional redemption or a fundamental change if certain liquidity conditions are not satisfied. See “—</w:t>
      </w:r>
      <w:r>
        <w:rPr>
          <w:rFonts w:ascii="Times New Roman;sans-serif" w:hAnsi="Times New Roman;sans-serif"/>
          <w:b w:val="false"/>
          <w:i/>
          <w:color w:val="000000"/>
          <w:sz w:val="20"/>
        </w:rPr>
        <w:t>Servicing our current and future debt and potential payment obligations in certain circumstances under our Redeemable</w:t>
      </w:r>
      <w:r>
        <w:rPr>
          <w:color w:val="000000"/>
        </w:rPr>
        <w:t xml:space="preserve"> </w:t>
      </w:r>
      <w:r>
        <w:rPr>
          <w:rFonts w:ascii="Times New Roman;sans-serif" w:hAnsi="Times New Roman;sans-serif"/>
          <w:b w:val="false"/>
          <w:i/>
          <w:color w:val="000000"/>
          <w:sz w:val="20"/>
        </w:rPr>
        <w:t>Convertible Preferred Stock may require a significant amount of cash, and we may not have sufficient cash flow from our business to pay our indebtedness. Our payment obligations under such indebtedness and, if applicable, our Redeemable</w:t>
      </w:r>
      <w:r>
        <w:rPr>
          <w:color w:val="000000"/>
        </w:rPr>
        <w:t xml:space="preserve"> </w:t>
      </w:r>
      <w:r>
        <w:rPr>
          <w:rFonts w:ascii="Times New Roman;sans-serif" w:hAnsi="Times New Roman;sans-serif"/>
          <w:b w:val="false"/>
          <w:i/>
          <w:color w:val="000000"/>
          <w:sz w:val="20"/>
        </w:rPr>
        <w:t>Convertible Preferred Stock may limit the funds available to us, and the terms of our debt agreements may restrict our flexibility in operating our business or otherwise adversely affect our results of operations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We may be unable to raise the funds necessary should any cash amounts become payable upon mandatory conversion or in connection with a fundamental change or optional redemption in relation to our Redeemable</w:t>
      </w:r>
      <w:r>
        <w:rPr>
          <w:color w:val="000000"/>
        </w:rPr>
        <w:t xml:space="preserve"> </w:t>
      </w:r>
      <w:r>
        <w:rPr>
          <w:rFonts w:ascii="Times New Roman;sans-serif" w:hAnsi="Times New Roman;sans-serif"/>
          <w:b w:val="false"/>
          <w:i/>
          <w:color w:val="000000"/>
          <w:sz w:val="20"/>
        </w:rPr>
        <w:t>Convertible Preferred Stock</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unable to draw down the full amounts available under the ABL Credit Facility, the SIDF Loan Agreement, the Amended GIB Facility Agreement or the DDTL Credit Facility.</w:t>
      </w:r>
    </w:p>
    <w:p>
      <w:pPr>
        <w:pStyle w:val="TextBody"/>
        <w:bidi w:val="0"/>
        <w:spacing w:lineRule="auto" w:line="288" w:before="240" w:after="283"/>
        <w:jc w:val="left"/>
        <w:rPr/>
      </w:pPr>
      <w:r>
        <w:rPr>
          <w:rFonts w:ascii="Times New Roman;sans-serif" w:hAnsi="Times New Roman;sans-serif"/>
          <w:b w:val="false"/>
          <w:color w:val="000000"/>
          <w:sz w:val="20"/>
        </w:rPr>
        <w:t>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Amended GIB Facility Agreement are only available for certain specific purposes and subject to conditions on drawdowns. The DDTL Credit Facility provides for a $750.0 million delayed draw term loan credit facility subject to drawdown conditions, including the requirement that there is no availability under the ABL Credit Facility. Any inability to draw down the full amounts committed under these facilities, should the need arise, may have an</w:t>
      </w:r>
      <w:r>
        <w:rPr>
          <w:color w:val="231F20"/>
        </w:rPr>
        <w:t xml:space="preserve"> </w:t>
      </w:r>
      <w:r>
        <w:rPr>
          <w:rFonts w:ascii="Times New Roman;sans-serif" w:hAnsi="Times New Roman;sans-serif"/>
          <w:b w:val="false"/>
          <w:color w:val="231F20"/>
          <w:sz w:val="20"/>
        </w:rPr>
        <w:t>adverse effect on our cash flows and liquidity.</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not be able to identify adequate strategic relationship opportunities or form strategic relationships, in the future.</w:t>
      </w:r>
    </w:p>
    <w:p>
      <w:pPr>
        <w:pStyle w:val="TextBody"/>
        <w:bidi w:val="0"/>
        <w:spacing w:lineRule="auto" w:line="288" w:before="240" w:after="283"/>
        <w:jc w:val="left"/>
        <w:rPr/>
      </w:pPr>
      <w:r>
        <w:rPr>
          <w:rFonts w:ascii="Times New Roman;sans-serif" w:hAnsi="Times New Roman;sans-serif"/>
          <w:b w:val="false"/>
          <w:color w:val="231F20"/>
          <w:sz w:val="20"/>
        </w:rPr>
        <w:t xml:space="preserve">Strategic business relationships are and will continue to be an important factor in the growth and success of our business. From time-to-time, we explore opportunities to enter into strategic relationships, including partnerships with original equipment manufacturers. However, there are no assurances that we will be able to identify or secure suitable business relationship opportunities in the future or that </w:t>
      </w:r>
      <w:r>
        <w:rPr>
          <w:rFonts w:ascii="Times New Roman;sans-serif" w:hAnsi="Times New Roman;sans-serif"/>
          <w:b w:val="false"/>
          <w:color w:val="000000"/>
          <w:sz w:val="20"/>
        </w:rPr>
        <w:t xml:space="preserve">we will be able to maintain such relationships. In addition, </w:t>
      </w:r>
      <w:r>
        <w:rPr>
          <w:rFonts w:ascii="Times New Roman;sans-serif" w:hAnsi="Times New Roman;sans-serif"/>
          <w:b w:val="false"/>
          <w:color w:val="231F20"/>
          <w:sz w:val="20"/>
        </w:rPr>
        <w:t>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electric vehicle charging providers to provide our customers with access to charging infrastructure, and we will rely on ongoing access to such infrastructure to provide our customers with charging solutions. If third-party electric vehicle charging providers terminate their partnerships or otherwise fail to deliver the anticipated benefits of their partnerships, our ability to provide a satisfactory customer experience will be harmed. In addition, although we have agreed to join Tesla’s Supercharger network, there may be delays in making changes to our vehicles or the network necessary for Lucid vehicles to charge at Tesla Superchargers.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acquire other businesses, which could require significant management attention, disrupt our business, dilute stockholder value and adversely affect our results of operations.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financial results may vary significantly from period-to-period due to fluctuations in our production levels, operating costs, product demand and other factors.</w:t>
      </w:r>
    </w:p>
    <w:p>
      <w:pPr>
        <w:pStyle w:val="TextBody"/>
        <w:bidi w:val="0"/>
        <w:spacing w:lineRule="auto" w:line="288" w:before="240" w:after="283"/>
        <w:jc w:val="left"/>
        <w:rPr/>
      </w:pPr>
      <w:r>
        <w:rPr>
          <w:rFonts w:ascii="Times New Roman;sans-serif" w:hAnsi="Times New Roman;sans-serif"/>
          <w:b w:val="false"/>
          <w:color w:val="231F20"/>
          <w:sz w:val="20"/>
        </w:rPr>
        <w:t>Our period-to-period financial results may vary based on our production levels, operating costs and product demand, which we anticipate will fluctuate as we continue to design, develop and manufacture new vehicles (which could also reduce sales of our existing vehicles), increase production capacity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w:t>
      </w:r>
      <w:r>
        <w:rPr>
          <w:rFonts w:ascii="Times New Roman;sans-serif" w:hAnsi="Times New Roman;sans-serif"/>
          <w:b w:val="false"/>
          <w:color w:val="000000"/>
          <w:sz w:val="20"/>
        </w:rPr>
        <w:t>y deliver finished vehicles to customers. Lower production and sales volumes and an inability to fully utilize our purchase commitments with suppliers may result in increased costs and excess inventory as well as potential inventory write-offs. In addition, automotive manufacturer</w:t>
      </w:r>
      <w:r>
        <w:rPr>
          <w:rFonts w:ascii="Times New Roman;sans-serif" w:hAnsi="Times New Roman;sans-serif"/>
          <w:b w:val="false"/>
          <w:color w:val="231F20"/>
          <w:sz w:val="20"/>
        </w:rPr>
        <w:t>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in all of our markets, including price adjustments and/or incentives; changes in interest rates; impairment of long-lived assets; macroeconomic conditions, both nationally and locally; negative publicity relating to our vehicles; changes in consumer preferences and competitive conditions; investment in expansion to new markets; or increase in our sales, service and marketing activities.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Tax</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ability to use net operating loss carryforwards and certain other tax attributes may be limited.</w:t>
      </w:r>
    </w:p>
    <w:p>
      <w:pPr>
        <w:pStyle w:val="TextBody"/>
        <w:bidi w:val="0"/>
        <w:spacing w:lineRule="auto" w:line="288" w:before="240" w:after="283"/>
        <w:jc w:val="left"/>
        <w:rPr/>
      </w:pPr>
      <w:r>
        <w:rPr>
          <w:rFonts w:ascii="Times New Roman;sans-serif" w:hAnsi="Times New Roman;sans-serif"/>
          <w:b w:val="false"/>
          <w:color w:val="231F20"/>
          <w:sz w:val="20"/>
        </w:rPr>
        <w:t>We have accumulated U.S. federal and state net operating loss (“NOL”) carryforwards and research and deve</w:t>
      </w:r>
      <w:r>
        <w:rPr>
          <w:rFonts w:ascii="Times New Roman;sans-serif" w:hAnsi="Times New Roman;sans-serif"/>
          <w:b w:val="false"/>
          <w:color w:val="000000"/>
          <w:sz w:val="20"/>
        </w:rPr>
        <w:t>lopment credits which may be available 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September 30, 2024, we also had U.S. federal research and development credit carryforwards which will begin to expire in 2036 and state research and development credit carryforwards with no expiration. As of September 30, 2024, we maintain a full valuation allowance for our net deferred tax assets.</w:t>
      </w:r>
    </w:p>
    <w:p>
      <w:pPr>
        <w:pStyle w:val="TextBody"/>
        <w:bidi w:val="0"/>
        <w:spacing w:lineRule="auto" w:line="288" w:before="240" w:after="283"/>
        <w:jc w:val="left"/>
        <w:rPr/>
      </w:pPr>
      <w:r>
        <w:rPr>
          <w:rFonts w:ascii="Times New Roman;sans-serif" w:hAnsi="Times New Roman;sans-serif"/>
          <w:b w:val="false"/>
          <w:color w:val="000000"/>
          <w:sz w:val="20"/>
        </w:rPr>
        <w:t xml:space="preserve">Our U.S. federal and state NOL carryforwards and certain tax credits </w:t>
      </w:r>
      <w:r>
        <w:rPr>
          <w:rFonts w:ascii="Times New Roman;sans-serif" w:hAnsi="Times New Roman;sans-serif"/>
          <w:b w:val="false"/>
          <w:color w:val="231F20"/>
          <w:sz w:val="20"/>
        </w:rPr>
        <w:t>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231F20"/>
          <w:sz w:val="20"/>
        </w:rPr>
        <w:t>In general, an “ownership change” will occur if there is a cumulative change in our ownership by “5-percent shareholders” that exceeds 50 percentage poin</w:t>
      </w:r>
      <w:r>
        <w:rPr>
          <w:rFonts w:ascii="Times New Roman;sans-serif" w:hAnsi="Times New Roman;sans-serif"/>
          <w:b w:val="false"/>
          <w:color w:val="000000"/>
          <w:sz w:val="20"/>
        </w:rPr>
        <w:t>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pStyle w:val="TextBody"/>
        <w:bidi w:val="0"/>
        <w:spacing w:lineRule="auto" w:line="288" w:before="240" w:after="283"/>
        <w:jc w:val="left"/>
        <w:rPr/>
      </w:pPr>
      <w:r>
        <w:rPr>
          <w:rFonts w:ascii="Times New Roman;sans-serif" w:hAnsi="Times New Roman;sans-serif"/>
          <w:b w:val="false"/>
          <w:color w:val="000000"/>
          <w:sz w:val="20"/>
        </w:rPr>
        <w:t>We have not yet completed an analysis of whether the busin</w:t>
      </w:r>
      <w:r>
        <w:rPr>
          <w:rFonts w:ascii="Times New Roman;sans-serif" w:hAnsi="Times New Roman;sans-serif"/>
          <w:b w:val="false"/>
          <w:color w:val="231F20"/>
          <w:sz w:val="20"/>
        </w:rPr>
        <w:t>ess combination between the Company and Legacy Lucid also caused an “ownership change.” In addition, future changes in our stock ownership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It is possible that we will not generate taxable income in time to use any of our NOL carryforwards and research and development credits before their expiration.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Unanticipated tax laws or any change in the application of existing tax laws to us or our customers or any change to our corporate structure may adversely impact our profitability and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While these rules do not impact our results of operations in the current year, these could impact our financial results in future periods.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Our warrants are accounted for as liabilities and the changes in value of our warrants could have a material effect on our financial results.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Public Company Requirements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requirements of being a public company may strain our resources and distract our management, which could make it difficult to manage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TextBody"/>
        <w:bidi w:val="0"/>
        <w:spacing w:lineRule="auto" w:line="288" w:before="240" w:after="283"/>
        <w:jc w:val="left"/>
        <w:rPr/>
      </w:pPr>
      <w:r>
        <w:rPr>
          <w:rFonts w:ascii="Times New Roman;sans-serif" w:hAnsi="Times New Roman;sans-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ans-serif" w:hAnsi="Times New Roman;sans-serif"/>
          <w:b w:val="false"/>
          <w:color w:val="000000"/>
          <w:sz w:val="20"/>
          <w:shd w:fill="FFFFFF" w:val="clear"/>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pPr>
      <w:r>
        <w:rPr>
          <w:rFonts w:ascii="Times New Roman;sans-serif" w:hAnsi="Times New Roman;sans-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ans-serif" w:hAnsi="Times New Roman;sans-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ans-serif" w:hAnsi="Times New Roman;sans-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report any control deficiencies that constitute a “material weakness” in our internal control over financial reporting. We cannot guarantee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We may be required to take write-downs or write-offs, restructuring and impairment or other charges that could have a significant negative effect on our financial condition, results of operations and stock price, which could cause our stockholders to lose some or all of their investment.</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 may be required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Risks Related to Our Common Stock</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price of our common stock has been, and may continue to be, volatile, and this volatility may negatively impact the trading price of our common stock and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stockholders’ investment in our securities and our securities may trade at prices significantly below the price stockholders paid for them. In such circumstances, the trading price of our securities may not recover and may experience a further decline.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Factors affecting the trading price of our securities may include: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market conditions in the broader stock market in general, or in our industry in particular;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fluctuations in our quarterly financial or operating results or the quarterly financial or operating results of companies perceived to be similar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the market’s expectations about our operating results;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our press releases, other public announcements and filings with the SEC;</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public’s reaction to financial projections and any other guidance or metrics that we may publicly disclose from time-to-time;</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speculation in the press or investment community;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actual or anticipated developments in our business, competitors’ businesses or the competitive landscape generally;</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operating results failing to meet the expectation of securities analysts or investors in a particular period;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timing of the achievement of objectives under our business plan and the timing and amount of costs we incur in connection therewith;</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financial estimates and recommendations by securities analysts concerning us or the market in general;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operating and stock price performance of other companies that investors deem comparable to ours;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commencement of, or involvement in, litigation or investigations involving us;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changes in our capital structure, such as future issuances of securities or the incurrence of additional debt;</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the volume of our common stock available for public sale, including as a result of conversion of our 2026 Notes or our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Convertible Preferred Stock;</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 xml:space="preserve">any major change in our Board </w:t>
      </w:r>
      <w:r>
        <w:rPr>
          <w:rFonts w:ascii="Times New Roman;sans-serif" w:hAnsi="Times New Roman;sans-serif"/>
          <w:b w:val="false"/>
          <w:color w:val="000000"/>
          <w:sz w:val="20"/>
        </w:rPr>
        <w:t>or management;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substantial amounts of our common stock by our directors, officers or significant stockholders or the perception that such sales could occur;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and political conditions, such as recessions, interest rates, inflation, government closures of banks and liquidity concerns at other financial institutions, changes in diplomatic and trade relationships, fluctuations in foreign currency exchange rates, acts of war or terrorism, and natural disasters;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other risk factors listed in this section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0"/>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global conflicts and other geopolitical events, natural disasters, and any other global pa</w:t>
      </w:r>
      <w:r>
        <w:rPr>
          <w:rFonts w:ascii="Times New Roman;sans-serif" w:hAnsi="Times New Roman;sans-serif"/>
          <w:b w:val="false"/>
          <w:color w:val="231F20"/>
          <w:sz w:val="20"/>
        </w:rPr>
        <w:t xml:space="preserve">ndemics, as well as general economic, political and market conditions such as recessions, inflation, </w:t>
      </w:r>
      <w:r>
        <w:rPr>
          <w:rFonts w:ascii="Times New Roman;sans-serif" w:hAnsi="Times New Roman;sans-serif"/>
          <w:b w:val="false"/>
          <w:color w:val="000000"/>
          <w:sz w:val="20"/>
        </w:rPr>
        <w:t xml:space="preserve">government closures of banks and liquidity concerns at other financial institutions, </w:t>
      </w:r>
      <w:r>
        <w:rPr>
          <w:rFonts w:ascii="Times New Roman;sans-serif" w:hAnsi="Times New Roman;sans-serif"/>
          <w:b w:val="false"/>
          <w:color w:val="231F20"/>
          <w:sz w:val="20"/>
        </w:rPr>
        <w:t>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Furthermore, the stock markets in general, and the markets for technology and electric vehicle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The issuance of additional shares of our common stock or other equity or equity-linked securities, or sales of a significant portion of our common stock, could depress the market price of our common stock.</w:t>
      </w:r>
    </w:p>
    <w:p>
      <w:pPr>
        <w:pStyle w:val="TextBody"/>
        <w:bidi w:val="0"/>
        <w:spacing w:lineRule="auto" w:line="288" w:before="240" w:after="283"/>
        <w:jc w:val="left"/>
        <w:rPr/>
      </w:pPr>
      <w:r>
        <w:rPr>
          <w:rFonts w:ascii="Times New Roman;sans-serif" w:hAnsi="Times New Roman;sans-serif"/>
          <w:b w:val="false"/>
          <w:color w:val="231F20"/>
          <w:sz w:val="20"/>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and</w:t>
      </w:r>
      <w:r>
        <w:rPr>
          <w:rFonts w:ascii="Times New Roman;sans-serif" w:hAnsi="Times New Roman;sans-serif"/>
          <w:b w:val="false"/>
          <w:color w:val="000000"/>
          <w:sz w:val="20"/>
        </w:rPr>
        <w:t>/or the conversion of our 2026 Notes or of our Redeemable Convertible Preferred Stock would result in additional dilution to holders of our common stock. Similarly, the redemption or repurchase of our Redeemable Convertible Preferred Stock may result in additional dilution to holders of our common stock if, under the terms of our Redeemable Convertible Preferred Stock, we are then permitted, and elect, to satisfy our obligations in respect thereof by delivery of our common stock. In the future, we may issue additional shares of our common stock, or securities convertible into or exercisable for common stock, in</w:t>
      </w:r>
      <w:r>
        <w:rPr>
          <w:color w:val="231F20"/>
        </w:rPr>
        <w:t xml:space="preserve"> </w:t>
      </w:r>
      <w:r>
        <w:rPr>
          <w:rFonts w:ascii="Times New Roman;sans-serif" w:hAnsi="Times New Roman;sans-serif"/>
          <w:b w:val="false"/>
          <w:color w:val="231F20"/>
          <w:sz w:val="20"/>
        </w:rPr>
        <w:t>connection with generating additional capital, future acquisitions, repayment of outstanding indebtedness, under our stock incentive plan, or for other reasons.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pStyle w:val="TextBody"/>
        <w:bidi w:val="0"/>
        <w:spacing w:lineRule="auto" w:line="288" w:before="240" w:after="283"/>
        <w:jc w:val="left"/>
        <w:rPr/>
      </w:pPr>
      <w:r>
        <w:rPr>
          <w:rFonts w:ascii="Times New Roman;sans-serif" w:hAnsi="Times New Roman;sans-serif"/>
          <w:b w:val="false"/>
          <w:color w:val="231F20"/>
          <w:sz w:val="20"/>
        </w:rPr>
        <w:t xml:space="preserve">In addition, pursuant to the Investor Rights Agreement, Ayar, and certain other parties thereto are entitled to, among other things, certain registration rights, including demand, </w:t>
      </w:r>
      <w:r>
        <w:rPr>
          <w:rFonts w:ascii="Times New Roman;sans-serif" w:hAnsi="Times New Roman;sans-serif"/>
          <w:b w:val="false"/>
          <w:color w:val="000000"/>
          <w:sz w:val="20"/>
        </w:rPr>
        <w:t>piggy-back and shelf registration rights with respect to its shares of common stock (including shares of common stock underlying the Redeemable Convertible Preferred Stock held by Ayar) and Ayar’s shares of the Redeemable Convertible Preferred Stock. If either pursuant to any registration statement filed pursuant to the Investor Rights Agreement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Series A Subscription Agreement and the Series B Subscription Agreement, Ayar has agreed to restrictions on the sale or transfer of shares of Redeemable Convertible Preferred Stock or any shares of common stock issued pursuant to the terms thereof held by it for a period of twelve months following the closing of the transaction. In addition, pursuant to the 2024 Subscription Agreement, Ayar has agreed to restrictions on the sale or transfer of shares of our common stock for a period of 120 days after the closing of the transaction. However, following the expiration of the respective lock-up period, Ayar will not be restricted from selling applicable securities, other than by applicable securities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We are a “controlled company” withi</w:t>
      </w:r>
      <w:r>
        <w:rPr>
          <w:rFonts w:ascii="Times New Roman;sans-serif" w:hAnsi="Times New Roman;sans-serif"/>
          <w:b/>
          <w:i/>
          <w:color w:val="231F20"/>
          <w:sz w:val="20"/>
        </w:rPr>
        <w:t>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bidi w:val="0"/>
        <w:spacing w:lineRule="auto" w:line="288" w:before="240" w:after="283"/>
        <w:jc w:val="left"/>
        <w:rPr/>
      </w:pPr>
      <w:r>
        <w:rPr>
          <w:rFonts w:ascii="Times New Roman;sans-serif" w:hAnsi="Times New Roman;sans-serif"/>
          <w:b w:val="false"/>
          <w:color w:val="231F20"/>
          <w:sz w:val="20"/>
        </w:rPr>
        <w:t>As of September 30, 2024, PIF, both directly and indirectly through A</w:t>
      </w:r>
      <w:r>
        <w:rPr>
          <w:rFonts w:ascii="Times New Roman;sans-serif" w:hAnsi="Times New Roman;sans-serif"/>
          <w:b w:val="false"/>
          <w:color w:val="000000"/>
          <w:sz w:val="20"/>
        </w:rPr>
        <w:t>yar, held over 50% of t</w:t>
      </w:r>
      <w:r>
        <w:rPr>
          <w:rFonts w:ascii="Times New Roman;sans-serif" w:hAnsi="Times New Roman;sans-serif"/>
          <w:b w:val="false"/>
          <w:color w:val="231F20"/>
          <w:sz w:val="20"/>
        </w:rPr>
        <w:t>he voting power for the election of our directors</w:t>
      </w:r>
      <w:r>
        <w:rPr>
          <w:rFonts w:ascii="Times New Roman;sans-serif" w:hAnsi="Times New Roman;sans-serif"/>
          <w:b w:val="false"/>
          <w:color w:val="000000"/>
          <w:sz w:val="20"/>
        </w:rPr>
        <w:t>. As a result, we are a “controlled company” within the meaning of the Nasdaq rules, and as a result, we qualify for exemptions from ce</w:t>
      </w:r>
      <w:r>
        <w:rPr>
          <w:rFonts w:ascii="Times New Roman;sans-serif" w:hAnsi="Times New Roman;sans-serif"/>
          <w:b w:val="false"/>
          <w:color w:val="231F20"/>
          <w:sz w:val="20"/>
        </w:rPr>
        <w:t xml:space="preserv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w:t>
      </w:r>
      <w:r>
        <w:rPr>
          <w:rFonts w:ascii="Times New Roman;sans-serif" w:hAnsi="Times New Roman;sans-serif"/>
          <w:b w:val="false"/>
          <w:color w:val="000000"/>
          <w:sz w:val="20"/>
        </w:rPr>
        <w:t>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This concentration of ownership and voting power allows Ayar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w:t>
      </w:r>
    </w:p>
    <w:p>
      <w:pPr>
        <w:pStyle w:val="TextBody"/>
        <w:bidi w:val="0"/>
        <w:spacing w:lineRule="auto" w:line="288" w:before="240" w:after="283"/>
        <w:jc w:val="left"/>
        <w:rPr/>
      </w:pPr>
      <w:r>
        <w:rPr>
          <w:rFonts w:ascii="Times New Roman;sans-serif" w:hAnsi="Times New Roman;sans-serif"/>
          <w:b w:val="false"/>
          <w:color w:val="000000"/>
          <w:sz w:val="20"/>
        </w:rPr>
        <w:t>The interests of Ayar may differ from the interests of our other stockholders and, as such, Ayar’s voting power and influence over us may decrease the relative interests of our other stockholders or of the Company. Such concentration of voting power could also hav</w:t>
      </w:r>
      <w:r>
        <w:rPr>
          <w:rFonts w:ascii="Times New Roman;sans-serif" w:hAnsi="Times New Roman;sans-serif"/>
          <w:b w:val="false"/>
          <w:color w:val="231F20"/>
          <w:sz w:val="20"/>
        </w:rPr>
        <w:t>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PIF and Ayar beneficially own a significant equity interest in us and may take actions that conflict with other stockholders’ interests.</w:t>
      </w:r>
    </w:p>
    <w:p>
      <w:pPr>
        <w:pStyle w:val="TextBody"/>
        <w:bidi w:val="0"/>
        <w:spacing w:lineRule="auto" w:line="288" w:before="240" w:after="283"/>
        <w:jc w:val="left"/>
        <w:rPr/>
      </w:pPr>
      <w:r>
        <w:rPr>
          <w:rFonts w:ascii="Times New Roman;sans-serif" w:hAnsi="Times New Roman;sans-serif"/>
          <w:b w:val="false"/>
          <w:color w:val="231F20"/>
          <w:sz w:val="20"/>
        </w:rPr>
        <w:t>The interests of PIF and Ayar may not align with our interests and the interests of our other stockholders or securityholders. PIF and Ayar are each in the business of making investments in companies and may acquire and hold interests in businesses that compete directly or indirectly with us. PIF and Ayar and their respective affiliates, may also pursue acquisition opportunities that may be c</w:t>
      </w:r>
      <w:r>
        <w:rPr>
          <w:rFonts w:ascii="Times New Roman;sans-serif" w:hAnsi="Times New Roman;sans-serif"/>
          <w:b w:val="false"/>
          <w:color w:val="000000"/>
          <w:sz w:val="20"/>
        </w:rPr>
        <w:t>omplementary to our business and, as a result, those acquisition opportunities may not be available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do not anticipate paying any cash dividends for the foreseeable future.</w:t>
      </w:r>
    </w:p>
    <w:p>
      <w:pPr>
        <w:pStyle w:val="TextBody"/>
        <w:bidi w:val="0"/>
        <w:spacing w:lineRule="auto" w:line="288" w:before="240" w:after="283"/>
        <w:jc w:val="left"/>
        <w:rPr/>
      </w:pPr>
      <w:r>
        <w:rPr>
          <w:rFonts w:ascii="Times New Roman;sans-serif" w:hAnsi="Times New Roman;sans-serif"/>
          <w:b w:val="false"/>
          <w:color w:val="231F20"/>
          <w:sz w:val="20"/>
        </w:rPr>
        <w:t xml:space="preserve">We have never declared or paid cash dividends on our capital stock, and we do not anticipate paying any cash dividends in the foreseeable future. In addition, the ABL Credit Facility, the DDTL Credit Facility and our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Convertible Preferred Stock limits our and certain of our subsidiaries’ ability to pay cash dividends. We currently intend to retain our future earnings, if any, for the foreseeable future, to fund the development and growth of our business.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stockholders’ only source of gain on an investment in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There is no guarantee that an active and liquid public market for our securities will be sustained.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 liquid trading market for our common stock is not sustained: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liquidate their investment in shares of our common stock;</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holders of our common stock may not be able to resell their shares of our common stock at favorable prices, or at all;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market price of shares of our common stock may experience significant price volatility;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there may be less efficiency in carrying out purchase and sale orders with respect to our common stock.</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Our stockholders may be unable to sell their securities unless a market can be established or sustained.</w:t>
      </w:r>
    </w:p>
    <w:p>
      <w:pPr>
        <w:pStyle w:val="TextBody"/>
        <w:bidi w:val="0"/>
        <w:spacing w:lineRule="auto" w:line="288" w:before="240" w:after="283"/>
        <w:jc w:val="left"/>
        <w:rPr/>
      </w:pPr>
      <w:r>
        <w:rPr>
          <w:rFonts w:ascii="Times New Roman;sans-serif" w:hAnsi="Times New Roman;sans-serif"/>
          <w:b/>
          <w:i/>
          <w:color w:val="00000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sans-serif" w:hAnsi="Times New Roman;sans-serif"/>
          <w:b/>
          <w:i/>
          <w:color w:val="231F20"/>
          <w:sz w:val="20"/>
        </w:rPr>
        <w:t>or disputes with us or with our directors, officers or employees and may discourage stockholders from bringing such claims.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derivative action or proceeding brought on our behalf;</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of breach of a fiduciary duty owed by any of our directors, officers or employees to us or our stockholders;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any action asserting a claim against us or any of our directors or officers or other employees governed by the internal affairs doctrine.</w:t>
      </w:r>
    </w:p>
    <w:p>
      <w:pPr>
        <w:pStyle w:val="TextBody"/>
        <w:bidi w:val="0"/>
        <w:spacing w:lineRule="auto" w:line="288" w:before="240" w:after="283"/>
        <w:jc w:val="left"/>
        <w:rPr/>
      </w:pPr>
      <w:r>
        <w:rPr>
          <w:rFonts w:ascii="Times New Roman;sans-serif" w:hAnsi="Times New Roman;sans-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w:t>
      </w:r>
      <w:r>
        <w:rPr>
          <w:color w:val="000000"/>
        </w:rPr>
        <w:t xml:space="preserve"> </w:t>
      </w:r>
      <w:r>
        <w:rPr>
          <w:rFonts w:ascii="Times New Roman;sans-serif" w:hAnsi="Times New Roman;sans-serif"/>
          <w:b w:val="false"/>
          <w:color w:val="231F20"/>
          <w:sz w:val="20"/>
        </w:rPr>
        <w:t>be no assurance that such provisions will be enforced by a court in those other jurisdictions.</w:t>
      </w:r>
    </w:p>
    <w:p>
      <w:pPr>
        <w:pStyle w:val="TextBody"/>
        <w:bidi w:val="0"/>
        <w:spacing w:lineRule="auto" w:line="288" w:before="240" w:after="283"/>
        <w:jc w:val="left"/>
        <w:rPr/>
      </w:pPr>
      <w:r>
        <w:rPr>
          <w:rFonts w:ascii="Times New Roman;sans-serif" w:hAnsi="Times New Roman;sans-serif"/>
          <w:b/>
          <w:i/>
          <w:color w:val="231F20"/>
          <w:sz w:val="20"/>
        </w:rPr>
        <w:t xml:space="preserve">Some provisions of Delaware law, our current certificate of incorporation and our current bylaws, our Certificate of Designations and the indenture for the 2026 Notes may deter third parties from acquiring us and diminish the value of our common stock, the 2026 Notes and the </w:t>
      </w:r>
      <w:r>
        <w:rPr>
          <w:rFonts w:ascii="Times New Roman;sans-serif" w:hAnsi="Times New Roman;sans-serif"/>
          <w:b/>
          <w:i/>
          <w:color w:val="000000"/>
          <w:sz w:val="20"/>
        </w:rPr>
        <w:t>Redeemable</w:t>
      </w:r>
      <w:r>
        <w:rPr>
          <w:color w:val="000000"/>
        </w:rPr>
        <w:t xml:space="preserve"> </w:t>
      </w:r>
      <w:r>
        <w:rPr>
          <w:rFonts w:ascii="Times New Roman;sans-serif" w:hAnsi="Times New Roman;sans-serif"/>
          <w:b/>
          <w:i/>
          <w:color w:val="231F20"/>
          <w:sz w:val="20"/>
        </w:rPr>
        <w:t>Convertible Preferred Stock.</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Our current certificate of incorporation and our current bylaws provide for, among other things: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subject to the Investor Rights Agreement, advance notice for nominations of directors by stockholders and for stockholders to include matters to be considered at stockholder meetings;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certain limitations on convening special stockholder meetings.</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prior to such time, the Board approved either the business combination or the transaction that resulted in the stockholder becoming an interested stockholder;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TextBody"/>
        <w:bidi w:val="0"/>
        <w:spacing w:lineRule="auto" w:line="288" w:before="24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240" w:after="283"/>
        <w:jc w:val="left"/>
        <w:rPr/>
      </w:pPr>
      <w:r>
        <w:rPr>
          <w:rFonts w:ascii="Times New Roman;sans-serif" w:hAnsi="Times New Roman;sans-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w:t>
      </w:r>
      <w:r>
        <w:rPr>
          <w:rFonts w:ascii="Times New Roman;sans-serif" w:hAnsi="Times New Roman;sans-serif"/>
          <w:b w:val="false"/>
          <w:color w:val="000000"/>
          <w:sz w:val="20"/>
        </w:rPr>
        <w:t>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TextBody"/>
        <w:bidi w:val="0"/>
        <w:spacing w:lineRule="auto" w:line="288" w:before="240" w:after="283"/>
        <w:jc w:val="left"/>
        <w:rPr/>
      </w:pPr>
      <w:r>
        <w:rPr>
          <w:rFonts w:ascii="Times New Roman;sans-serif" w:hAnsi="Times New Roman;sans-serif"/>
          <w:b w:val="false"/>
          <w:color w:val="000000"/>
          <w:sz w:val="20"/>
        </w:rPr>
        <w:t>In addition, certain terms of our Redeemable Convertible Preferred Stock and the 2026 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“Risks Related to Financing and Strategic Transactions—</w:t>
      </w:r>
      <w:r>
        <w:rPr>
          <w:rFonts w:ascii="Times New Roman;sans-serif" w:hAnsi="Times New Roman;sans-serif"/>
          <w:b w:val="false"/>
          <w:i/>
          <w:color w:val="000000"/>
          <w:sz w:val="20"/>
        </w:rPr>
        <w:t>Our Redeemable</w:t>
      </w:r>
      <w:r>
        <w:rPr>
          <w:color w:val="000000"/>
        </w:rPr>
        <w:t xml:space="preserve"> </w:t>
      </w:r>
      <w:r>
        <w:rPr>
          <w:rFonts w:ascii="Times New Roman;sans-serif" w:hAnsi="Times New Roman;sans-serif"/>
          <w:b w:val="false"/>
          <w:i/>
          <w:color w:val="000000"/>
          <w:sz w:val="20"/>
        </w:rPr>
        <w:t>Convertible Preferred Stock has rights, preferences and privileges that are not held by, and are senior to the rights of, our common stockholders</w:t>
      </w:r>
      <w:r>
        <w:rPr>
          <w:rFonts w:ascii="Times New Roman;sans-serif" w:hAnsi="Times New Roman;sans-serif"/>
          <w:b w:val="false"/>
          <w:color w:val="000000"/>
          <w:sz w:val="20"/>
        </w:rPr>
        <w:t>.” Similarly, the indenture governing the 2026 Notes generally requires us, at the option of the holders, to repurchase the 2026 Notes for cash upon the occurrence of a fundamental change and, in certain circumstances, to increase the conversion rate for a holder that converts its 2026 Notes in connection with a make-whole fundamental change, as defined in the indenture for the 2026 Notes. These provisions may make it more costly for a potential acquirer to engage in a business combination transaction with us.</w:t>
      </w:r>
    </w:p>
    <w:p>
      <w:pPr>
        <w:pStyle w:val="TextBody"/>
        <w:bidi w:val="0"/>
        <w:spacing w:lineRule="auto" w:line="288" w:before="240" w:after="283"/>
        <w:jc w:val="left"/>
        <w:rPr/>
      </w:pPr>
      <w:r>
        <w:rPr>
          <w:rFonts w:ascii="Times New Roman;sans-serif" w:hAnsi="Times New Roman;sans-serif"/>
          <w:b w:val="false"/>
          <w:color w:val="000000"/>
          <w:sz w:val="20"/>
        </w:rPr>
        <w:t>These provisions in our current certificate of incorporation, our current bylaws, our Certificate of Designations and the indenture for the 2026 Notes as well as D</w:t>
      </w:r>
      <w:r>
        <w:rPr>
          <w:rFonts w:ascii="Times New Roman;sans-serif" w:hAnsi="Times New Roman;sans-serif"/>
          <w:b w:val="false"/>
          <w:color w:val="231F20"/>
          <w:sz w:val="20"/>
        </w:rPr>
        <w:t xml:space="preserve">elaware law could increase the cost and difficulty of acquiring us or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value of the 2026 Notes or the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 xml:space="preserve">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2026 Notes or the </w:t>
      </w:r>
      <w:r>
        <w:rPr>
          <w:rFonts w:ascii="Times New Roman;sans-serif" w:hAnsi="Times New Roman;sans-serif"/>
          <w:b w:val="false"/>
          <w:color w:val="000000"/>
          <w:sz w:val="20"/>
        </w:rPr>
        <w:t xml:space="preserve">Redeemable </w:t>
      </w:r>
      <w:r>
        <w:rPr>
          <w:rFonts w:ascii="Times New Roman;sans-serif" w:hAnsi="Times New Roman;sans-serif"/>
          <w:b w:val="false"/>
          <w:color w:val="231F20"/>
          <w:sz w:val="20"/>
        </w:rPr>
        <w:t>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Rule 10b5-1 Trading Arrangement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quarter ended September 30, 2024, as such terms are defined under Item 408(a) of Regulation S-K.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Amendments to Panasonic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 2024, the Company entered into amendments (the “Amendments”) to certain battery-supply agreements, dated December 12, 2022, with Panasonic Energy Co., Ltd. and certain of its affiliates. Pursuant to the terms of the Amendments, the Company has reduced its contractual minimum commitment from approximately $4.8 billion to approximately $2.8 billion. The Company’s remaining minimum purchase commitments of an aggregate of approximately $2.8 billion was calculated using the current base prices, which could vary period-to-period primarily as a result of changes in raw material indexes. The foregoing description of the Amendments does not purport to be complete and is qualified in its entirety by reference to the text of the Amendments, which are filed as Exhibit 10.1 and Exhibit 10.2 to this Quarterly Report on Form 10-Q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Exhibits.</w:t>
      </w:r>
    </w:p>
    <w:p>
      <w:pPr>
        <w:pStyle w:val="TextBody"/>
        <w:bidi w:val="0"/>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on the Exhibit Index to this Form 10-Q are filed herewith or incorporated by reference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1983"/>
        <w:gridCol w:w="1834"/>
        <w:gridCol w:w="1838"/>
        <w:gridCol w:w="170"/>
        <w:gridCol w:w="170"/>
        <w:gridCol w:w="171"/>
        <w:gridCol w:w="241"/>
        <w:gridCol w:w="241"/>
        <w:gridCol w:w="242"/>
        <w:gridCol w:w="306"/>
        <w:gridCol w:w="219"/>
        <w:gridCol w:w="221"/>
        <w:gridCol w:w="230"/>
        <w:gridCol w:w="230"/>
        <w:gridCol w:w="231"/>
        <w:gridCol w:w="242"/>
        <w:gridCol w:w="242"/>
        <w:gridCol w:w="348"/>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w:t>
              <w:br/>
              <w:t>Number</w:t>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Filing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Third Amended and Restated Certificate of Incorporation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April 25, 2023</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Second Amended and Restated Bylaws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March 3, 2023</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410q-ex101.htm">
              <w:r>
                <w:rPr>
                  <w:rStyle w:val="InternetLink"/>
                  <w:rFonts w:ascii="Times New Roman;sans-serif" w:hAnsi="Times New Roman;sans-serif"/>
                  <w:b w:val="false"/>
                  <w:color w:val="000080"/>
                  <w:sz w:val="18"/>
                  <w:u w:val="single"/>
                </w:rPr>
                <w:t xml:space="preserve">Production Pricing Agreement, effective as of </w:t>
              </w:r>
            </w:hyperlink>
            <w:hyperlink w:anchor="q3fy2410q-ex101.htm">
              <w:r>
                <w:rPr>
                  <w:rStyle w:val="InternetLink"/>
                  <w:rFonts w:ascii="Times New Roman;sans-serif" w:hAnsi="Times New Roman;sans-serif"/>
                  <w:b w:val="false"/>
                  <w:color w:val="000080"/>
                  <w:sz w:val="18"/>
                  <w:u w:val="single"/>
                </w:rPr>
                <w:t>October</w:t>
              </w:r>
            </w:hyperlink>
            <w:hyperlink w:anchor="q3fy2410q-ex101.htm">
              <w:r>
                <w:rPr>
                  <w:rStyle w:val="InternetLink"/>
                  <w:rFonts w:ascii="Times New Roman;sans-serif" w:hAnsi="Times New Roman;sans-serif"/>
                  <w:b w:val="false"/>
                  <w:color w:val="000080"/>
                  <w:sz w:val="18"/>
                  <w:u w:val="single"/>
                </w:rPr>
                <w:t xml:space="preserve"> 1</w:t>
              </w:r>
            </w:hyperlink>
            <w:hyperlink w:anchor="q3fy2410q-ex101.htm">
              <w:r>
                <w:rPr>
                  <w:rStyle w:val="InternetLink"/>
                  <w:rFonts w:ascii="Times New Roman;sans-serif" w:hAnsi="Times New Roman;sans-serif"/>
                  <w:b w:val="false"/>
                  <w:color w:val="000080"/>
                  <w:sz w:val="18"/>
                  <w:u w:val="single"/>
                </w:rPr>
                <w:t>, 2024, by and between Lucid USA, Inc. and Panasonic Corporation of North America doing business as Panasonic Industrial Devices Sales Company of America</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410q-ex102.htm">
              <w:r>
                <w:rPr>
                  <w:rStyle w:val="InternetLink"/>
                  <w:rFonts w:ascii="Times New Roman;sans-serif" w:hAnsi="Times New Roman;sans-serif"/>
                  <w:b w:val="false"/>
                  <w:color w:val="000080"/>
                  <w:sz w:val="18"/>
                  <w:u w:val="single"/>
                </w:rPr>
                <w:t xml:space="preserve">Production Pricing Agreement, effective as of </w:t>
              </w:r>
            </w:hyperlink>
            <w:hyperlink w:anchor="q3fy2410q-ex102.htm">
              <w:r>
                <w:rPr>
                  <w:rStyle w:val="InternetLink"/>
                  <w:rFonts w:ascii="Times New Roman;sans-serif" w:hAnsi="Times New Roman;sans-serif"/>
                  <w:b w:val="false"/>
                  <w:color w:val="000080"/>
                  <w:sz w:val="18"/>
                  <w:u w:val="single"/>
                </w:rPr>
                <w:t>October</w:t>
              </w:r>
            </w:hyperlink>
            <w:hyperlink w:anchor="q3fy2410q-ex102.htm">
              <w:r>
                <w:rPr>
                  <w:rStyle w:val="InternetLink"/>
                  <w:rFonts w:ascii="Times New Roman;sans-serif" w:hAnsi="Times New Roman;sans-serif"/>
                  <w:b w:val="false"/>
                  <w:color w:val="000080"/>
                  <w:sz w:val="18"/>
                  <w:u w:val="single"/>
                </w:rPr>
                <w:t xml:space="preserve"> 1</w:t>
              </w:r>
            </w:hyperlink>
            <w:hyperlink w:anchor="q3fy2410q-ex102.htm">
              <w:r>
                <w:rPr>
                  <w:rStyle w:val="InternetLink"/>
                  <w:rFonts w:ascii="Times New Roman;sans-serif" w:hAnsi="Times New Roman;sans-serif"/>
                  <w:b w:val="false"/>
                  <w:color w:val="000080"/>
                  <w:sz w:val="18"/>
                  <w:u w:val="single"/>
                </w:rPr>
                <w:t>, 2024, by and between Lucid USA, Inc. and Panasonic Energy Corporation of North America</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Amendment No. 4 to the Investor Rights Agreement, dated August 16, 2024, by and among Lucid Group, Inc., Ayar Third Investment Company and the other parties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August 19, 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Subscription Agreement, dated August 4, 2024, between Lucid Group, Inc. and Ayar Third Investment Company (including form of Certificate of Designations related to the Series B Convertible Preferred Stock and form of Amendment No. 4 to the Investor Rights Agreement by and among Lucid Group, Inc., Ayar Third Investment Company and the other parties thereto)</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August 5, 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Credit Agreement, dated August 4, 2024, by and between Lucid Group, Inc. and Ayar Third Investment Company, as the sole lender and administrative agent.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001-39408</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August 5, 2024</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410q-ex311.htm">
              <w:r>
                <w:rPr>
                  <w:rStyle w:val="InternetLink"/>
                  <w:rFonts w:ascii="Times New Roman;sans-serif" w:hAnsi="Times New Roman;sans-serif"/>
                  <w:b w:val="false"/>
                  <w:color w:val="0000FF"/>
                  <w:sz w:val="18"/>
                  <w:u w:val="single"/>
                </w:rPr>
                <w:t>Certification of Principal Executive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410q-ex312.htm">
              <w:r>
                <w:rPr>
                  <w:rStyle w:val="InternetLink"/>
                  <w:rFonts w:ascii="Times New Roman;sans-serif" w:hAnsi="Times New Roman;sans-serif"/>
                  <w:b w:val="false"/>
                  <w:color w:val="0000FF"/>
                  <w:sz w:val="18"/>
                  <w:u w:val="single"/>
                </w:rPr>
                <w:t>Certification of Principal Financial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410q-ex321.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410q-e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Schema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Labels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this exhibit have been redacted in compliance with Regulation S-K Item 601(b)(10)(iv).</w:t>
      </w:r>
    </w:p>
    <w:p>
      <w:pPr>
        <w:pStyle w:val="TextBody"/>
        <w:bidi w:val="0"/>
        <w:spacing w:before="0" w:after="0"/>
        <w:jc w:val="left"/>
        <w:rPr/>
      </w:pPr>
      <w:r>
        <w:rPr/>
      </w:r>
    </w:p>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662" w:type="dxa"/>
        <w:jc w:val="left"/>
        <w:tblInd w:w="0" w:type="dxa"/>
        <w:tblLayout w:type="fixed"/>
        <w:tblCellMar>
          <w:top w:w="28" w:type="dxa"/>
          <w:left w:w="28" w:type="dxa"/>
          <w:bottom w:w="28" w:type="dxa"/>
          <w:right w:w="28" w:type="dxa"/>
        </w:tblCellMar>
      </w:tblPr>
      <w:tblGrid>
        <w:gridCol w:w="759"/>
        <w:gridCol w:w="668"/>
        <w:gridCol w:w="672"/>
        <w:gridCol w:w="308"/>
        <w:gridCol w:w="308"/>
        <w:gridCol w:w="308"/>
        <w:gridCol w:w="771"/>
        <w:gridCol w:w="771"/>
        <w:gridCol w:w="109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LUCID GROUP,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Certain identified information has been omitted from this document because it is not material and is the type that the Company customarily and actually treats as private or confidential, and has been marked with “[***]” to indicate where omissions have been made.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Production Pricing Agreement (Japan PPA)</w:t>
      </w:r>
    </w:p>
    <w:tbl>
      <w:tblPr>
        <w:tblW w:w="10205" w:type="dxa"/>
        <w:jc w:val="left"/>
        <w:tblInd w:w="0" w:type="dxa"/>
        <w:tblLayout w:type="fixed"/>
        <w:tblCellMar>
          <w:top w:w="28" w:type="dxa"/>
          <w:left w:w="28" w:type="dxa"/>
          <w:bottom w:w="28" w:type="dxa"/>
          <w:right w:w="28" w:type="dxa"/>
        </w:tblCellMar>
      </w:tblPr>
      <w:tblGrid>
        <w:gridCol w:w="1084"/>
        <w:gridCol w:w="590"/>
        <w:gridCol w:w="594"/>
        <w:gridCol w:w="315"/>
        <w:gridCol w:w="315"/>
        <w:gridCol w:w="315"/>
        <w:gridCol w:w="2047"/>
        <w:gridCol w:w="2047"/>
        <w:gridCol w:w="2898"/>
      </w:tblGrid>
      <w:tr>
        <w:trPr/>
        <w:tc>
          <w:tcPr>
            <w:tcW w:w="108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120" w:after="283"/>
              <w:jc w:val="center"/>
              <w:rPr/>
            </w:pPr>
            <w:r>
              <w:rPr>
                <w:rFonts w:ascii="Times New Roman;sans-serif" w:hAnsi="Times New Roman;sans-serif"/>
                <w:b/>
                <w:color w:val="000000"/>
                <w:sz w:val="22"/>
              </w:rPr>
              <w:t>Effective Date</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10/1/2024</w:t>
            </w:r>
          </w:p>
        </w:tc>
      </w:tr>
      <w:tr>
        <w:trPr/>
        <w:tc>
          <w:tcPr>
            <w:tcW w:w="2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Seller Name</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Panasonic Corporation of North America doing business as Panasonic Industrial Devices Sales Company of America (“PIDSA”)</w:t>
            </w:r>
          </w:p>
        </w:tc>
      </w:tr>
      <w:tr>
        <w:trPr/>
        <w:tc>
          <w:tcPr>
            <w:tcW w:w="2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2 Riverfront Plaza, Newark, NJ 07102</w:t>
            </w:r>
          </w:p>
        </w:tc>
      </w:tr>
      <w:tr>
        <w:trPr/>
        <w:tc>
          <w:tcPr>
            <w:tcW w:w="2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Place of Incorporation</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10205" w:type="dxa"/>
            <w:gridSpan w:val="9"/>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Commodity Description</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Battery Cells </w:t>
            </w:r>
          </w:p>
        </w:tc>
      </w:tr>
      <w:tr>
        <w:trPr/>
        <w:tc>
          <w:tcPr>
            <w:tcW w:w="2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Tier 1 or Tier 2</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Tier 1</w:t>
            </w:r>
          </w:p>
        </w:tc>
      </w:tr>
      <w:tr>
        <w:trPr/>
        <w:tc>
          <w:tcPr>
            <w:tcW w:w="2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Supplier Shipping Site Code</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113517</w:t>
            </w:r>
          </w:p>
        </w:tc>
      </w:tr>
      <w:tr>
        <w:trPr/>
        <w:tc>
          <w:tcPr>
            <w:tcW w:w="2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Incoterms</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FCA (Incoterms 2010)</w:t>
            </w:r>
          </w:p>
        </w:tc>
      </w:tr>
      <w:tr>
        <w:trPr/>
        <w:tc>
          <w:tcPr>
            <w:tcW w:w="2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Manufacturing address</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Suminoe plant</w:t>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1-2-63, Hirabayashi-kita, Suminoe-ku, Osaka-shi, Osaka 559-8729, Japan</w:t>
            </w:r>
          </w:p>
        </w:tc>
      </w:tr>
      <w:tr>
        <w:trPr/>
        <w:tc>
          <w:tcPr>
            <w:tcW w:w="2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Ship from address</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color w:val="242424"/>
                <w:shd w:fill="FFFFFF" w:val="clear"/>
              </w:rPr>
            </w:pPr>
            <w:r>
              <w:rPr>
                <w:color w:val="242424"/>
                <w:shd w:fill="FFFFFF" w:val="clear"/>
              </w:rPr>
              <w:t> </w:t>
            </w:r>
            <w:r>
              <w:rPr>
                <w:rFonts w:ascii="Times New Roman;sans-serif" w:hAnsi="Times New Roman;sans-serif"/>
                <w:b w:val="false"/>
                <w:color w:val="242424"/>
                <w:sz w:val="22"/>
                <w:shd w:fill="FFFFFF" w:val="clear"/>
              </w:rPr>
              <w:t>9-10 Minatojima Chuo-ku, Kobe-shi, Hyogo-ken 650-0045, Japan</w:t>
            </w:r>
          </w:p>
          <w:p>
            <w:pPr>
              <w:pStyle w:val="TableContents"/>
              <w:bidi w:val="0"/>
              <w:spacing w:lineRule="auto" w:line="288" w:before="0" w:after="0"/>
              <w:jc w:val="both"/>
              <w:rPr>
                <w:rFonts w:ascii="Times New Roman;sans-serif" w:hAnsi="Times New Roman;sans-serif"/>
                <w:b w:val="false"/>
                <w:color w:val="242424"/>
                <w:sz w:val="22"/>
                <w:shd w:fill="FFFFFF" w:val="clear"/>
              </w:rPr>
            </w:pPr>
            <w:r>
              <w:rPr>
                <w:rFonts w:ascii="Times New Roman;sans-serif" w:hAnsi="Times New Roman;sans-serif"/>
                <w:b w:val="false"/>
                <w:color w:val="242424"/>
                <w:sz w:val="22"/>
                <w:shd w:fill="FFFFFF" w:val="clear"/>
              </w:rPr>
              <w:t>(Kobe Port)</w:t>
            </w:r>
          </w:p>
        </w:tc>
      </w:tr>
      <w:tr>
        <w:trPr/>
        <w:tc>
          <w:tcPr>
            <w:tcW w:w="10205" w:type="dxa"/>
            <w:gridSpan w:val="9"/>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2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Delivery Location</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Lucid USA, Inc.</w:t>
            </w:r>
          </w:p>
        </w:tc>
      </w:tr>
      <w:tr>
        <w:trPr/>
        <w:tc>
          <w:tcPr>
            <w:tcW w:w="22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7937"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Lucid Motors Casa Grande Warehouse, 1185 W. Peters Road, Casa Grande, AZ 85122, USA</w:t>
            </w:r>
          </w:p>
        </w:tc>
      </w:tr>
    </w:tbl>
    <w:tbl>
      <w:tblPr>
        <w:tblW w:w="5710" w:type="dxa"/>
        <w:jc w:val="left"/>
        <w:tblInd w:w="0" w:type="dxa"/>
        <w:tblLayout w:type="fixed"/>
        <w:tblCellMar>
          <w:top w:w="28" w:type="dxa"/>
          <w:left w:w="28" w:type="dxa"/>
          <w:bottom w:w="28" w:type="dxa"/>
          <w:right w:w="28" w:type="dxa"/>
        </w:tblCellMar>
      </w:tblPr>
      <w:tblGrid>
        <w:gridCol w:w="857"/>
        <w:gridCol w:w="755"/>
        <w:gridCol w:w="757"/>
        <w:gridCol w:w="377"/>
        <w:gridCol w:w="377"/>
        <w:gridCol w:w="380"/>
        <w:gridCol w:w="298"/>
        <w:gridCol w:w="298"/>
        <w:gridCol w:w="300"/>
        <w:gridCol w:w="382"/>
        <w:gridCol w:w="382"/>
        <w:gridCol w:w="547"/>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Pricing Validity Period</w:t>
            </w:r>
          </w:p>
        </w:tc>
        <w:tc>
          <w:tcPr>
            <w:tcW w:w="11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10/1/2024</w:t>
            </w:r>
          </w:p>
        </w:tc>
        <w:tc>
          <w:tcPr>
            <w:tcW w:w="8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through</w:t>
            </w:r>
          </w:p>
        </w:tc>
        <w:tc>
          <w:tcPr>
            <w:tcW w:w="131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12/31/2026</w:t>
            </w:r>
          </w:p>
        </w:tc>
      </w:tr>
      <w:tr>
        <w:trPr/>
        <w:tc>
          <w:tcPr>
            <w:tcW w:w="23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Production Volume</w:t>
            </w:r>
          </w:p>
        </w:tc>
        <w:tc>
          <w:tcPr>
            <w:tcW w:w="3341"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60" w:after="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provided in forecast Exhibit C </w:t>
            </w:r>
          </w:p>
        </w:tc>
      </w:tr>
      <w:tr>
        <w:trPr/>
        <w:tc>
          <w:tcPr>
            <w:tcW w:w="23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Payment Terms</w:t>
            </w:r>
          </w:p>
        </w:tc>
        <w:tc>
          <w:tcPr>
            <w:tcW w:w="3341"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lineRule="auto" w:line="288" w:before="120" w:after="120"/>
        <w:ind w:left="0" w:right="0" w:hanging="360"/>
        <w:jc w:val="both"/>
        <w:rPr/>
      </w:pPr>
      <w:r>
        <w:rPr>
          <w:rFonts w:ascii="Times New Roman;sans-serif" w:hAnsi="Times New Roman;sans-serif"/>
          <w:b w:val="false"/>
          <w:color w:val="000000"/>
          <w:sz w:val="22"/>
        </w:rPr>
        <w:t>1.    </w:t>
      </w:r>
      <w:r>
        <w:rPr>
          <w:rFonts w:ascii="Times New Roman;sans-serif" w:hAnsi="Times New Roman;sans-serif"/>
          <w:b w:val="false"/>
          <w:i/>
          <w:color w:val="000000"/>
          <w:sz w:val="22"/>
        </w:rPr>
        <w:t xml:space="preserve">PPA Revision. </w:t>
      </w:r>
      <w:r>
        <w:rPr>
          <w:rFonts w:ascii="Times New Roman;sans-serif" w:hAnsi="Times New Roman;sans-serif"/>
          <w:b w:val="false"/>
          <w:color w:val="000000"/>
          <w:sz w:val="22"/>
        </w:rPr>
        <w:t>This Production Pricing Agreement (“</w:t>
      </w:r>
      <w:r>
        <w:rPr>
          <w:rFonts w:ascii="Times New Roman;sans-serif" w:hAnsi="Times New Roman;sans-serif"/>
          <w:b w:val="false"/>
          <w:color w:val="000000"/>
          <w:sz w:val="22"/>
          <w:u w:val="single"/>
        </w:rPr>
        <w:t>PPA</w:t>
      </w:r>
      <w:r>
        <w:rPr>
          <w:color w:val="000000"/>
        </w:rPr>
        <w:t>”</w:t>
      </w:r>
      <w:r>
        <w:rPr>
          <w:rFonts w:ascii="Times New Roman;sans-serif" w:hAnsi="Times New Roman;sans-serif"/>
          <w:b w:val="false"/>
          <w:color w:val="000000"/>
          <w:sz w:val="22"/>
        </w:rPr>
        <w:t>) is entered into by Lucid USA, Inc. (“</w:t>
      </w:r>
      <w:r>
        <w:rPr>
          <w:rFonts w:ascii="Times New Roman;sans-serif" w:hAnsi="Times New Roman;sans-serif"/>
          <w:b w:val="false"/>
          <w:color w:val="000000"/>
          <w:sz w:val="22"/>
          <w:u w:val="single"/>
        </w:rPr>
        <w:t>Lucid</w:t>
      </w:r>
      <w:r>
        <w:rPr>
          <w:color w:val="000000"/>
        </w:rPr>
        <w:t>”</w:t>
      </w:r>
      <w:r>
        <w:rPr>
          <w:rFonts w:ascii="Times New Roman;sans-serif" w:hAnsi="Times New Roman;sans-serif"/>
          <w:b w:val="false"/>
          <w:color w:val="000000"/>
          <w:sz w:val="22"/>
        </w:rPr>
        <w:t xml:space="preserve">) and PIDSA (identified above) with respect to the goods described in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Goods</w:t>
      </w:r>
      <w:r>
        <w:rPr>
          <w:color w:val="000000"/>
        </w:rPr>
        <w:t>”</w:t>
      </w:r>
      <w:r>
        <w:rPr>
          <w:rFonts w:ascii="Times New Roman;sans-serif" w:hAnsi="Times New Roman;sans-serif"/>
          <w:b w:val="false"/>
          <w:color w:val="000000"/>
          <w:sz w:val="22"/>
        </w:rPr>
        <w:t xml:space="preserve">) . Lucid and PIDSA are each a “Party” and collectively are the “Parties”. The General Terms and Conditions between Panasonic Energy Co., Ltd. and Lucid dated as of </w:t>
      </w:r>
      <w:r>
        <w:rPr>
          <w:rFonts w:ascii="Times New Roman;sans-serif" w:hAnsi="Times New Roman;sans-serif"/>
          <w:b/>
          <w:color w:val="000000"/>
          <w:sz w:val="22"/>
        </w:rPr>
        <w:t>December 1</w:t>
      </w:r>
      <w:r>
        <w:rPr>
          <w:rFonts w:ascii="Times New Roman;sans-serif" w:hAnsi="Times New Roman;sans-serif"/>
          <w:b/>
          <w:color w:val="000000"/>
          <w:sz w:val="14"/>
        </w:rPr>
        <w:t>st</w:t>
      </w:r>
      <w:r>
        <w:rPr>
          <w:rFonts w:ascii="Times New Roman;sans-serif" w:hAnsi="Times New Roman;sans-serif"/>
          <w:b/>
          <w:color w:val="000000"/>
          <w:sz w:val="22"/>
        </w:rPr>
        <w:t>, 2022 (“</w:t>
      </w:r>
      <w:r>
        <w:rPr>
          <w:rFonts w:ascii="Times New Roman;sans-serif" w:hAnsi="Times New Roman;sans-serif"/>
          <w:b w:val="false"/>
          <w:color w:val="000000"/>
          <w:sz w:val="22"/>
          <w:u w:val="single"/>
        </w:rPr>
        <w:t>GTC</w:t>
      </w:r>
      <w:r>
        <w:rPr>
          <w:color w:val="000000"/>
        </w:rPr>
        <w:t>”</w:t>
      </w:r>
      <w:r>
        <w:rPr>
          <w:rFonts w:ascii="Times New Roman;sans-serif" w:hAnsi="Times New Roman;sans-serif"/>
          <w:b w:val="false"/>
          <w:color w:val="000000"/>
          <w:sz w:val="22"/>
        </w:rPr>
        <w:t>) are incorporated by reference into this PPA as an integral part hereof. In case of any inconsistencies between the terms of the GTC and the terms of this PPA, the terms of this PPA shall prevail. PIDSA and Lucid are “</w:t>
      </w:r>
      <w:r>
        <w:rPr>
          <w:rFonts w:ascii="Times New Roman;sans-serif" w:hAnsi="Times New Roman;sans-serif"/>
          <w:b w:val="false"/>
          <w:color w:val="000000"/>
          <w:sz w:val="22"/>
          <w:u w:val="single"/>
        </w:rPr>
        <w:t>Parties</w:t>
      </w:r>
      <w:r>
        <w:rPr>
          <w:color w:val="000000"/>
        </w:rPr>
        <w:t xml:space="preserve">” </w:t>
      </w:r>
      <w:r>
        <w:rPr>
          <w:rFonts w:ascii="Times New Roman;sans-serif" w:hAnsi="Times New Roman;sans-serif"/>
          <w:b w:val="false"/>
          <w:color w:val="000000"/>
          <w:sz w:val="22"/>
        </w:rPr>
        <w:t>and each a “</w:t>
      </w:r>
      <w:r>
        <w:rPr>
          <w:rFonts w:ascii="Times New Roman;sans-serif" w:hAnsi="Times New Roman;sans-serif"/>
          <w:b w:val="false"/>
          <w:color w:val="000000"/>
          <w:sz w:val="22"/>
          <w:u w:val="single"/>
        </w:rPr>
        <w:t>Party</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120"/>
        <w:ind w:left="0" w:right="0" w:hanging="360"/>
        <w:jc w:val="both"/>
        <w:rPr/>
      </w:pPr>
      <w:r>
        <w:rPr>
          <w:rFonts w:ascii="Times New Roman;sans-serif" w:hAnsi="Times New Roman;sans-serif"/>
          <w:b w:val="false"/>
          <w:color w:val="000000"/>
          <w:sz w:val="22"/>
        </w:rPr>
        <w:t>2.    </w:t>
      </w:r>
      <w:r>
        <w:rPr>
          <w:rFonts w:ascii="Times New Roman;sans-serif" w:hAnsi="Times New Roman;sans-serif"/>
          <w:b w:val="false"/>
          <w:i/>
          <w:color w:val="000000"/>
          <w:sz w:val="22"/>
        </w:rPr>
        <w:t>Pricing and Payment Terms</w:t>
      </w:r>
      <w:r>
        <w:rPr>
          <w:rFonts w:ascii="Times New Roman;sans-serif" w:hAnsi="Times New Roman;sans-serif"/>
          <w:b w:val="false"/>
          <w:color w:val="000000"/>
          <w:sz w:val="22"/>
        </w:rPr>
        <w:t xml:space="preserve">. Lucid and PIDSA agree to the pricing for the Goods set forth in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Goods and Price</w:t>
      </w:r>
      <w:r>
        <w:rPr>
          <w:rFonts w:ascii="Times New Roman;sans-serif" w:hAnsi="Times New Roman;sans-serif"/>
          <w:b w:val="false"/>
          <w:color w:val="000000"/>
          <w:sz w:val="22"/>
        </w:rPr>
        <w:t xml:space="preserve">). The Prices (a) are subject to certain agreed adjustments for Raw Material Adjustments as provided in </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and for exchange rate fluctuations between United States Dollars and Japanese Yen with respect to all costs for the Goods procured or payable in Japanese Yen as provided in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and (b) are exclusive of all applicable sales, value added, surcharges, or similar transfer taxes or charges. PIDSA may release an invoice for each shipment of Goods on each such shipping date. Lucid shall [***]. The Parties shall [***].</w:t>
      </w:r>
    </w:p>
    <w:p>
      <w:pPr>
        <w:pStyle w:val="TextBody"/>
        <w:bidi w:val="0"/>
        <w:spacing w:lineRule="auto" w:line="288" w:before="0" w:after="120"/>
        <w:ind w:left="0" w:right="0" w:hanging="360"/>
        <w:jc w:val="both"/>
        <w:rPr/>
      </w:pPr>
      <w:r>
        <w:rPr>
          <w:rFonts w:ascii="Times New Roman;sans-serif" w:hAnsi="Times New Roman;sans-serif"/>
          <w:b w:val="false"/>
          <w:color w:val="000000"/>
          <w:sz w:val="22"/>
        </w:rPr>
        <w:t>3.    </w:t>
      </w:r>
      <w:r>
        <w:rPr>
          <w:rFonts w:ascii="Times New Roman;sans-serif" w:hAnsi="Times New Roman;sans-serif"/>
          <w:b w:val="false"/>
          <w:i/>
          <w:color w:val="000000"/>
          <w:sz w:val="22"/>
        </w:rPr>
        <w:t>Orders, Volumes</w:t>
      </w:r>
      <w:r>
        <w:rPr>
          <w:rFonts w:ascii="Times New Roman;sans-serif" w:hAnsi="Times New Roman;sans-serif"/>
          <w:b w:val="false"/>
          <w:color w:val="000000"/>
          <w:sz w:val="22"/>
        </w:rPr>
        <w:t xml:space="preserve">. Lucid shall issue Production Orders, Spot Orders and Releases (as defined in Schedule 1 of the GTC) for the Production Volumes set forth in </w:t>
      </w:r>
      <w:r>
        <w:rPr>
          <w:rFonts w:ascii="Times New Roman;sans-serif" w:hAnsi="Times New Roman;sans-serif"/>
          <w:b w:val="false"/>
          <w:color w:val="000000"/>
          <w:sz w:val="22"/>
          <w:u w:val="single"/>
        </w:rPr>
        <w:t>Exhibit C</w:t>
      </w:r>
      <w:r>
        <w:rPr>
          <w:rFonts w:ascii="Times New Roman;sans-serif" w:hAnsi="Times New Roman;sans-serif"/>
          <w:b w:val="false"/>
          <w:color w:val="000000"/>
          <w:sz w:val="22"/>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22300"/>
                <wp:effectExtent l="0" t="0" r="0" b="0"/>
                <wp:wrapNone/>
                <wp:docPr id="108" name="Frame108"/>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Page </w:t>
                            </w:r>
                            <w:r>
                              <w:rPr>
                                <w:rFonts w:ascii="Times New Roman;sans-serif" w:hAnsi="Times New Roman;sans-serif"/>
                                <w:b/>
                                <w:color w:val="000000"/>
                                <w:sz w:val="21"/>
                              </w:rPr>
                              <w:t>1</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Page </w:t>
                      </w:r>
                      <w:r>
                        <w:rPr>
                          <w:rFonts w:ascii="Times New Roman;sans-serif" w:hAnsi="Times New Roman;sans-serif"/>
                          <w:b/>
                          <w:color w:val="000000"/>
                          <w:sz w:val="21"/>
                        </w:rPr>
                        <w:t>1</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v:textbox>
                <w10:wrap type="none"/>
              </v:rect>
            </w:pict>
          </mc:Fallback>
        </mc:AlternateContent>
      </w:r>
    </w:p>
    <w:p>
      <w:pPr>
        <w:pStyle w:val="TextBody"/>
        <w:bidi w:val="0"/>
        <w:spacing w:lineRule="auto" w:line="288" w:before="0" w:after="0"/>
        <w:ind w:left="0" w:right="0" w:hanging="360"/>
        <w:jc w:val="both"/>
        <w:rPr/>
      </w:pPr>
      <w:r>
        <w:rPr>
          <w:rFonts w:ascii="Times New Roman;sans-serif" w:hAnsi="Times New Roman;sans-serif"/>
          <w:b w:val="false"/>
          <w:color w:val="000000"/>
          <w:sz w:val="22"/>
        </w:rPr>
        <w:t>4.    </w:t>
      </w:r>
      <w:r>
        <w:rPr>
          <w:rFonts w:ascii="Times New Roman;sans-serif" w:hAnsi="Times New Roman;sans-serif"/>
          <w:b w:val="false"/>
          <w:i/>
          <w:color w:val="000000"/>
          <w:sz w:val="22"/>
        </w:rPr>
        <w:t>Miscellaneous</w:t>
      </w:r>
      <w:r>
        <w:rPr>
          <w:rFonts w:ascii="Times New Roman;sans-serif" w:hAnsi="Times New Roman;sans-serif"/>
          <w:b w:val="false"/>
          <w:color w:val="000000"/>
          <w:sz w:val="22"/>
        </w:rPr>
        <w:t>. PIDSA and Lucid agree (a) that the GTC;</w:t>
      </w:r>
      <w:r>
        <w:rPr>
          <w:color w:val="000000"/>
        </w:rPr>
        <w:t xml:space="preserve"> </w:t>
      </w:r>
      <w:r>
        <w:rPr>
          <w:rFonts w:ascii="Times New Roman;sans-serif" w:hAnsi="Times New Roman;sans-serif"/>
          <w:b w:val="false"/>
          <w:color w:val="000000"/>
          <w:sz w:val="22"/>
        </w:rPr>
        <w:t xml:space="preserve">and the Production Order, Spot Orders and Releases (collectively, the “POs”) issued by or for Lucid and accepted by PIDSA in accordance with the relevant terms of the GTC are incorporated as an integral part of this PPA and (b) that the GTC, POs, and this PPA constitute, collectively, the entire agreement between the Parties with respect to the subject matter hereof and supersede all prior oral or written representations or agreements by the Parties with respect to such subject matter. No subsequent terms, conditions, understandings, or agreements purporting to modify the terms of this PPA will be binding unless in writing and signed by both Parties. Any standard preprinted or other terms and conditions included or referenced in PIDSA’s invoice(s) or other documents are excluded and shall not be part of this PPA. </w:t>
      </w:r>
    </w:p>
    <w:p>
      <w:pPr>
        <w:pStyle w:val="TextBody"/>
        <w:bidi w:val="0"/>
        <w:spacing w:before="0" w:after="12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Agreed by authorized representatives of each of PIDSA and Lucid and signed by them as of the date set forth above (the “</w:t>
      </w:r>
      <w:r>
        <w:rPr>
          <w:rFonts w:ascii="Times New Roman;sans-serif" w:hAnsi="Times New Roman;sans-serif"/>
          <w:b w:val="false"/>
          <w:color w:val="000000"/>
          <w:sz w:val="22"/>
          <w:u w:val="single"/>
        </w:rPr>
        <w:t>PPA Effective Date</w:t>
      </w:r>
      <w:r>
        <w:rPr>
          <w:color w:val="000000"/>
        </w:rPr>
        <w:t>”</w:t>
      </w:r>
      <w:r>
        <w:rPr>
          <w:rFonts w:ascii="Times New Roman;sans-serif" w:hAnsi="Times New Roman;sans-serif"/>
          <w:b w:val="false"/>
          <w:color w:val="000000"/>
          <w:sz w:val="22"/>
        </w:rPr>
        <w: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4"/>
        <w:gridCol w:w="670"/>
        <w:gridCol w:w="670"/>
        <w:gridCol w:w="984"/>
        <w:gridCol w:w="670"/>
        <w:gridCol w:w="670"/>
        <w:gridCol w:w="670"/>
        <w:gridCol w:w="670"/>
        <w:gridCol w:w="703"/>
        <w:gridCol w:w="109"/>
        <w:gridCol w:w="109"/>
        <w:gridCol w:w="109"/>
        <w:gridCol w:w="344"/>
        <w:gridCol w:w="238"/>
        <w:gridCol w:w="239"/>
        <w:gridCol w:w="670"/>
        <w:gridCol w:w="623"/>
        <w:gridCol w:w="625"/>
        <w:gridCol w:w="143"/>
        <w:gridCol w:w="143"/>
        <w:gridCol w:w="212"/>
      </w:tblGrid>
      <w:tr>
        <w:trPr/>
        <w:tc>
          <w:tcPr>
            <w:tcW w:w="93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641"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Panasonic Corporation of North America doing business as Panasonic Industrial Devices Sales Company of America</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Lucid USA, Inc.</w:t>
            </w:r>
          </w:p>
        </w:tc>
      </w:tr>
      <w:tr>
        <w:trPr/>
        <w:tc>
          <w:tcPr>
            <w:tcW w:w="227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Printed:</w:t>
            </w:r>
            <w:r>
              <w:rPr>
                <w:color w:val="000000"/>
                <w:u w:val="single"/>
              </w:rPr>
              <w:t xml:space="preserve"> </w:t>
            </w:r>
          </w:p>
        </w:tc>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Kenichiro Koide</w:t>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Printed: </w:t>
            </w:r>
          </w:p>
        </w:tc>
        <w:tc>
          <w:tcPr>
            <w:tcW w:w="1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Gagan Dhingra</w:t>
            </w:r>
          </w:p>
        </w:tc>
        <w:tc>
          <w:tcPr>
            <w:tcW w:w="49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Title:</w:t>
            </w:r>
            <w:r>
              <w:rPr>
                <w:color w:val="000000"/>
                <w:u w:val="single"/>
              </w:rPr>
              <w:t xml:space="preserve"> </w:t>
            </w:r>
          </w:p>
        </w:tc>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Vice President</w:t>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c>
          <w:tcPr>
            <w:tcW w:w="1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Interim Chief Financial Officer</w:t>
            </w:r>
          </w:p>
        </w:tc>
        <w:tc>
          <w:tcPr>
            <w:tcW w:w="49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Date:</w:t>
            </w:r>
            <w:r>
              <w:rPr>
                <w:color w:val="000000"/>
                <w:u w:val="single"/>
              </w:rPr>
              <w:t xml:space="preserve"> </w:t>
            </w:r>
          </w:p>
        </w:tc>
        <w:tc>
          <w:tcPr>
            <w:tcW w:w="2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10/1/2024</w:t>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tc>
        <w:tc>
          <w:tcPr>
            <w:tcW w:w="19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10/1/2024</w:t>
            </w:r>
          </w:p>
        </w:tc>
        <w:tc>
          <w:tcPr>
            <w:tcW w:w="49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7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This PPA incorporates the following Exhibits: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u w:val="single"/>
        </w:rPr>
        <w:t>Exhibit A</w:t>
      </w:r>
      <w:r>
        <w:rPr>
          <w:rFonts w:ascii="Times New Roman;sans-serif" w:hAnsi="Times New Roman;sans-serif"/>
          <w:b w:val="false"/>
          <w:color w:val="000000"/>
          <w:sz w:val="22"/>
        </w:rPr>
        <w:t>: Goods and Price</w:t>
      </w:r>
    </w:p>
    <w:p>
      <w:pPr>
        <w:pStyle w:val="TextBody"/>
        <w:bidi w:val="0"/>
        <w:spacing w:lineRule="auto" w:line="288" w:before="0" w:after="0"/>
        <w:jc w:val="left"/>
        <w:rPr/>
      </w:pPr>
      <w:r>
        <w:rPr>
          <w:rFonts w:ascii="Times New Roman;sans-serif" w:hAnsi="Times New Roman;sans-serif"/>
          <w:b/>
          <w:color w:val="000000"/>
          <w:sz w:val="22"/>
          <w:u w:val="single"/>
        </w:rPr>
        <w:t>Exhibit B</w:t>
      </w:r>
      <w:r>
        <w:rPr>
          <w:rFonts w:ascii="Times New Roman;sans-serif" w:hAnsi="Times New Roman;sans-serif"/>
          <w:b w:val="false"/>
          <w:color w:val="000000"/>
          <w:sz w:val="22"/>
        </w:rPr>
        <w:t>: Raw Material and Exchange Rate Adjustments</w:t>
      </w:r>
    </w:p>
    <w:p>
      <w:pPr>
        <w:pStyle w:val="TextBody"/>
        <w:bidi w:val="0"/>
        <w:spacing w:lineRule="auto" w:line="288" w:before="0" w:after="0"/>
        <w:jc w:val="left"/>
        <w:rPr/>
      </w:pPr>
      <w:r>
        <w:rPr>
          <w:rFonts w:ascii="Times New Roman;sans-serif" w:hAnsi="Times New Roman;sans-serif"/>
          <w:b/>
          <w:color w:val="000000"/>
          <w:sz w:val="22"/>
          <w:u w:val="single"/>
        </w:rPr>
        <w:t>Exhibit C</w:t>
      </w:r>
      <w:r>
        <w:rPr>
          <w:rFonts w:ascii="Times New Roman;sans-serif" w:hAnsi="Times New Roman;sans-serif"/>
          <w:b w:val="false"/>
          <w:color w:val="000000"/>
          <w:sz w:val="22"/>
        </w:rPr>
        <w:t>: Volume Forecast</w:t>
      </w:r>
    </w:p>
    <w:p>
      <w:pPr>
        <w:pStyle w:val="TextBody"/>
        <w:bidi w:val="0"/>
        <w:spacing w:lineRule="auto" w:line="288" w:before="0" w:after="0"/>
        <w:jc w:val="both"/>
        <w:rPr/>
      </w:pPr>
      <w:r>
        <w:rPr>
          <w:rFonts w:ascii="Times New Roman;sans-serif" w:hAnsi="Times New Roman;sans-serif"/>
          <w:b/>
          <w:color w:val="000000"/>
          <w:sz w:val="22"/>
          <w:u w:val="single"/>
        </w:rPr>
        <w:t>Exhibit D</w:t>
      </w:r>
      <w:r>
        <w:rPr>
          <w:rFonts w:ascii="Times New Roman;sans-serif" w:hAnsi="Times New Roman;sans-serif"/>
          <w:b w:val="false"/>
          <w:color w:val="000000"/>
          <w:sz w:val="22"/>
        </w:rPr>
        <w:t>: Forecast Adjustment</w:t>
      </w:r>
    </w:p>
    <w:p>
      <w:pPr>
        <w:pStyle w:val="TextBody"/>
        <w:bidi w:val="0"/>
        <w:spacing w:lineRule="auto" w:line="288" w:before="0" w:after="0"/>
        <w:jc w:val="both"/>
        <w:rPr/>
      </w:pPr>
      <w:r>
        <w:rPr>
          <w:rFonts w:ascii="Times New Roman;sans-serif" w:hAnsi="Times New Roman;sans-serif"/>
          <w:b/>
          <w:color w:val="000000"/>
          <w:sz w:val="22"/>
          <w:u w:val="single"/>
        </w:rPr>
        <w:t>Exhibit E</w:t>
      </w:r>
      <w:r>
        <w:rPr>
          <w:rFonts w:ascii="Times New Roman;sans-serif" w:hAnsi="Times New Roman;sans-serif"/>
          <w:b w:val="false"/>
          <w:color w:val="000000"/>
          <w:sz w:val="22"/>
        </w:rPr>
        <w:t>: Special Remedies</w:t>
      </w:r>
    </w:p>
    <w:p>
      <w:pPr>
        <w:pStyle w:val="TextBody"/>
        <w:bidi w:val="0"/>
        <w:spacing w:lineRule="auto" w:line="288" w:before="0" w:after="0"/>
        <w:jc w:val="both"/>
        <w:rPr/>
      </w:pPr>
      <w:r>
        <w:rPr>
          <w:rFonts w:ascii="Times New Roman;sans-serif" w:hAnsi="Times New Roman;sans-serif"/>
          <w:b/>
          <w:color w:val="000000"/>
          <w:sz w:val="22"/>
          <w:u w:val="single"/>
        </w:rPr>
        <w:t>Exhibit F</w:t>
      </w:r>
      <w:r>
        <w:rPr>
          <w:rFonts w:ascii="Times New Roman;sans-serif" w:hAnsi="Times New Roman;sans-serif"/>
          <w:b w:val="false"/>
          <w:color w:val="000000"/>
          <w:sz w:val="22"/>
        </w:rPr>
        <w:t>: Cell BOM Cost</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22300"/>
                <wp:effectExtent l="0" t="0" r="0" b="0"/>
                <wp:wrapNone/>
                <wp:docPr id="109" name="Frame109"/>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Page </w:t>
                            </w:r>
                            <w:r>
                              <w:rPr>
                                <w:rFonts w:ascii="Times New Roman;sans-serif" w:hAnsi="Times New Roman;sans-serif"/>
                                <w:b/>
                                <w:color w:val="000000"/>
                                <w:sz w:val="21"/>
                              </w:rPr>
                              <w:t>2</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Page </w:t>
                      </w:r>
                      <w:r>
                        <w:rPr>
                          <w:rFonts w:ascii="Times New Roman;sans-serif" w:hAnsi="Times New Roman;sans-serif"/>
                          <w:b/>
                          <w:color w:val="000000"/>
                          <w:sz w:val="21"/>
                        </w:rPr>
                        <w:t>2</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2"/>
          <w:u w:val="single"/>
        </w:rPr>
        <w:t>Exhibit A</w:t>
      </w:r>
      <w:r>
        <w:rPr>
          <w:rFonts w:ascii="Times New Roman;sans-serif" w:hAnsi="Times New Roman;sans-serif"/>
          <w:b/>
          <w:color w:val="000000"/>
          <w:sz w:val="22"/>
        </w:rPr>
        <w:t>: Goods and Price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u w:val="single"/>
        </w:rPr>
        <w:t>Exhibit B</w:t>
      </w:r>
      <w:r>
        <w:rPr>
          <w:rFonts w:ascii="Times New Roman;sans-serif" w:hAnsi="Times New Roman;sans-serif"/>
          <w:b/>
          <w:color w:val="000000"/>
          <w:sz w:val="22"/>
        </w:rPr>
        <w:t>: Raw Material and Exchange Rate Adjustments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u w:val="single"/>
        </w:rPr>
        <w:t>Exhibit C</w:t>
      </w:r>
      <w:r>
        <w:rPr>
          <w:rFonts w:ascii="Times New Roman;sans-serif" w:hAnsi="Times New Roman;sans-serif"/>
          <w:b/>
          <w:color w:val="000000"/>
          <w:sz w:val="22"/>
        </w:rPr>
        <w:t>: Volume Forecast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u w:val="single"/>
        </w:rPr>
        <w:t>Exhibit D</w:t>
      </w:r>
      <w:r>
        <w:rPr>
          <w:rFonts w:ascii="Times New Roman;sans-serif" w:hAnsi="Times New Roman;sans-serif"/>
          <w:b/>
          <w:color w:val="000000"/>
          <w:sz w:val="22"/>
        </w:rPr>
        <w:t>: Forecast Adjustment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2"/>
          <w:u w:val="single"/>
        </w:rPr>
        <w:t>Exhibit E</w:t>
      </w:r>
      <w:r>
        <w:rPr>
          <w:rFonts w:ascii="Times New Roman;sans-serif" w:hAnsi="Times New Roman;sans-serif"/>
          <w:b/>
          <w:color w:val="000000"/>
          <w:sz w:val="22"/>
        </w:rPr>
        <w:t>: Special Remedies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 F: Cell BOM Cost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22300"/>
                <wp:effectExtent l="0" t="0" r="0" b="0"/>
                <wp:wrapNone/>
                <wp:docPr id="110" name="Frame110"/>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Page </w:t>
                            </w:r>
                            <w:r>
                              <w:rPr>
                                <w:rFonts w:ascii="Times New Roman;sans-serif" w:hAnsi="Times New Roman;sans-serif"/>
                                <w:b/>
                                <w:color w:val="000000"/>
                                <w:sz w:val="21"/>
                              </w:rPr>
                              <w:t>3</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430.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Page </w:t>
                      </w:r>
                      <w:r>
                        <w:rPr>
                          <w:rFonts w:ascii="Times New Roman;sans-serif" w:hAnsi="Times New Roman;sans-serif"/>
                          <w:b/>
                          <w:color w:val="000000"/>
                          <w:sz w:val="21"/>
                        </w:rPr>
                        <w:t>3</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Certain identified information has been omitted from this document because it is not material and is the type that the Company customarily and actually treats as private or confidential, and has been marked with “[***]” to indicate where omissions have been made.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Production Pricing Agreement (Kansas PPA)</w:t>
      </w:r>
    </w:p>
    <w:tbl>
      <w:tblPr>
        <w:tblW w:w="10205" w:type="dxa"/>
        <w:jc w:val="left"/>
        <w:tblInd w:w="0" w:type="dxa"/>
        <w:tblLayout w:type="fixed"/>
        <w:tblCellMar>
          <w:top w:w="28" w:type="dxa"/>
          <w:left w:w="28" w:type="dxa"/>
          <w:bottom w:w="28" w:type="dxa"/>
          <w:right w:w="28" w:type="dxa"/>
        </w:tblCellMar>
      </w:tblPr>
      <w:tblGrid>
        <w:gridCol w:w="1188"/>
        <w:gridCol w:w="682"/>
        <w:gridCol w:w="686"/>
        <w:gridCol w:w="291"/>
        <w:gridCol w:w="291"/>
        <w:gridCol w:w="291"/>
        <w:gridCol w:w="1984"/>
        <w:gridCol w:w="1984"/>
        <w:gridCol w:w="2808"/>
      </w:tblGrid>
      <w:tr>
        <w:trPr/>
        <w:tc>
          <w:tcPr>
            <w:tcW w:w="118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r>
      <w:tr>
        <w:trPr/>
        <w:tc>
          <w:tcPr>
            <w:tcW w:w="2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120" w:after="283"/>
              <w:jc w:val="center"/>
              <w:rPr/>
            </w:pPr>
            <w:r>
              <w:rPr>
                <w:rFonts w:ascii="Times New Roman;sans-serif" w:hAnsi="Times New Roman;sans-serif"/>
                <w:b/>
                <w:color w:val="000000"/>
                <w:sz w:val="22"/>
              </w:rPr>
              <w:t>Effective Date</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10/1/2024</w:t>
            </w:r>
          </w:p>
        </w:tc>
      </w:tr>
      <w:tr>
        <w:trPr/>
        <w:tc>
          <w:tcPr>
            <w:tcW w:w="25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Seller Name</w:t>
            </w:r>
          </w:p>
        </w:tc>
        <w:tc>
          <w:tcPr>
            <w:tcW w:w="764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Panasonic Energy Corporation of North America ("PECNA")</w:t>
            </w:r>
          </w:p>
        </w:tc>
      </w:tr>
      <w:tr>
        <w:trPr/>
        <w:tc>
          <w:tcPr>
            <w:tcW w:w="25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764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10900 S. Clay Blair Blvd. Olathe, Johnson County, Kansas 66061 </w:t>
            </w:r>
          </w:p>
        </w:tc>
      </w:tr>
      <w:tr>
        <w:trPr/>
        <w:tc>
          <w:tcPr>
            <w:tcW w:w="25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Place of Incorporation</w:t>
            </w:r>
          </w:p>
        </w:tc>
        <w:tc>
          <w:tcPr>
            <w:tcW w:w="7649"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25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Commodity Description</w:t>
            </w:r>
          </w:p>
        </w:tc>
        <w:tc>
          <w:tcPr>
            <w:tcW w:w="764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Battery Cells </w:t>
            </w:r>
          </w:p>
        </w:tc>
      </w:tr>
      <w:tr>
        <w:trPr/>
        <w:tc>
          <w:tcPr>
            <w:tcW w:w="25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Tier 1 or Tier 2</w:t>
            </w:r>
          </w:p>
        </w:tc>
        <w:tc>
          <w:tcPr>
            <w:tcW w:w="764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Tier 1</w:t>
            </w:r>
          </w:p>
        </w:tc>
      </w:tr>
      <w:tr>
        <w:trPr/>
        <w:tc>
          <w:tcPr>
            <w:tcW w:w="25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Supplier Shipping Site Code</w:t>
            </w:r>
          </w:p>
        </w:tc>
        <w:tc>
          <w:tcPr>
            <w:tcW w:w="764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To be created</w:t>
            </w:r>
          </w:p>
        </w:tc>
      </w:tr>
      <w:tr>
        <w:trPr/>
        <w:tc>
          <w:tcPr>
            <w:tcW w:w="25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Incoterms</w:t>
            </w:r>
          </w:p>
        </w:tc>
        <w:tc>
          <w:tcPr>
            <w:tcW w:w="764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FCA (Incoterms 2010)</w:t>
            </w:r>
          </w:p>
        </w:tc>
      </w:tr>
      <w:tr>
        <w:trPr/>
        <w:tc>
          <w:tcPr>
            <w:tcW w:w="25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Manufacturing address</w:t>
            </w:r>
          </w:p>
        </w:tc>
        <w:tc>
          <w:tcPr>
            <w:tcW w:w="764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De Soto, KS</w:t>
            </w:r>
          </w:p>
        </w:tc>
      </w:tr>
      <w:tr>
        <w:trPr/>
        <w:tc>
          <w:tcPr>
            <w:tcW w:w="25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Ship from address</w:t>
            </w:r>
          </w:p>
        </w:tc>
        <w:tc>
          <w:tcPr>
            <w:tcW w:w="7649" w:type="dxa"/>
            <w:gridSpan w:val="6"/>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10301 Astra Pkwy, De Soto, Kansas 66018</w:t>
            </w:r>
          </w:p>
        </w:tc>
      </w:tr>
      <w:tr>
        <w:trPr/>
        <w:tc>
          <w:tcPr>
            <w:tcW w:w="25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5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color w:val="000000"/>
                <w:sz w:val="22"/>
              </w:rPr>
            </w:pPr>
            <w:r>
              <w:rPr>
                <w:rFonts w:ascii="Times New Roman;sans-serif" w:hAnsi="Times New Roman;sans-serif"/>
                <w:b/>
                <w:color w:val="000000"/>
                <w:sz w:val="22"/>
              </w:rPr>
              <w:t>Delivery Location</w:t>
            </w:r>
          </w:p>
        </w:tc>
        <w:tc>
          <w:tcPr>
            <w:tcW w:w="764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Lucid USA, Inc.</w:t>
            </w:r>
          </w:p>
        </w:tc>
      </w:tr>
      <w:tr>
        <w:trPr/>
        <w:tc>
          <w:tcPr>
            <w:tcW w:w="255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7649"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Lucid Motors Casa Grande Warehouse, 1185 W. Peters Road, Casa Grande, AZ 85122, USA</w:t>
            </w:r>
          </w:p>
        </w:tc>
      </w:tr>
    </w:tbl>
    <w:tbl>
      <w:tblPr>
        <w:tblW w:w="5710" w:type="dxa"/>
        <w:jc w:val="left"/>
        <w:tblInd w:w="0" w:type="dxa"/>
        <w:tblLayout w:type="fixed"/>
        <w:tblCellMar>
          <w:top w:w="28" w:type="dxa"/>
          <w:left w:w="28" w:type="dxa"/>
          <w:bottom w:w="28" w:type="dxa"/>
          <w:right w:w="28" w:type="dxa"/>
        </w:tblCellMar>
      </w:tblPr>
      <w:tblGrid>
        <w:gridCol w:w="857"/>
        <w:gridCol w:w="755"/>
        <w:gridCol w:w="757"/>
        <w:gridCol w:w="377"/>
        <w:gridCol w:w="377"/>
        <w:gridCol w:w="380"/>
        <w:gridCol w:w="298"/>
        <w:gridCol w:w="298"/>
        <w:gridCol w:w="300"/>
        <w:gridCol w:w="382"/>
        <w:gridCol w:w="382"/>
        <w:gridCol w:w="547"/>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color w:val="000000"/>
                <w:sz w:val="22"/>
              </w:rPr>
            </w:pPr>
            <w:r>
              <w:rPr>
                <w:rFonts w:ascii="Times New Roman;sans-serif" w:hAnsi="Times New Roman;sans-serif"/>
                <w:b/>
                <w:color w:val="000000"/>
                <w:sz w:val="22"/>
              </w:rPr>
              <w:t>Pricing Validity Period</w:t>
            </w:r>
          </w:p>
        </w:tc>
        <w:tc>
          <w:tcPr>
            <w:tcW w:w="11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10/1/2024</w:t>
            </w:r>
          </w:p>
        </w:tc>
        <w:tc>
          <w:tcPr>
            <w:tcW w:w="8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through</w:t>
            </w:r>
          </w:p>
        </w:tc>
        <w:tc>
          <w:tcPr>
            <w:tcW w:w="131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12/31/2031</w:t>
            </w:r>
          </w:p>
        </w:tc>
      </w:tr>
      <w:tr>
        <w:trPr/>
        <w:tc>
          <w:tcPr>
            <w:tcW w:w="23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83"/>
              <w:jc w:val="both"/>
              <w:rPr>
                <w:rFonts w:ascii="Times New Roman;sans-serif" w:hAnsi="Times New Roman;sans-serif"/>
                <w:b/>
                <w:color w:val="000000"/>
                <w:sz w:val="22"/>
              </w:rPr>
            </w:pPr>
            <w:r>
              <w:rPr>
                <w:rFonts w:ascii="Times New Roman;sans-serif" w:hAnsi="Times New Roman;sans-serif"/>
                <w:b/>
                <w:color w:val="000000"/>
                <w:sz w:val="22"/>
              </w:rPr>
              <w:t>Production Volume</w:t>
            </w:r>
          </w:p>
        </w:tc>
        <w:tc>
          <w:tcPr>
            <w:tcW w:w="3341"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60" w:after="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provided in forecast Exhibit C </w:t>
            </w:r>
          </w:p>
        </w:tc>
      </w:tr>
      <w:tr>
        <w:trPr/>
        <w:tc>
          <w:tcPr>
            <w:tcW w:w="23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83"/>
              <w:jc w:val="both"/>
              <w:rPr>
                <w:rFonts w:ascii="Times New Roman;sans-serif" w:hAnsi="Times New Roman;sans-serif"/>
                <w:b/>
                <w:color w:val="000000"/>
                <w:sz w:val="22"/>
              </w:rPr>
            </w:pPr>
            <w:r>
              <w:rPr>
                <w:rFonts w:ascii="Times New Roman;sans-serif" w:hAnsi="Times New Roman;sans-serif"/>
                <w:b/>
                <w:color w:val="000000"/>
                <w:sz w:val="22"/>
              </w:rPr>
              <w:t>Payment Terms</w:t>
            </w:r>
          </w:p>
        </w:tc>
        <w:tc>
          <w:tcPr>
            <w:tcW w:w="3341"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t>
            </w:r>
          </w:p>
        </w:tc>
      </w:tr>
    </w:tbl>
    <w:p>
      <w:pPr>
        <w:pStyle w:val="TextBody"/>
        <w:bidi w:val="0"/>
        <w:spacing w:lineRule="auto" w:line="288" w:before="120" w:after="120"/>
        <w:ind w:left="0" w:right="0" w:hanging="360"/>
        <w:jc w:val="left"/>
        <w:rPr/>
      </w:pPr>
      <w:r>
        <w:rPr>
          <w:rFonts w:ascii="Times New Roman;sans-serif" w:hAnsi="Times New Roman;sans-serif"/>
          <w:b w:val="false"/>
          <w:color w:val="000000"/>
          <w:sz w:val="22"/>
        </w:rPr>
        <w:t>1.    </w:t>
      </w:r>
      <w:r>
        <w:rPr>
          <w:rFonts w:ascii="Times New Roman;sans-serif" w:hAnsi="Times New Roman;sans-serif"/>
          <w:b w:val="false"/>
          <w:i/>
          <w:color w:val="000000"/>
          <w:sz w:val="22"/>
        </w:rPr>
        <w:t xml:space="preserve">PPA Revision. </w:t>
      </w:r>
      <w:r>
        <w:rPr>
          <w:rFonts w:ascii="Times New Roman;sans-serif" w:hAnsi="Times New Roman;sans-serif"/>
          <w:b w:val="false"/>
          <w:color w:val="000000"/>
          <w:sz w:val="22"/>
        </w:rPr>
        <w:t>This Production Pricing Agreement (“</w:t>
      </w:r>
      <w:r>
        <w:rPr>
          <w:rFonts w:ascii="Times New Roman;sans-serif" w:hAnsi="Times New Roman;sans-serif"/>
          <w:b w:val="false"/>
          <w:color w:val="000000"/>
          <w:sz w:val="22"/>
          <w:u w:val="single"/>
        </w:rPr>
        <w:t>PPA</w:t>
      </w:r>
      <w:r>
        <w:rPr>
          <w:color w:val="000000"/>
        </w:rPr>
        <w:t>”</w:t>
      </w:r>
      <w:r>
        <w:rPr>
          <w:rFonts w:ascii="Times New Roman;sans-serif" w:hAnsi="Times New Roman;sans-serif"/>
          <w:b w:val="false"/>
          <w:color w:val="000000"/>
          <w:sz w:val="22"/>
        </w:rPr>
        <w:t>) is entered into by Lucid USA, Inc. (“</w:t>
      </w:r>
      <w:r>
        <w:rPr>
          <w:rFonts w:ascii="Times New Roman;sans-serif" w:hAnsi="Times New Roman;sans-serif"/>
          <w:b w:val="false"/>
          <w:color w:val="000000"/>
          <w:sz w:val="22"/>
          <w:u w:val="single"/>
        </w:rPr>
        <w:t>Lucid</w:t>
      </w:r>
      <w:r>
        <w:rPr>
          <w:color w:val="000000"/>
        </w:rPr>
        <w:t>”</w:t>
      </w:r>
      <w:r>
        <w:rPr>
          <w:rFonts w:ascii="Times New Roman;sans-serif" w:hAnsi="Times New Roman;sans-serif"/>
          <w:b w:val="false"/>
          <w:color w:val="000000"/>
          <w:sz w:val="22"/>
        </w:rPr>
        <w:t xml:space="preserve">) and PECNA (identified above) with respect to the goods described in </w:t>
      </w:r>
      <w:r>
        <w:rPr>
          <w:rFonts w:ascii="Times New Roman;sans-serif" w:hAnsi="Times New Roman;sans-serif"/>
          <w:b/>
          <w:color w:val="000000"/>
          <w:sz w:val="22"/>
          <w:u w:val="single"/>
        </w:rPr>
        <w:t>Exhibit A</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Goods</w:t>
      </w:r>
      <w:r>
        <w:rPr>
          <w:color w:val="000000"/>
        </w:rPr>
        <w:t>”</w:t>
      </w:r>
      <w:r>
        <w:rPr>
          <w:rFonts w:ascii="Times New Roman;sans-serif" w:hAnsi="Times New Roman;sans-serif"/>
          <w:b w:val="false"/>
          <w:color w:val="000000"/>
          <w:sz w:val="22"/>
        </w:rPr>
        <w:t xml:space="preserve">). Lucid and PECNA are each a “Party” and collectively are the “Parties”. This PPA shall, as of October 1, 2024, amend and restate in entirety the Production Pricing Agreement effective as of December 1, 2022 (“2022 PPA”) by and between the Parties. The General Terms and Conditions between Panasonic Energy Co., Ltd. and Lucid dated as of </w:t>
      </w:r>
      <w:r>
        <w:rPr>
          <w:rFonts w:ascii="Times New Roman;sans-serif" w:hAnsi="Times New Roman;sans-serif"/>
          <w:b/>
          <w:color w:val="000000"/>
          <w:sz w:val="22"/>
        </w:rPr>
        <w:t>December 1</w:t>
      </w:r>
      <w:r>
        <w:rPr>
          <w:rFonts w:ascii="Times New Roman;sans-serif" w:hAnsi="Times New Roman;sans-serif"/>
          <w:b/>
          <w:color w:val="000000"/>
          <w:sz w:val="14"/>
        </w:rPr>
        <w:t>st</w:t>
      </w:r>
      <w:r>
        <w:rPr>
          <w:rFonts w:ascii="Times New Roman;sans-serif" w:hAnsi="Times New Roman;sans-serif"/>
          <w:b/>
          <w:color w:val="000000"/>
          <w:sz w:val="22"/>
        </w:rPr>
        <w:t>, 2022 (</w:t>
      </w:r>
      <w:r>
        <w:rPr>
          <w:color w:val="000000"/>
        </w:rPr>
        <w:t>“</w:t>
      </w:r>
      <w:r>
        <w:rPr>
          <w:rFonts w:ascii="Times New Roman;sans-serif" w:hAnsi="Times New Roman;sans-serif"/>
          <w:b w:val="false"/>
          <w:color w:val="000000"/>
          <w:sz w:val="22"/>
          <w:u w:val="single"/>
        </w:rPr>
        <w:t>GTC</w:t>
      </w:r>
      <w:r>
        <w:rPr>
          <w:color w:val="000000"/>
        </w:rPr>
        <w:t>”</w:t>
      </w:r>
      <w:r>
        <w:rPr>
          <w:rFonts w:ascii="Times New Roman;sans-serif" w:hAnsi="Times New Roman;sans-serif"/>
          <w:b w:val="false"/>
          <w:color w:val="000000"/>
          <w:sz w:val="22"/>
        </w:rPr>
        <w:t xml:space="preserve">) are incorporated by reference into this PPA as an integral part hereof. In case of any inconsistencies between the terms of the GTC and the terms of this PPA, the terms of this PPA shall prevail. </w:t>
      </w:r>
    </w:p>
    <w:p>
      <w:pPr>
        <w:pStyle w:val="TextBody"/>
        <w:bidi w:val="0"/>
        <w:spacing w:lineRule="auto" w:line="288" w:before="0" w:after="120"/>
        <w:ind w:left="0" w:right="0" w:hanging="360"/>
        <w:jc w:val="left"/>
        <w:rPr/>
      </w:pPr>
      <w:r>
        <w:rPr>
          <w:rFonts w:ascii="Times New Roman;sans-serif" w:hAnsi="Times New Roman;sans-serif"/>
          <w:b w:val="false"/>
          <w:color w:val="000000"/>
          <w:sz w:val="22"/>
        </w:rPr>
        <w:t>2.    </w:t>
      </w:r>
      <w:r>
        <w:rPr>
          <w:rFonts w:ascii="Times New Roman;sans-serif" w:hAnsi="Times New Roman;sans-serif"/>
          <w:b w:val="false"/>
          <w:i/>
          <w:color w:val="000000"/>
          <w:sz w:val="22"/>
        </w:rPr>
        <w:t>Pricing and Payment Terms</w:t>
      </w:r>
      <w:r>
        <w:rPr>
          <w:rFonts w:ascii="Times New Roman;sans-serif" w:hAnsi="Times New Roman;sans-serif"/>
          <w:b w:val="false"/>
          <w:color w:val="000000"/>
          <w:sz w:val="22"/>
        </w:rPr>
        <w:t xml:space="preserve">. Lucid and PECNA agree to the pricing for the Goods set forth in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w:t>
      </w:r>
      <w:r>
        <w:rPr>
          <w:rFonts w:ascii="Times New Roman;sans-serif" w:hAnsi="Times New Roman;sans-serif"/>
          <w:b w:val="false"/>
          <w:color w:val="000000"/>
          <w:sz w:val="22"/>
          <w:u w:val="single"/>
        </w:rPr>
        <w:t>Product and Prices</w:t>
      </w:r>
      <w:r>
        <w:rPr>
          <w:color w:val="000000"/>
        </w:rPr>
        <w:t>”</w:t>
      </w:r>
      <w:r>
        <w:rPr>
          <w:rFonts w:ascii="Times New Roman;sans-serif" w:hAnsi="Times New Roman;sans-serif"/>
          <w:b w:val="false"/>
          <w:color w:val="000000"/>
          <w:sz w:val="22"/>
        </w:rPr>
        <w:t xml:space="preserve">); The Prices: (a) are subject to certain agreed adjustments for Raw Material Adjustments as provided in </w:t>
      </w:r>
      <w:r>
        <w:rPr>
          <w:rFonts w:ascii="Times New Roman;sans-serif" w:hAnsi="Times New Roman;sans-serif"/>
          <w:b/>
          <w:color w:val="000000"/>
          <w:sz w:val="22"/>
          <w:u w:val="single"/>
        </w:rPr>
        <w:t>Exhibit B</w:t>
      </w:r>
      <w:r>
        <w:rPr>
          <w:color w:val="000000"/>
        </w:rPr>
        <w:t xml:space="preserve"> </w:t>
      </w:r>
      <w:r>
        <w:rPr>
          <w:rFonts w:ascii="Times New Roman;sans-serif" w:hAnsi="Times New Roman;sans-serif"/>
          <w:b w:val="false"/>
          <w:color w:val="000000"/>
          <w:sz w:val="22"/>
        </w:rPr>
        <w:t xml:space="preserve">and for exchange rate fluctuations between United States Dollars and Japanese Yen with respect to all costs for the Goods procured or payable in Japanese Yen as provided in </w:t>
      </w:r>
      <w:r>
        <w:rPr>
          <w:rFonts w:ascii="Times New Roman;sans-serif" w:hAnsi="Times New Roman;sans-serif"/>
          <w:b/>
          <w:color w:val="000000"/>
          <w:sz w:val="22"/>
          <w:u w:val="single"/>
        </w:rPr>
        <w:t>Exhibit B</w:t>
      </w:r>
      <w:r>
        <w:rPr>
          <w:rFonts w:ascii="Times New Roman;sans-serif" w:hAnsi="Times New Roman;sans-serif"/>
          <w:b w:val="false"/>
          <w:color w:val="000000"/>
          <w:sz w:val="22"/>
        </w:rPr>
        <w:t xml:space="preserve">, and (b) are exclusive of all applicable sales, value added, surcharges, or similar transfer taxes or charges. PECNA may release an invoice for each shipment of Goods on each such shipping date. Lucid shall [***]. The Parties shall [***]. </w:t>
      </w:r>
    </w:p>
    <w:p>
      <w:pPr>
        <w:pStyle w:val="TextBody"/>
        <w:bidi w:val="0"/>
        <w:spacing w:lineRule="auto" w:line="288" w:before="0" w:after="120"/>
        <w:ind w:left="0" w:right="0" w:hanging="360"/>
        <w:jc w:val="left"/>
        <w:rPr/>
      </w:pPr>
      <w:r>
        <w:rPr>
          <w:rFonts w:ascii="Times New Roman;sans-serif" w:hAnsi="Times New Roman;sans-serif"/>
          <w:b w:val="false"/>
          <w:color w:val="000000"/>
          <w:sz w:val="22"/>
        </w:rPr>
        <w:t>3.    </w:t>
      </w:r>
      <w:r>
        <w:rPr>
          <w:rFonts w:ascii="Times New Roman;sans-serif" w:hAnsi="Times New Roman;sans-serif"/>
          <w:b w:val="false"/>
          <w:i/>
          <w:color w:val="000000"/>
          <w:sz w:val="22"/>
        </w:rPr>
        <w:t>Orders, Volumes</w:t>
      </w:r>
      <w:r>
        <w:rPr>
          <w:rFonts w:ascii="Times New Roman;sans-serif" w:hAnsi="Times New Roman;sans-serif"/>
          <w:b w:val="false"/>
          <w:color w:val="000000"/>
          <w:sz w:val="22"/>
        </w:rPr>
        <w:t xml:space="preserve">. Lucid shall issue Production Orders, Spot Orders and Releases (as defined in Schedule 1 of the GTC) for the Production Volumes set forth in </w:t>
      </w:r>
      <w:r>
        <w:rPr>
          <w:rFonts w:ascii="Times New Roman;sans-serif" w:hAnsi="Times New Roman;sans-serif"/>
          <w:b/>
          <w:color w:val="000000"/>
          <w:sz w:val="22"/>
          <w:u w:val="single"/>
        </w:rPr>
        <w:t>Exhibit C</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22300"/>
                <wp:effectExtent l="0" t="0" r="0" b="0"/>
                <wp:wrapNone/>
                <wp:docPr id="111" name="Frame111"/>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(Standard), ver. 2     Page </w:t>
                            </w:r>
                            <w:r>
                              <w:rPr>
                                <w:rFonts w:ascii="Times New Roman;sans-serif" w:hAnsi="Times New Roman;sans-serif"/>
                                <w:b/>
                                <w:color w:val="000000"/>
                                <w:sz w:val="21"/>
                              </w:rPr>
                              <w:t>1</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(Standard), ver. 2     Page </w:t>
                      </w:r>
                      <w:r>
                        <w:rPr>
                          <w:rFonts w:ascii="Times New Roman;sans-serif" w:hAnsi="Times New Roman;sans-serif"/>
                          <w:b/>
                          <w:color w:val="000000"/>
                          <w:sz w:val="21"/>
                        </w:rPr>
                        <w:t>1</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v:textbox>
                <w10:wrap type="none"/>
              </v:rect>
            </w:pict>
          </mc:Fallback>
        </mc:AlternateContent>
      </w:r>
    </w:p>
    <w:p>
      <w:pPr>
        <w:pStyle w:val="TextBody"/>
        <w:bidi w:val="0"/>
        <w:spacing w:lineRule="auto" w:line="288" w:before="0" w:after="120"/>
        <w:ind w:left="0" w:right="0" w:hanging="360"/>
        <w:jc w:val="left"/>
        <w:rPr/>
      </w:pPr>
      <w:r>
        <w:rPr>
          <w:rFonts w:ascii="Times New Roman;sans-serif" w:hAnsi="Times New Roman;sans-serif"/>
          <w:b w:val="false"/>
          <w:color w:val="000000"/>
          <w:sz w:val="22"/>
        </w:rPr>
        <w:t>4.    </w:t>
      </w:r>
      <w:r>
        <w:rPr>
          <w:rFonts w:ascii="Times New Roman;sans-serif" w:hAnsi="Times New Roman;sans-serif"/>
          <w:b w:val="false"/>
          <w:i/>
          <w:color w:val="000000"/>
          <w:sz w:val="22"/>
        </w:rPr>
        <w:t>Miscellaneous</w:t>
      </w:r>
      <w:r>
        <w:rPr>
          <w:rFonts w:ascii="Times New Roman;sans-serif" w:hAnsi="Times New Roman;sans-serif"/>
          <w:b w:val="false"/>
          <w:color w:val="000000"/>
          <w:sz w:val="22"/>
        </w:rPr>
        <w:t>. PECNA and Lucid agree (a) that the GTC,</w:t>
      </w:r>
      <w:r>
        <w:rPr>
          <w:color w:val="000000"/>
        </w:rPr>
        <w:t xml:space="preserve"> </w:t>
      </w:r>
      <w:r>
        <w:rPr>
          <w:rFonts w:ascii="Times New Roman;sans-serif" w:hAnsi="Times New Roman;sans-serif"/>
          <w:b w:val="false"/>
          <w:color w:val="000000"/>
          <w:sz w:val="22"/>
        </w:rPr>
        <w:t xml:space="preserve">and the Production Order, Spot Orders and Releases (collectively, the “POs”) issued by or for Lucid and accepted by PECNA in accordance with POs, and this PPA constitute, collectively, the entire agreement between the Parties with respect to the subject matter hereof and supersede all prior oral or written representations or agreements by the Parties with respect to such subject matter. No subsequent terms, conditions, understandings, or agreements purporting to modify the terms of this PPA will be binding unless in writing and signed by both Parties. Any standard preprinted or other terms and conditions included or referenced in the PECNA’s invoice(s) or other documents are excluded and shall not be part of this PPA. </w:t>
      </w:r>
    </w:p>
    <w:p>
      <w:pPr>
        <w:pStyle w:val="TextBody"/>
        <w:bidi w:val="0"/>
        <w:spacing w:lineRule="auto" w:line="288" w:before="0" w:after="0"/>
        <w:ind w:left="0" w:right="0" w:hanging="360"/>
        <w:jc w:val="left"/>
        <w:rPr/>
      </w:pPr>
      <w:r>
        <w:rPr>
          <w:rFonts w:ascii="Times New Roman;sans-serif" w:hAnsi="Times New Roman;sans-serif"/>
          <w:b w:val="false"/>
          <w:color w:val="000000"/>
          <w:sz w:val="22"/>
        </w:rPr>
        <w:t>5.    </w:t>
      </w:r>
      <w:r>
        <w:rPr>
          <w:rFonts w:ascii="Times New Roman;sans-serif" w:hAnsi="Times New Roman;sans-serif"/>
          <w:b w:val="false"/>
          <w:i/>
          <w:color w:val="000000"/>
          <w:sz w:val="22"/>
        </w:rPr>
        <w:t>2022 PPA Replacement.</w:t>
      </w:r>
      <w:r>
        <w:rPr>
          <w:color w:val="000000"/>
        </w:rPr>
        <w:t xml:space="preserve"> </w:t>
      </w:r>
      <w:r>
        <w:rPr>
          <w:rFonts w:ascii="Times New Roman;sans-serif" w:hAnsi="Times New Roman;sans-serif"/>
          <w:b w:val="false"/>
          <w:color w:val="000000"/>
          <w:sz w:val="22"/>
        </w:rPr>
        <w:t xml:space="preserve">As stated above in Section 1, this PPA replaces the 2022 PPA in its entirety, resolves any outstanding issues under the 2022 PPA, and the 2022 PPA has no further effect. </w:t>
      </w:r>
    </w:p>
    <w:p>
      <w:pPr>
        <w:pStyle w:val="TextBody"/>
        <w:bidi w:val="0"/>
        <w:spacing w:before="0" w:after="12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Agreed by authorized representatives of each Party and signed by them as of the date set forth above (the “</w:t>
      </w:r>
      <w:r>
        <w:rPr>
          <w:rFonts w:ascii="Times New Roman;sans-serif" w:hAnsi="Times New Roman;sans-serif"/>
          <w:b w:val="false"/>
          <w:color w:val="000000"/>
          <w:sz w:val="22"/>
          <w:u w:val="single"/>
        </w:rPr>
        <w:t>PPA Effective Date</w:t>
      </w:r>
      <w:r>
        <w:rPr>
          <w:color w:val="000000"/>
        </w:rPr>
        <w:t>”</w:t>
      </w:r>
      <w:r>
        <w:rPr>
          <w:rFonts w:ascii="Times New Roman;sans-serif" w:hAnsi="Times New Roman;sans-serif"/>
          <w:b w:val="false"/>
          <w:color w:val="000000"/>
          <w:sz w:val="22"/>
        </w:rPr>
        <w:t>).    </w:t>
      </w:r>
    </w:p>
    <w:p>
      <w:pPr>
        <w:pStyle w:val="TextBody"/>
        <w:bidi w:val="0"/>
        <w:spacing w:before="0" w:after="0"/>
        <w:jc w:val="left"/>
        <w:rPr/>
      </w:pPr>
      <w:r>
        <w:rPr/>
      </w:r>
    </w:p>
    <w:tbl>
      <w:tblPr>
        <w:tblW w:w="9850" w:type="dxa"/>
        <w:jc w:val="left"/>
        <w:tblInd w:w="0" w:type="dxa"/>
        <w:tblLayout w:type="fixed"/>
        <w:tblCellMar>
          <w:top w:w="28" w:type="dxa"/>
          <w:left w:w="28" w:type="dxa"/>
          <w:bottom w:w="28" w:type="dxa"/>
          <w:right w:w="28" w:type="dxa"/>
        </w:tblCellMar>
      </w:tblPr>
      <w:tblGrid>
        <w:gridCol w:w="626"/>
        <w:gridCol w:w="548"/>
        <w:gridCol w:w="548"/>
        <w:gridCol w:w="548"/>
        <w:gridCol w:w="548"/>
        <w:gridCol w:w="548"/>
        <w:gridCol w:w="548"/>
        <w:gridCol w:w="548"/>
        <w:gridCol w:w="574"/>
        <w:gridCol w:w="109"/>
        <w:gridCol w:w="109"/>
        <w:gridCol w:w="109"/>
        <w:gridCol w:w="371"/>
        <w:gridCol w:w="256"/>
        <w:gridCol w:w="257"/>
        <w:gridCol w:w="994"/>
        <w:gridCol w:w="994"/>
        <w:gridCol w:w="997"/>
        <w:gridCol w:w="181"/>
        <w:gridCol w:w="181"/>
        <w:gridCol w:w="256"/>
      </w:tblGrid>
      <w:tr>
        <w:trPr/>
        <w:tc>
          <w:tcPr>
            <w:tcW w:w="6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036"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 xml:space="preserve">Panasonic Energy Corporation of North America </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87"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120" w:after="283"/>
              <w:jc w:val="center"/>
              <w:rPr>
                <w:rFonts w:ascii="Times New Roman;sans-serif" w:hAnsi="Times New Roman;sans-serif"/>
                <w:b/>
                <w:color w:val="000000"/>
                <w:sz w:val="22"/>
              </w:rPr>
            </w:pPr>
            <w:r>
              <w:rPr>
                <w:rFonts w:ascii="Times New Roman;sans-serif" w:hAnsi="Times New Roman;sans-serif"/>
                <w:b/>
                <w:color w:val="000000"/>
                <w:sz w:val="22"/>
              </w:rPr>
              <w:t>Lucid USA, Inc.</w:t>
            </w:r>
          </w:p>
        </w:tc>
      </w:tr>
      <w:tr>
        <w:trPr/>
        <w:tc>
          <w:tcPr>
            <w:tcW w:w="172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6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7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98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18" w:type="dxa"/>
            <w:gridSpan w:val="3"/>
            <w:tcBorders>
              <w:right w:val="single" w:sz="8" w:space="0" w:color="000000"/>
            </w:tcBorders>
            <w:tcMar>
              <w:top w:w="0" w:type="dxa"/>
              <w:left w:w="0" w:type="dxa"/>
              <w:bottom w:w="0" w:type="dxa"/>
            </w:tcMar>
            <w:vAlign w:val="center"/>
          </w:tcPr>
          <w:p>
            <w:pPr>
              <w:pStyle w:val="TableContents"/>
              <w:bidi w:val="0"/>
              <w:spacing w:before="0" w:after="0"/>
              <w:jc w:val="left"/>
              <w:rPr/>
            </w:pPr>
            <w:r>
              <w:rPr/>
            </w:r>
          </w:p>
        </w:tc>
      </w:tr>
      <w:tr>
        <w:trPr/>
        <w:tc>
          <w:tcPr>
            <w:tcW w:w="172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Printed:</w:t>
            </w:r>
            <w:r>
              <w:rPr>
                <w:color w:val="000000"/>
                <w:u w:val="single"/>
              </w:rPr>
              <w:t xml:space="preserve"> </w:t>
            </w:r>
          </w:p>
        </w:tc>
        <w:tc>
          <w:tcPr>
            <w:tcW w:w="1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Kris Takamoto</w:t>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Printed: </w:t>
            </w:r>
          </w:p>
        </w:tc>
        <w:tc>
          <w:tcPr>
            <w:tcW w:w="29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Gagan Dhingra</w:t>
            </w:r>
          </w:p>
        </w:tc>
        <w:tc>
          <w:tcPr>
            <w:tcW w:w="61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Title:</w:t>
            </w:r>
            <w:r>
              <w:rPr>
                <w:color w:val="000000"/>
                <w:u w:val="single"/>
              </w:rPr>
              <w:t xml:space="preserve"> </w:t>
            </w:r>
          </w:p>
        </w:tc>
        <w:tc>
          <w:tcPr>
            <w:tcW w:w="1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President</w:t>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tc>
        <w:tc>
          <w:tcPr>
            <w:tcW w:w="29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Interim Chief Financial Officer</w:t>
            </w:r>
          </w:p>
        </w:tc>
        <w:tc>
          <w:tcPr>
            <w:tcW w:w="61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Date:</w:t>
            </w:r>
            <w:r>
              <w:rPr>
                <w:color w:val="000000"/>
                <w:u w:val="single"/>
              </w:rPr>
              <w:t xml:space="preserve"> </w:t>
            </w:r>
          </w:p>
        </w:tc>
        <w:tc>
          <w:tcPr>
            <w:tcW w:w="1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10/1/2024</w:t>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tc>
        <w:tc>
          <w:tcPr>
            <w:tcW w:w="29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10/1/2024</w:t>
            </w:r>
          </w:p>
        </w:tc>
        <w:tc>
          <w:tcPr>
            <w:tcW w:w="61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2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PPA incorporates the following Exhibits: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u w:val="single"/>
        </w:rPr>
        <w:t>Exhibit A</w:t>
      </w:r>
      <w:r>
        <w:rPr>
          <w:rFonts w:ascii="Times New Roman;sans-serif" w:hAnsi="Times New Roman;sans-serif"/>
          <w:b w:val="false"/>
          <w:color w:val="000000"/>
          <w:sz w:val="22"/>
        </w:rPr>
        <w:t>: Goods and Price</w:t>
      </w:r>
    </w:p>
    <w:p>
      <w:pPr>
        <w:pStyle w:val="TextBody"/>
        <w:bidi w:val="0"/>
        <w:spacing w:lineRule="auto" w:line="288" w:before="0" w:after="0"/>
        <w:jc w:val="left"/>
        <w:rPr/>
      </w:pPr>
      <w:r>
        <w:rPr>
          <w:rFonts w:ascii="Times New Roman;sans-serif" w:hAnsi="Times New Roman;sans-serif"/>
          <w:b/>
          <w:color w:val="000000"/>
          <w:sz w:val="22"/>
          <w:u w:val="single"/>
        </w:rPr>
        <w:t>Exhibit B</w:t>
      </w:r>
      <w:r>
        <w:rPr>
          <w:rFonts w:ascii="Times New Roman;sans-serif" w:hAnsi="Times New Roman;sans-serif"/>
          <w:b w:val="false"/>
          <w:color w:val="000000"/>
          <w:sz w:val="22"/>
        </w:rPr>
        <w:t>: Raw material and Exchange Rate Adjustments</w:t>
      </w:r>
    </w:p>
    <w:p>
      <w:pPr>
        <w:pStyle w:val="TextBody"/>
        <w:bidi w:val="0"/>
        <w:spacing w:lineRule="auto" w:line="288" w:before="0" w:after="0"/>
        <w:jc w:val="left"/>
        <w:rPr/>
      </w:pPr>
      <w:r>
        <w:rPr>
          <w:rFonts w:ascii="Times New Roman;sans-serif" w:hAnsi="Times New Roman;sans-serif"/>
          <w:b/>
          <w:color w:val="000000"/>
          <w:sz w:val="22"/>
          <w:u w:val="single"/>
        </w:rPr>
        <w:t>Exhibit C</w:t>
      </w:r>
      <w:r>
        <w:rPr>
          <w:rFonts w:ascii="Times New Roman;sans-serif" w:hAnsi="Times New Roman;sans-serif"/>
          <w:b w:val="false"/>
          <w:color w:val="000000"/>
          <w:sz w:val="22"/>
        </w:rPr>
        <w:t>: Volume Forecast</w:t>
      </w:r>
    </w:p>
    <w:p>
      <w:pPr>
        <w:pStyle w:val="TextBody"/>
        <w:bidi w:val="0"/>
        <w:spacing w:lineRule="auto" w:line="288" w:before="0" w:after="0"/>
        <w:jc w:val="both"/>
        <w:rPr/>
      </w:pPr>
      <w:r>
        <w:rPr>
          <w:rFonts w:ascii="Times New Roman;sans-serif" w:hAnsi="Times New Roman;sans-serif"/>
          <w:b/>
          <w:color w:val="000000"/>
          <w:sz w:val="22"/>
          <w:u w:val="single"/>
        </w:rPr>
        <w:t>Exhibit D</w:t>
      </w:r>
      <w:r>
        <w:rPr>
          <w:rFonts w:ascii="Times New Roman;sans-serif" w:hAnsi="Times New Roman;sans-serif"/>
          <w:b w:val="false"/>
          <w:color w:val="000000"/>
          <w:sz w:val="22"/>
        </w:rPr>
        <w:t>: Forecast Adjustment</w:t>
      </w:r>
    </w:p>
    <w:p>
      <w:pPr>
        <w:pStyle w:val="TextBody"/>
        <w:bidi w:val="0"/>
        <w:spacing w:lineRule="auto" w:line="288" w:before="0" w:after="0"/>
        <w:jc w:val="both"/>
        <w:rPr/>
      </w:pPr>
      <w:r>
        <w:rPr>
          <w:rFonts w:ascii="Times New Roman;sans-serif" w:hAnsi="Times New Roman;sans-serif"/>
          <w:b/>
          <w:color w:val="000000"/>
          <w:sz w:val="22"/>
          <w:u w:val="single"/>
        </w:rPr>
        <w:t>Exhibit E</w:t>
      </w:r>
      <w:r>
        <w:rPr>
          <w:rFonts w:ascii="Times New Roman;sans-serif" w:hAnsi="Times New Roman;sans-serif"/>
          <w:b w:val="false"/>
          <w:color w:val="000000"/>
          <w:sz w:val="22"/>
        </w:rPr>
        <w:t>: Special Remedies</w:t>
      </w:r>
    </w:p>
    <w:p>
      <w:pPr>
        <w:pStyle w:val="TextBody"/>
        <w:bidi w:val="0"/>
        <w:spacing w:lineRule="auto" w:line="288" w:before="0" w:after="0"/>
        <w:jc w:val="both"/>
        <w:rPr/>
      </w:pPr>
      <w:r>
        <w:rPr>
          <w:rFonts w:ascii="Times New Roman;sans-serif" w:hAnsi="Times New Roman;sans-serif"/>
          <w:b/>
          <w:color w:val="000000"/>
          <w:sz w:val="22"/>
          <w:u w:val="single"/>
        </w:rPr>
        <w:t>Exhibit F</w:t>
      </w:r>
      <w:r>
        <w:rPr>
          <w:rFonts w:ascii="Times New Roman;sans-serif" w:hAnsi="Times New Roman;sans-serif"/>
          <w:b w:val="false"/>
          <w:color w:val="000000"/>
          <w:sz w:val="22"/>
        </w:rPr>
        <w:t xml:space="preserve">: Lucid Prepayments </w:t>
      </w:r>
    </w:p>
    <w:p>
      <w:pPr>
        <w:pStyle w:val="TextBody"/>
        <w:bidi w:val="0"/>
        <w:spacing w:lineRule="auto" w:line="288" w:before="0" w:after="0"/>
        <w:jc w:val="left"/>
        <w:rPr/>
      </w:pPr>
      <w:r>
        <w:rPr>
          <w:rFonts w:ascii="Times New Roman;sans-serif" w:hAnsi="Times New Roman;sans-serif"/>
          <w:b/>
          <w:color w:val="000000"/>
          <w:sz w:val="22"/>
          <w:u w:val="single"/>
        </w:rPr>
        <w:t>Exhibit G</w:t>
      </w:r>
      <w:r>
        <w:rPr>
          <w:rFonts w:ascii="Times New Roman;sans-serif" w:hAnsi="Times New Roman;sans-serif"/>
          <w:b w:val="false"/>
          <w:color w:val="000000"/>
          <w:sz w:val="22"/>
        </w:rPr>
        <w:t>: Cell BOM Cost</w:t>
      </w:r>
    </w:p>
    <w:p>
      <w:pPr>
        <w:pStyle w:val="TextBody"/>
        <w:bidi w:val="0"/>
        <w:spacing w:lineRule="auto" w:line="288" w:before="0" w:after="0"/>
        <w:jc w:val="left"/>
        <w:rPr/>
      </w:pPr>
      <w:r>
        <w:rPr>
          <w:rFonts w:ascii="Times New Roman;sans-serif" w:hAnsi="Times New Roman;sans-serif"/>
          <w:b/>
          <w:color w:val="000000"/>
          <w:sz w:val="22"/>
          <w:u w:val="single"/>
        </w:rPr>
        <w:t>Exhibit H</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IRA Compliance and Material Sourcing</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22300"/>
                <wp:effectExtent l="0" t="0" r="0" b="0"/>
                <wp:wrapNone/>
                <wp:docPr id="112" name="Frame112"/>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(Standard), ver. 2     Page </w:t>
                            </w:r>
                            <w:r>
                              <w:rPr>
                                <w:rFonts w:ascii="Times New Roman;sans-serif" w:hAnsi="Times New Roman;sans-serif"/>
                                <w:b/>
                                <w:color w:val="000000"/>
                                <w:sz w:val="21"/>
                              </w:rPr>
                              <w:t>2</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(Standard), ver. 2     Page </w:t>
                      </w:r>
                      <w:r>
                        <w:rPr>
                          <w:rFonts w:ascii="Times New Roman;sans-serif" w:hAnsi="Times New Roman;sans-serif"/>
                          <w:b/>
                          <w:color w:val="000000"/>
                          <w:sz w:val="21"/>
                        </w:rPr>
                        <w:t>2</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 A: Goods and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Chart A-1: Goods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Chart A-2: Battery Cell Pricing</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 B: Raw Material and Exchange Rate Adjustments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 C: Volume Forecast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u w:val="single"/>
        </w:rPr>
        <w:t>Exhibit D</w:t>
      </w:r>
      <w:r>
        <w:rPr>
          <w:rFonts w:ascii="Times New Roman;sans-serif" w:hAnsi="Times New Roman;sans-serif"/>
          <w:b/>
          <w:color w:val="000000"/>
          <w:sz w:val="22"/>
        </w:rPr>
        <w:t>: Forecast Adjustment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u w:val="single"/>
        </w:rPr>
        <w:t>Exhibit E</w:t>
      </w:r>
      <w:r>
        <w:rPr>
          <w:rFonts w:ascii="Times New Roman;sans-serif" w:hAnsi="Times New Roman;sans-serif"/>
          <w:b/>
          <w:color w:val="000000"/>
          <w:sz w:val="22"/>
        </w:rPr>
        <w:t>: Special Remedies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Exhibit F: Lucid Pre-payment: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 G: Cell BOM Cost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Exhibit H: IRA Compliance and Material Sourcing</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    </w:t>
      </w:r>
      <w:r>
        <w:rPr>
          <w:rFonts w:ascii="Times New Roman;sans-serif" w:hAnsi="Times New Roman;sans-serif"/>
          <w:b w:val="false"/>
          <w:i/>
          <w:color w:val="000000"/>
          <w:sz w:val="22"/>
        </w:rPr>
        <w:t>Directed Sourcing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Lucid and PECNA agree to enter into a directed sourcing agreement to govern the qualification, commercial terms, and acceptance of Lucid-directed material sources.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22300"/>
                <wp:effectExtent l="0" t="0" r="0" b="0"/>
                <wp:wrapNone/>
                <wp:docPr id="113" name="Frame113"/>
                <a:graphic xmlns:a="http://schemas.openxmlformats.org/drawingml/2006/main">
                  <a:graphicData uri="http://schemas.microsoft.com/office/word/2010/wordprocessingShape">
                    <wps:wsp>
                      <wps:cNvSpPr txBox="1"/>
                      <wps:spPr>
                        <a:xfrm>
                          <a:off x="0" y="0"/>
                          <a:ext cx="6480175" cy="62230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(Standard), ver. 2     Page </w:t>
                            </w:r>
                            <w:r>
                              <w:rPr>
                                <w:rFonts w:ascii="Times New Roman;sans-serif" w:hAnsi="Times New Roman;sans-serif"/>
                                <w:b/>
                                <w:color w:val="000000"/>
                                <w:sz w:val="21"/>
                              </w:rPr>
                              <w:t>3</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both"/>
                        <w:rPr/>
                      </w:pPr>
                      <w:r>
                        <w:rPr>
                          <w:rFonts w:ascii="Times New Roman;sans-serif" w:hAnsi="Times New Roman;sans-serif"/>
                          <w:b w:val="false"/>
                          <w:color w:val="000000"/>
                          <w:sz w:val="21"/>
                        </w:rPr>
                        <w:t xml:space="preserve">Production Pricing Agreement (Standard), ver. 2     Page </w:t>
                      </w:r>
                      <w:r>
                        <w:rPr>
                          <w:rFonts w:ascii="Times New Roman;sans-serif" w:hAnsi="Times New Roman;sans-serif"/>
                          <w:b/>
                          <w:color w:val="000000"/>
                          <w:sz w:val="21"/>
                        </w:rPr>
                        <w:t>3</w:t>
                      </w:r>
                      <w:r>
                        <w:rPr>
                          <w:color w:val="000000"/>
                        </w:rPr>
                        <w:t xml:space="preserve"> </w:t>
                      </w:r>
                      <w:r>
                        <w:rPr>
                          <w:rFonts w:ascii="Times New Roman;sans-serif" w:hAnsi="Times New Roman;sans-serif"/>
                          <w:b w:val="false"/>
                          <w:color w:val="000000"/>
                          <w:sz w:val="21"/>
                        </w:rPr>
                        <w:t xml:space="preserve">of </w:t>
                      </w:r>
                      <w:r>
                        <w:rPr>
                          <w:rFonts w:ascii="Times New Roman;sans-serif" w:hAnsi="Times New Roman;sans-serif"/>
                          <w:b/>
                          <w:color w:val="000000"/>
                          <w:sz w:val="21"/>
                        </w:rPr>
                        <w:t>3</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900"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24"/>
        <w:gridCol w:w="724"/>
        <w:gridCol w:w="102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Gagan Dhingra,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06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70"/>
        <w:gridCol w:w="770"/>
        <w:gridCol w:w="109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Quarterly Report on Form 10-Q of the Company for the fiscal quarter ended September 30, 2024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90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24"/>
        <w:gridCol w:w="724"/>
        <w:gridCol w:w="102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Rawlinson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Rawlinson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Gagan Dhingra, Interim Chief Financial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Quarterly Report on Form 10-Q of the Company for the fiscal quarter ended September 30, 2024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506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71"/>
        <w:gridCol w:w="771"/>
        <w:gridCol w:w="109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0/000110465923049685/tm2313633d1_ex3-1.htm" TargetMode="External"/><Relationship Id="rId3" Type="http://schemas.openxmlformats.org/officeDocument/2006/relationships/hyperlink" Target="https://www.sec.gov/Archives/edgar/data/1811210/000110465923028423/tm238322d1_ex3-2.htm" TargetMode="External"/><Relationship Id="rId4" Type="http://schemas.openxmlformats.org/officeDocument/2006/relationships/hyperlink" Target="https://www.sec.gov/Archives/edgar/data/1811210/000162828024037638/form8-kxex101.htm" TargetMode="External"/><Relationship Id="rId5" Type="http://schemas.openxmlformats.org/officeDocument/2006/relationships/hyperlink" Target="https://www.sec.gov/Archives/edgar/data/1811210/000162828024034724/q2fy24form8-kxex101.htm" TargetMode="External"/><Relationship Id="rId6" Type="http://schemas.openxmlformats.org/officeDocument/2006/relationships/hyperlink" Target="https://www.sec.gov/Archives/edgar/data/1811210/000162828024034724/q2fy24form8-kx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81604</Words>
  <Characters>460379</Characters>
  <CharactersWithSpaces>539784</CharactersWithSpaces>
  <Paragraphs>3773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