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19,074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364,492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performance-based restricted stock units ("PSUs"),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and dollar amounts give effect to the Issuer's 1-for-10 reverse stock split that was effectuated on August 29, 2025 (the "Reverse Stock Split").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beneficially owned by the reporting person has been updated to account for rounding as a result of the Reverse Stock Split.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281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2025-09-09T16:19:45Z</dcterms:created>
  <dcterms:modified xsi:type="dcterms:W3CDTF">2025-09-09T16:19:45Z</dcterms:modified>
</cp:coreProperties>
</file>