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Maynard-Elliott Nichelle</w:t>
              </w:r>
            </w:hyperlink>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Borders>
              <w:bottom w:val="single" w:sz="8" w:color="0000EE"/>
            </w:tcBorders>
            <w:gridSpan w:val="2"/>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1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06/05/2025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8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3"/>
                <w:szCs w:val="13"/>
                <w:color w:val="0000FF"/>
              </w:rPr>
              <w:t>108,713</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right"/>
              <w:ind w:right="148"/>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9"/>
                <w:szCs w:val="9"/>
                <w:color w:val="008000"/>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258,824</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1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2. RSUs are settled in shares of Class A Common Stock on a one-for-one basis.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Nichelle Maynard-Elliott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8623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233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50230"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2025-06-09T15:44:02Z</dcterms:created>
  <dcterms:modified xsi:type="dcterms:W3CDTF">2025-06-09T15:44:02Z</dcterms:modified>
</cp:coreProperties>
</file>