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May 5, 2026,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results for the first quarter ended March 31, 2026. A copy of the press release is attached as Exhibit 99.1 to this Current Report on Form 8-K and is incorporated by reference herein.</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uses its </w:t>
      </w:r>
      <w:r>
        <w:rPr>
          <w:rFonts w:ascii="Times New Roman" w:cs="Times New Roman" w:eastAsia="Times New Roman" w:hAnsi="Times New Roman"/>
          <w:sz w:val="18"/>
          <w:szCs w:val="18"/>
          <w:u w:val="single" w:color="auto"/>
          <w:color w:val="auto"/>
        </w:rPr>
        <w:t>ir.lucidmotors.com</w:t>
      </w:r>
      <w:r>
        <w:rPr>
          <w:rFonts w:ascii="Times New Roman" w:cs="Times New Roman" w:eastAsia="Times New Roman" w:hAnsi="Times New Roman"/>
          <w:sz w:val="18"/>
          <w:szCs w:val="18"/>
          <w:color w:val="auto"/>
        </w:rPr>
        <w:t xml:space="preserve"> website as a means of disclosing material non-public information and for complying with its disclosure obligations under Regulation FD.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8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8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5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Lucid Press Release Dated May 5, 2026</w:t>
            </w:r>
          </w:p>
        </w:tc>
      </w:tr>
      <w:tr>
        <w:trPr>
          <w:trHeight w:val="20"/>
        </w:trPr>
        <w:tc>
          <w:tcPr>
            <w:tcW w:w="12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5, 2026</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37"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Announces First Quarter 2026 Financial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58"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Produced 5,500 vehicles, up 149% from the first quarter of 2025</w:t>
      </w:r>
    </w:p>
    <w:p>
      <w:pPr>
        <w:spacing w:after="0" w:line="67" w:lineRule="exact"/>
        <w:rPr>
          <w:rFonts w:ascii="Times New Roman" w:cs="Times New Roman" w:eastAsia="Times New Roman" w:hAnsi="Times New Roman"/>
          <w:sz w:val="20"/>
          <w:szCs w:val="20"/>
          <w:color w:val="auto"/>
        </w:rPr>
      </w:pPr>
    </w:p>
    <w:p>
      <w:pPr>
        <w:jc w:val="both"/>
        <w:ind w:left="660" w:right="100" w:hanging="328"/>
        <w:spacing w:after="0" w:line="261"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3,093 vehicles in Q1 2026, with January and March deliveries each ahead of prior-year periods; February delivery timing was affected by a supplier issue resolved during the quarter. Total order intake in North America rose 144% in March 2026 from the prior month</w:t>
      </w:r>
    </w:p>
    <w:p>
      <w:pPr>
        <w:spacing w:after="0" w:line="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Generated Q1 2026 revenue of $282.5 million, up 20% compared to Q1 2025</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14, announced a total capital raise of approximately $1.05 billion, including:</w:t>
      </w:r>
    </w:p>
    <w:p>
      <w:pPr>
        <w:spacing w:after="0" w:line="67" w:lineRule="exact"/>
        <w:rPr>
          <w:rFonts w:ascii="Times New Roman" w:cs="Times New Roman" w:eastAsia="Times New Roman" w:hAnsi="Times New Roman"/>
          <w:sz w:val="20"/>
          <w:szCs w:val="20"/>
          <w:color w:val="auto"/>
        </w:rPr>
      </w:pPr>
    </w:p>
    <w:p>
      <w:pPr>
        <w:ind w:left="1300" w:right="200" w:hanging="320"/>
        <w:spacing w:after="0" w:line="274" w:lineRule="auto"/>
        <w:tabs>
          <w:tab w:leader="none" w:pos="1289"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$550 million in convertible preferred stock issued to Ayar Third Investment Company, an affiliate of the Public Investment Fund (PIF),</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 million in gross proceeds from a registered offering of common stock, and</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$200 million in equity investment of common stock from Uber, increasing Uber’s total investment in Lucid to $500 million.</w:t>
      </w:r>
    </w:p>
    <w:p>
      <w:pPr>
        <w:spacing w:after="0" w:line="65" w:lineRule="exact"/>
        <w:rPr>
          <w:rFonts w:ascii="Times New Roman" w:cs="Times New Roman" w:eastAsia="Times New Roman" w:hAnsi="Times New Roman"/>
          <w:sz w:val="19"/>
          <w:szCs w:val="19"/>
          <w:color w:val="auto"/>
        </w:rPr>
      </w:pPr>
    </w:p>
    <w:p>
      <w:pPr>
        <w:ind w:left="660" w:right="480" w:hanging="328"/>
        <w:spacing w:after="0" w:line="281"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the Delayed Draw Term Loan (DDTL) provided by PIF by $500 million, drawing $500 million in cash in April while retaining approximately $2.0 billion in remaining undrawn capacity</w:t>
      </w:r>
    </w:p>
    <w:p>
      <w:pPr>
        <w:spacing w:after="0" w:line="1"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approximately $3.2 billion in liquidity. On a pro forma basis, after the capital raise and the increased DDTL, Lucid’s total liquidity at quarter-end amounts to approximately $4.7 billion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Highlights</w:t>
      </w:r>
    </w:p>
    <w:p>
      <w:pPr>
        <w:spacing w:after="0" w:line="58" w:lineRule="exact"/>
        <w:rPr>
          <w:sz w:val="20"/>
          <w:szCs w:val="20"/>
          <w:color w:val="auto"/>
        </w:rPr>
      </w:pPr>
    </w:p>
    <w:p>
      <w:pPr>
        <w:ind w:left="660" w:right="180" w:hanging="328"/>
        <w:spacing w:after="0" w:line="27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14, announced global industrial leader Silvio Napoli as Lucid’s next CEO, with Interim CEO Marc Winterhoff continuing with Lucid in his former position as COO upon Napoli assuming the CEO role</w:t>
      </w:r>
    </w:p>
    <w:p>
      <w:pPr>
        <w:spacing w:after="0" w:line="1" w:lineRule="exact"/>
        <w:rPr>
          <w:rFonts w:ascii="Times New Roman" w:cs="Times New Roman" w:eastAsia="Times New Roman" w:hAnsi="Times New Roman"/>
          <w:sz w:val="20"/>
          <w:szCs w:val="20"/>
          <w:color w:val="auto"/>
        </w:rPr>
      </w:pPr>
    </w:p>
    <w:p>
      <w:pPr>
        <w:ind w:left="660" w:right="420" w:hanging="328"/>
        <w:spacing w:after="0" w:line="28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14, expanded Lucid’s robotaxi partnership with Uber to a total of at least 35,000 vehicles, including Lucid Gravity and Lucid Midsize vehicles. Achieved other milestones in the partnership with Uber and Nuro:</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delivery of all Lucid Gravity robotaxi alpha test vehicles during the quarter</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at partner companies commenced taking test rides utilizing the Uber app</w:t>
      </w:r>
    </w:p>
    <w:p>
      <w:pPr>
        <w:spacing w:after="0" w:line="67" w:lineRule="exact"/>
        <w:rPr>
          <w:rFonts w:ascii="Times New Roman" w:cs="Times New Roman" w:eastAsia="Times New Roman" w:hAnsi="Times New Roman"/>
          <w:sz w:val="20"/>
          <w:szCs w:val="20"/>
          <w:color w:val="auto"/>
        </w:rPr>
      </w:pPr>
    </w:p>
    <w:p>
      <w:pPr>
        <w:ind w:left="1300" w:right="40" w:hanging="320"/>
        <w:spacing w:after="0" w:line="269"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Nuro secured its California DMV permit for driverless testing in April, paving the way for the opening of driverless robotaxi operations to the public later this year</w:t>
      </w:r>
    </w:p>
    <w:p>
      <w:pPr>
        <w:spacing w:after="0" w:line="1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on-road testing in preparation for commercial launch of robotaxi service later this year</w:t>
      </w:r>
    </w:p>
    <w:p>
      <w:pPr>
        <w:spacing w:after="0" w:line="67"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Lucid’s first-ever authorized retail and service partner in Europe, diversifying the company’s revenue base through a cost-efficient approach</w:t>
      </w:r>
    </w:p>
    <w:p>
      <w:pPr>
        <w:spacing w:after="0" w:line="1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Lucid Gravity SUV was named 2026 World Luxury Car of the Year</w:t>
      </w:r>
    </w:p>
    <w:p>
      <w:pPr>
        <w:spacing w:after="0" w:line="21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20"/>
          <w:szCs w:val="20"/>
          <w:color w:val="auto"/>
        </w:rPr>
        <w:t>NEWARK, Calif. — May 5, 2026 — Lucid Group, Inc. (NASDAQ: LCID), maker of the world’s most advanced software-defined vehicles and technologies, today announced financial results for its first quarter ended March 31, 2026. The earnings presentation is available on its investor relations website (https://ir.lucidmotors.com).</w:t>
      </w:r>
    </w:p>
    <w:p>
      <w:pPr>
        <w:spacing w:after="0" w:line="1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 xml:space="preserve">The Company produced 5,500 vehicles and delivered 3,093 vehicles in the first quarter of 2026. During the quarter, a seat supplier issue was identified that significantly affected Lucid Gravity deliveries in February. We addressed these issues and sales performance in March increased by 14% compared to March 2025. </w:t>
      </w:r>
      <w:r>
        <w:rPr>
          <w:rFonts w:ascii="Times New Roman" w:cs="Times New Roman" w:eastAsia="Times New Roman" w:hAnsi="Times New Roman"/>
          <w:sz w:val="20"/>
          <w:szCs w:val="20"/>
          <w:color w:val="242424"/>
        </w:rPr>
        <w:t>Lucid is taking further steps to align production with anticipated deliveries and customer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demand.</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Lucid reported first quarter revenue of $282.5 million and ended the quarter with approximately $3.2 billion in total liquidity. On a pro forma basis for the April capital raise and expanded DDTL, total liquidity at quarter-end would have been approximately $4.7 billion.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ind w:right="100"/>
        <w:spacing w:after="0" w:line="253" w:lineRule="auto"/>
        <w:rPr>
          <w:sz w:val="20"/>
          <w:szCs w:val="20"/>
          <w:color w:val="auto"/>
        </w:rPr>
      </w:pPr>
      <w:r>
        <w:rPr>
          <w:rFonts w:ascii="Times New Roman" w:cs="Times New Roman" w:eastAsia="Times New Roman" w:hAnsi="Times New Roman"/>
          <w:sz w:val="20"/>
          <w:szCs w:val="20"/>
          <w:color w:val="auto"/>
        </w:rPr>
        <w:t>“First quarter results demonstrated the strength of our technology and product portfolio. A supplier issue resolved during the quarter had an impact, but January and March deliveries were ahead of the same periods in the prior year,” said Marc Winterhoff, Interim Chief Executive Officer at Lucid. “We expanded strategic partnerships, including with Uber, and continued to advance our autonomy roadmap. We are executing with focus across operations, aligning production and delivery with customer demand. With the announcement of Silvio Napoli as our next Chief Executive Officer, we are entering Lucid's next growth phase with a clear mandate: to accelerate toward financial self-sufficiency while delivering industry-leading innovation and customer experience.”</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strengthened our balance sheet with over $1 billion in new capital and expanded strategic partnerships that enhance long-term revenue visibility” said Taoufiq Boussaid, Chief Financial Officer at Lucid. “We ended the quarter with elevated inventory that we expect to convert to revenue and cash as deliveries normalize, while maintaining alignment between production and sales cadence. Our focus is on disciplined execution — driving structural cost improvements, managing capital efficiently, and improving operating leverage as we scale. These actions build the foundation for profitable growth as we scale production, expand our customer base, and capture the commercial opportunity ahead.”</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Lucid will host a conference call for analysts and investors at 2:30 P.M. PT / 5:30 P.M. ET on May 5, 2026.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3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investor@lucidmotors.com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media@lucidmotors.com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Trademarks</w:t>
      </w:r>
    </w:p>
    <w:p>
      <w:pPr>
        <w:spacing w:after="0" w:line="23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1B1B1B"/>
        </w:rPr>
        <w:t>Forward-Looking Statements</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“aiming,” “targeting”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prospects, growth, production volumes, strategies, management, and the markets in which Lucid operates, including expectations of financial and operational metrics, projections of market opportunity, market share and product sales, plans and expectations related to commercial product launches and future programs, initiatives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further monetization opportunities,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plans and expectations regarding future manufacturing capabilities and facilities, logistics and supply chain, studio and service center openings, sales channels and strategies, test drive, ability to mitigate supply chain and logistics risks, plans and expectations regarding expansion and construction of Lucid’s AMP-1 and AMP-2 manufacturing facilities and capabilities, including potential benefits, ability to vertically integrate production processes, future market launches and international expansion, Lucid’s ability to grow its brand awareness, plans and expectations regarding management transitions, the potential success of Lucid’s distribution strategy and future vehicle programs, potential automotive and strategic partnerships and their anticipated benefits, plans and expectations regarding Lucid’s ADAS/AD roadmap and robotaxi program, expectations on the technology licensing landscape, expectations on the regulatory and political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regulatory and legal conditions, including uncertainties and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the broadening of the conflict in Iran; risks related to changes in overall demand for Lucid’s products and services and cancellation of orders for Lucid’s vehicles; risks related to prices and availability of commodities and materials, including rare earth materials and semiconductors and their related products, Lucid’s supply chain, logistics, inventory management and quality control, and Lucid’s ability to complete the tooling of its manufacturing facilities over time and scale production of Lucid’s vehicles; risks related to the uncertainty of Lucid’s projected financial and operational information; risks related to the timing of expected business milestones and commercial product launches; risks related to the construction and expansion of Lucid’s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its ability to realize the anticipated benefits of its partnerships with Aston Martin, Uber, Nuro and NVIDIA; risks related to potential vehicle recalls; Lucid’s ability to establish and expand its brand, and capture additional market share, and the risks associated with negative press or reputational harm; Lucid’s ability to effectively manage its growth and recruit and retain key employees, including its executive team; Lucid’s ongoing need to attract, retain, and motivate key employees, including engineering and management employees, as Lucid has undertaken multiple significant management changes in the past; risks related to Lucid’s outstanding redeemable convertible preferred stock and convertible senior notes; availability, reduction or</w:t>
      </w:r>
    </w:p>
    <w:p>
      <w:pPr>
        <w:sectPr>
          <w:pgSz w:w="11900" w:h="16838" w:orient="portrait"/>
          <w:cols w:equalWidth="0" w:num="1">
            <w:col w:w="11240"/>
          </w:cols>
          <w:pgMar w:left="320" w:top="1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14" w:right="339" w:bottom="1440" w:gutter="0" w:footer="0" w:header="0"/>
          <w:type w:val="continuous"/>
        </w:sectPr>
      </w:pPr>
    </w:p>
    <w:bookmarkStart w:id="6" w:name="page7"/>
    <w:bookmarkEnd w:id="6"/>
    <w:p>
      <w:pPr>
        <w:spacing w:after="0" w:line="264" w:lineRule="auto"/>
        <w:rPr>
          <w:sz w:val="20"/>
          <w:szCs w:val="20"/>
          <w:color w:val="auto"/>
        </w:rPr>
      </w:pPr>
      <w:r>
        <w:rPr>
          <w:rFonts w:ascii="Times New Roman" w:cs="Times New Roman" w:eastAsia="Times New Roman" w:hAnsi="Times New Roman"/>
          <w:sz w:val="19"/>
          <w:szCs w:val="19"/>
          <w:color w:val="auto"/>
        </w:rPr>
        <w:t>elimination of, and Lucid’s ability to obtain and effectively utilize, zero emission vehicle credits, tax incentives, and other governmental and regulatory programs and incentives; Lucid’s ability to conduct equity, equity-linked or debt financings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 cautionary language and the Risk Factors in Lucid’s Annual Report on Form 10-K for the year ended December 31, 2025, subsequent Quarterly Reports on Form 10-Q, Current Reports on Form 8-K, and other documents Lucid has filed or will file with the Securities and Exchange Commission. If any of these risks or uncertainties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00"/>
          </w:cols>
          <w:pgMar w:left="320" w:top="13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Key Business Metrics</w:t>
      </w:r>
    </w:p>
    <w:p>
      <w:pPr>
        <w:spacing w:after="0" w:line="23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Condensed consolidated financial information has been presented in accordance with US GAAP (“GAAP”) as well as on a non-GAAP basis to supplement Lucid’s condensed consolidated financial results. Lucid’s non-GAAP financial measures include Adjusted EBITDA, adjusted net loss attributable to common stockholders, adjusted net loss per share attributable to common stockholders, and free cash flow, which are discussed below.</w:t>
      </w:r>
    </w:p>
    <w:p>
      <w:pPr>
        <w:spacing w:after="0" w:line="1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Adjusted EBITDA is defined as net loss attributable to common stockholders before (1) interest expense, (2) interest income, (3) provision for (benefit from) income taxes, (4) depreciation and amortization, (5) stock-based compensation, (6) workforce reduction charges, (7) change in fair value of common stock warrant liability, (8) change in fair value of equity securities of a related party, (9) change in fair value of derivative liabilities associated with redeemable convertible preferred stock (related party), and (10) accretion of redeemable convertible preferred stock (related party). Lucid believes that Adjusted EBITDA provides useful information to Lucid’s management and investors about Lucid’s financial performance.</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Adjusted net loss attributable to common stockholders is defined as net loss attributable to common stockholders excluding (1) stock-based compensation, (2) workforce reduction charges, (3) change in fair value of common stock warrant liability, (4) change in fair value of equity securities of a related party, (5) change in fair value of derivative liabilities associated with redeemable convertible preferred stock (related party), and (6) accretion of redeemable convertible preferred stock (related party).</w:t>
      </w:r>
    </w:p>
    <w:p>
      <w:pPr>
        <w:spacing w:after="0" w:line="172"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Lucid defines and calculates adjusted net loss per share attributable to common stockholders as adjusted net loss attributable to common stockholders divided by weighted-average shares outstanding attributable to common stockholders.</w:t>
      </w:r>
    </w:p>
    <w:p>
      <w:pPr>
        <w:spacing w:after="0" w:line="14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Lucid believes that adjusted net loss attributable to common stockholders and adjusted net loss per share attributable to common stockholders financial measures provide investors with useful information to evaluate the performance of its business excluding items not reflecting ongoing operating activities.</w:t>
      </w:r>
    </w:p>
    <w:p>
      <w:pPr>
        <w:spacing w:after="0" w:line="161"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9"/>
          <w:szCs w:val="19"/>
          <w:color w:val="auto"/>
        </w:rPr>
        <w:t>Free cash flow is defined as net cash used in operating activities less capital expenditures. Lucid believes that free cash flow provides useful information to Lucid’s management and investors about the amount of cash generated by the business after necessary capital expenditures.</w:t>
      </w:r>
    </w:p>
    <w:p>
      <w:pPr>
        <w:spacing w:after="0" w:line="12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its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Lucid’s results as reported under GAAP.</w:t>
      </w:r>
    </w:p>
    <w:p>
      <w:pPr>
        <w:spacing w:after="0" w:line="1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20" w:top="1314" w:right="359" w:bottom="1440" w:gutter="0" w:footer="0" w:header="0"/>
        </w:sectPr>
      </w:pPr>
    </w:p>
    <w:bookmarkStart w:id="8" w:name="page9"/>
    <w:bookmarkEnd w:id="8"/>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700,356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997,827</w:t>
            </w:r>
          </w:p>
        </w:tc>
        <w:tc>
          <w:tcPr>
            <w:tcW w:w="0" w:type="dxa"/>
            <w:vAlign w:val="bottom"/>
          </w:tcPr>
          <w:p>
            <w:pPr>
              <w:spacing w:after="0"/>
              <w:rPr>
                <w:sz w:val="1"/>
                <w:szCs w:val="1"/>
                <w:color w:val="auto"/>
              </w:rPr>
            </w:pPr>
          </w:p>
        </w:tc>
      </w:tr>
      <w:tr>
        <w:trPr>
          <w:trHeight w:val="212"/>
        </w:trPr>
        <w:tc>
          <w:tcPr>
            <w:tcW w:w="8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Short-term investments (including nil and $50,000 associated with a related party as of March 31, 2026 and December 31, 2025,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2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631,093</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Accounts receivable, net (including $95,278 and $120,540 from a related party as of March 31, 2026 and December 31, 2025,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131,244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177,162</w:t>
            </w:r>
          </w:p>
        </w:tc>
        <w:tc>
          <w:tcPr>
            <w:tcW w:w="0" w:type="dxa"/>
            <w:vAlign w:val="bottom"/>
          </w:tcPr>
          <w:p>
            <w:pPr>
              <w:spacing w:after="0"/>
              <w:rPr>
                <w:sz w:val="1"/>
                <w:szCs w:val="1"/>
                <w:color w:val="auto"/>
              </w:rPr>
            </w:pPr>
          </w:p>
        </w:tc>
      </w:tr>
      <w:tr>
        <w:trPr>
          <w:trHeight w:val="221"/>
        </w:trPr>
        <w:tc>
          <w:tcPr>
            <w:tcW w:w="8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Inventory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1,109,529</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Prepaid expenses</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59,606</w:t>
            </w:r>
          </w:p>
        </w:tc>
        <w:tc>
          <w:tcPr>
            <w:tcW w:w="0" w:type="dxa"/>
            <w:vAlign w:val="bottom"/>
          </w:tcPr>
          <w:p>
            <w:pPr>
              <w:spacing w:after="0"/>
              <w:rPr>
                <w:sz w:val="1"/>
                <w:szCs w:val="1"/>
                <w:color w:val="auto"/>
              </w:rPr>
            </w:pPr>
          </w:p>
        </w:tc>
      </w:tr>
      <w:tr>
        <w:trPr>
          <w:trHeight w:val="222"/>
        </w:trPr>
        <w:tc>
          <w:tcPr>
            <w:tcW w:w="8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324,434</w:t>
            </w:r>
          </w:p>
        </w:tc>
        <w:tc>
          <w:tcPr>
            <w:tcW w:w="0" w:type="dxa"/>
            <w:vAlign w:val="bottom"/>
          </w:tcPr>
          <w:p>
            <w:pPr>
              <w:spacing w:after="0"/>
              <w:rPr>
                <w:sz w:val="1"/>
                <w:szCs w:val="1"/>
                <w:color w:val="auto"/>
              </w:rPr>
            </w:pP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2,756,669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3,299,651</w:t>
            </w:r>
          </w:p>
        </w:tc>
        <w:tc>
          <w:tcPr>
            <w:tcW w:w="0" w:type="dxa"/>
            <w:vAlign w:val="bottom"/>
          </w:tcPr>
          <w:p>
            <w:pPr>
              <w:spacing w:after="0"/>
              <w:rPr>
                <w:sz w:val="1"/>
                <w:szCs w:val="1"/>
                <w:color w:val="auto"/>
              </w:rPr>
            </w:pPr>
          </w:p>
        </w:tc>
      </w:tr>
      <w:tr>
        <w:trPr>
          <w:trHeight w:val="215"/>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4,028,772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3,978,132</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241,974</w:t>
            </w:r>
          </w:p>
        </w:tc>
        <w:tc>
          <w:tcPr>
            <w:tcW w:w="0" w:type="dxa"/>
            <w:vAlign w:val="bottom"/>
          </w:tcPr>
          <w:p>
            <w:pPr>
              <w:spacing w:after="0"/>
              <w:rPr>
                <w:sz w:val="1"/>
                <w:szCs w:val="1"/>
                <w:color w:val="auto"/>
              </w:rPr>
            </w:pPr>
          </w:p>
        </w:tc>
      </w:tr>
      <w:tr>
        <w:trPr>
          <w:trHeight w:val="212"/>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investments (including $13,615 and $24,259 associated with a related party as of March 31, 2026 and December 31, 2025,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512,241</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354,983</w:t>
            </w:r>
          </w:p>
        </w:tc>
        <w:tc>
          <w:tcPr>
            <w:tcW w:w="0" w:type="dxa"/>
            <w:vAlign w:val="bottom"/>
          </w:tcPr>
          <w:p>
            <w:pPr>
              <w:spacing w:after="0"/>
              <w:rPr>
                <w:sz w:val="1"/>
                <w:szCs w:val="1"/>
                <w:color w:val="auto"/>
              </w:rPr>
            </w:pPr>
          </w:p>
        </w:tc>
      </w:tr>
      <w:tr>
        <w:trPr>
          <w:trHeight w:val="236"/>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7,483,168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8,386,981</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payable (including $20,127 and nil associated with a related party as of March 31, 2026 and December 31, 2025,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2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484,853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487,521</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Finance lease liabilities, current portion</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84,222</w:t>
            </w:r>
          </w:p>
        </w:tc>
        <w:tc>
          <w:tcPr>
            <w:tcW w:w="0" w:type="dxa"/>
            <w:vAlign w:val="bottom"/>
          </w:tcPr>
          <w:p>
            <w:pPr>
              <w:spacing w:after="0"/>
              <w:rPr>
                <w:sz w:val="1"/>
                <w:szCs w:val="1"/>
                <w:color w:val="auto"/>
              </w:rPr>
            </w:pPr>
          </w:p>
        </w:tc>
      </w:tr>
      <w:tr>
        <w:trPr>
          <w:trHeight w:val="212"/>
        </w:trPr>
        <w:tc>
          <w:tcPr>
            <w:tcW w:w="8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Current portion of debt ($503,530 and $467,963 associated with related party as of March 31, 2026 and December 31, 2025,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2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707,449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671,746</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current liabilities (including $69,859 and $81,580 associated with related parties as of March 31, 2026 and December 31, 2025,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1,496,972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1,392,641</w:t>
            </w:r>
          </w:p>
        </w:tc>
        <w:tc>
          <w:tcPr>
            <w:tcW w:w="0" w:type="dxa"/>
            <w:vAlign w:val="bottom"/>
          </w:tcPr>
          <w:p>
            <w:pPr>
              <w:spacing w:after="0"/>
              <w:rPr>
                <w:sz w:val="1"/>
                <w:szCs w:val="1"/>
                <w:color w:val="auto"/>
              </w:rPr>
            </w:pPr>
          </w:p>
        </w:tc>
      </w:tr>
      <w:tr>
        <w:trPr>
          <w:trHeight w:val="215"/>
        </w:trPr>
        <w:tc>
          <w:tcPr>
            <w:tcW w:w="86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2,694,303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2,636,130</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liabilities, net of current portion</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104,559</w:t>
            </w: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net of current portion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2,047,844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2,046,576</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 (including $123,350 and $123,198 associated with related parties as of March 31, 2026 and December 31,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2025,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590,277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582,739</w:t>
            </w:r>
          </w:p>
        </w:tc>
        <w:tc>
          <w:tcPr>
            <w:tcW w:w="0" w:type="dxa"/>
            <w:vAlign w:val="bottom"/>
          </w:tcPr>
          <w:p>
            <w:pPr>
              <w:spacing w:after="0"/>
              <w:rPr>
                <w:sz w:val="1"/>
                <w:szCs w:val="1"/>
                <w:color w:val="auto"/>
              </w:rPr>
            </w:pPr>
          </w:p>
        </w:tc>
      </w:tr>
      <w:tr>
        <w:trPr>
          <w:trHeight w:val="221"/>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Derivative liabilities associated with redeemable convertible preferred stock (related party)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16,200</w:t>
            </w:r>
          </w:p>
        </w:tc>
        <w:tc>
          <w:tcPr>
            <w:tcW w:w="0" w:type="dxa"/>
            <w:vAlign w:val="bottom"/>
          </w:tcPr>
          <w:p>
            <w:pPr>
              <w:spacing w:after="0"/>
              <w:rPr>
                <w:sz w:val="1"/>
                <w:szCs w:val="1"/>
                <w:color w:val="auto"/>
              </w:rPr>
            </w:pPr>
          </w:p>
        </w:tc>
      </w:tr>
      <w:tr>
        <w:trPr>
          <w:trHeight w:val="22"/>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5,445,082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5,386,204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stock 10,000,000 shares authorized as of March 31, 2026 and December 31, 2025, Series A redeemable convertible preferred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 par value $0.0001; 100,000 shares issued and outstanding as of March 31, 2026 and December 31, 2025; liquidation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6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preference of $1,408,003 and $1,350,441 as of March 31, 2026 and December 31, 2025, respectively (related party)</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1,339,641</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Preferred stock 10,000,000 shares authorized as of March 31, 2026 and December 31, 2025, Series B redeemable convertible preferred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stock, par value $0.0001; 75,000 shares issued and outstanding as of March 31, 2026 and December 31, 2025; liquidation preference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of $990,274 and $949,249 as of March 31, 2026 and December 31, 2025, respectively (related party)</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987,349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943,849</w:t>
            </w:r>
          </w:p>
        </w:tc>
        <w:tc>
          <w:tcPr>
            <w:tcW w:w="0" w:type="dxa"/>
            <w:vAlign w:val="bottom"/>
          </w:tcPr>
          <w:p>
            <w:pPr>
              <w:spacing w:after="0"/>
              <w:rPr>
                <w:sz w:val="1"/>
                <w:szCs w:val="1"/>
                <w:color w:val="auto"/>
              </w:rPr>
            </w:pPr>
          </w:p>
        </w:tc>
      </w:tr>
      <w:tr>
        <w:trPr>
          <w:trHeight w:val="215"/>
        </w:trPr>
        <w:tc>
          <w:tcPr>
            <w:tcW w:w="86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redeemable convertible preferred stock</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2,389,452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2,283,490</w:t>
            </w:r>
          </w:p>
        </w:tc>
        <w:tc>
          <w:tcPr>
            <w:tcW w:w="0" w:type="dxa"/>
            <w:vAlign w:val="bottom"/>
          </w:tcPr>
          <w:p>
            <w:pPr>
              <w:spacing w:after="0"/>
              <w:rPr>
                <w:sz w:val="1"/>
                <w:szCs w:val="1"/>
                <w:color w:val="auto"/>
              </w:rPr>
            </w:pPr>
          </w:p>
        </w:tc>
      </w:tr>
      <w:tr>
        <w:trPr>
          <w:trHeight w:val="22"/>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 (DEFICIT)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par value $0.0001; 1,500,000,000 shares authorized as of March 31, 2026 and December 31, 2025; 330,230,365 and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327,451,844 shares issued and 330,144,583 and 327,366,062 shares outstanding as of March 31, 2026 and December 31, 2025,</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21"/>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16,304,893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16,337,023</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85,782 shares at March 31, 2026 and December 31, 2025</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(20,716)</w:t>
            </w:r>
          </w:p>
        </w:tc>
        <w:tc>
          <w:tcPr>
            <w:tcW w:w="0" w:type="dxa"/>
            <w:vAlign w:val="bottom"/>
          </w:tcPr>
          <w:p>
            <w:pPr>
              <w:spacing w:after="0"/>
              <w:rPr>
                <w:sz w:val="1"/>
                <w:szCs w:val="1"/>
                <w:color w:val="auto"/>
              </w:rPr>
            </w:pPr>
          </w:p>
        </w:tc>
      </w:tr>
      <w:tr>
        <w:trPr>
          <w:trHeight w:val="221"/>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11,692</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(16,639,089)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(15,610,745)</w:t>
            </w:r>
          </w:p>
        </w:tc>
        <w:tc>
          <w:tcPr>
            <w:tcW w:w="0" w:type="dxa"/>
            <w:vAlign w:val="bottom"/>
          </w:tcPr>
          <w:p>
            <w:pPr>
              <w:spacing w:after="0"/>
              <w:rPr>
                <w:sz w:val="1"/>
                <w:szCs w:val="1"/>
                <w:color w:val="auto"/>
              </w:rPr>
            </w:pPr>
          </w:p>
        </w:tc>
      </w:tr>
      <w:tr>
        <w:trPr>
          <w:trHeight w:val="215"/>
        </w:trPr>
        <w:tc>
          <w:tcPr>
            <w:tcW w:w="86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(351,366)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717,287</w:t>
            </w:r>
          </w:p>
        </w:tc>
        <w:tc>
          <w:tcPr>
            <w:tcW w:w="0" w:type="dxa"/>
            <w:vAlign w:val="bottom"/>
          </w:tcPr>
          <w:p>
            <w:pPr>
              <w:spacing w:after="0"/>
              <w:rPr>
                <w:sz w:val="1"/>
                <w:szCs w:val="1"/>
                <w:color w:val="auto"/>
              </w:rPr>
            </w:pP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REDEEMABLE CONVERTIBLE PREFERRED STOCK AND STOCKHOLDERS’ EQUITY</w:t>
            </w:r>
          </w:p>
        </w:tc>
        <w:tc>
          <w:tcPr>
            <w:tcW w:w="2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7,483,168</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8,386,981</w:t>
            </w: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32" w:right="3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532" w:right="339" w:bottom="1440" w:gutter="0" w:footer="0" w:header="0"/>
          <w:type w:val="continuous"/>
        </w:sectPr>
      </w:pPr>
    </w:p>
    <w:bookmarkStart w:id="9" w:name="page10"/>
    <w:bookmarkEnd w:id="9"/>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5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(including $38,370 and $5,096 from a related party for the three months ended March 31, 2026 and 2025,</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5"/>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235,048</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8"/>
        </w:trPr>
        <w:tc>
          <w:tcPr>
            <w:tcW w:w="8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463,560</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251,246</w:t>
            </w:r>
          </w:p>
        </w:tc>
      </w:tr>
      <w:tr>
        <w:trPr>
          <w:trHeight w:val="228"/>
        </w:trPr>
        <w:tc>
          <w:tcPr>
            <w:tcW w:w="8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304,176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212,175</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Workforce reduction charges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cost and expenses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1,271,950</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926,981</w:t>
            </w:r>
          </w:p>
        </w:tc>
      </w:tr>
      <w:tr>
        <w:trPr>
          <w:trHeight w:val="43"/>
        </w:trPr>
        <w:tc>
          <w:tcPr>
            <w:tcW w:w="8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8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(989,485)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(691,933)</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12,861</w:t>
            </w:r>
          </w:p>
        </w:tc>
      </w:tr>
      <w:tr>
        <w:trPr>
          <w:trHeight w:val="227"/>
        </w:trPr>
        <w:tc>
          <w:tcPr>
            <w:tcW w:w="8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(13,453)</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281,700</w:t>
            </w:r>
          </w:p>
        </w:tc>
      </w:tr>
      <w:tr>
        <w:trPr>
          <w:trHeight w:val="227"/>
        </w:trPr>
        <w:tc>
          <w:tcPr>
            <w:tcW w:w="8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52,209</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expense (including $11,309 and $3,700 to a related party for the three months ended March 31, 2026 and 2025,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5"/>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(11,883)</w:t>
            </w:r>
          </w:p>
        </w:tc>
      </w:tr>
      <w:tr>
        <w:trPr>
          <w:trHeight w:val="228"/>
        </w:trPr>
        <w:tc>
          <w:tcPr>
            <w:tcW w:w="8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w:t>
            </w:r>
          </w:p>
        </w:tc>
      </w:tr>
      <w:tr>
        <w:trPr>
          <w:trHeight w:val="42"/>
        </w:trPr>
        <w:tc>
          <w:tcPr>
            <w:tcW w:w="8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324,399</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provision for (benefit from) income taxes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(1,028,167)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(367,534)</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(1,028,344)</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(366,171)</w:t>
            </w:r>
          </w:p>
        </w:tc>
      </w:tr>
      <w:tr>
        <w:trPr>
          <w:trHeight w:val="42"/>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(105,962)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(364,925)</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w:t>
            </w: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(1,134,306)</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(731,096)</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attributable to common stockholders, basic and diluted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328,285,861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303,631,731</w:t>
            </w:r>
          </w:p>
        </w:tc>
      </w:tr>
      <w:tr>
        <w:trPr>
          <w:trHeight w:val="203"/>
        </w:trPr>
        <w:tc>
          <w:tcPr>
            <w:tcW w:w="8600" w:type="dxa"/>
            <w:vAlign w:val="bottom"/>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63"/>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r>
              <w:rPr>
                <w:rFonts w:ascii="Times New Roman" w:cs="Times New Roman" w:eastAsia="Times New Roman" w:hAnsi="Times New Roman"/>
                <w:sz w:val="22"/>
                <w:szCs w:val="22"/>
                <w:color w:val="auto"/>
                <w:vertAlign w:val="superscript"/>
              </w:rPr>
              <w:t>(1)</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8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8"/>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unrealized gains (losses) on investments, net of tax</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w:t>
            </w:r>
          </w:p>
        </w:tc>
      </w:tr>
      <w:tr>
        <w:trPr>
          <w:trHeight w:val="228"/>
        </w:trPr>
        <w:tc>
          <w:tcPr>
            <w:tcW w:w="8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Reclassification adjustment for realized gains on investments included in net loss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3"/>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w:t>
            </w:r>
          </w:p>
        </w:tc>
      </w:tr>
      <w:tr>
        <w:trPr>
          <w:trHeight w:val="221"/>
        </w:trPr>
        <w:tc>
          <w:tcPr>
            <w:tcW w:w="8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(8,179)</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7,449</w:t>
            </w:r>
          </w:p>
        </w:tc>
      </w:tr>
      <w:tr>
        <w:trPr>
          <w:trHeight w:val="43"/>
        </w:trPr>
        <w:tc>
          <w:tcPr>
            <w:tcW w:w="8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(1,036,523)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(358,722)</w:t>
            </w:r>
          </w:p>
        </w:tc>
      </w:tr>
      <w:tr>
        <w:trPr>
          <w:trHeight w:val="221"/>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(105,962)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(364,925)</w:t>
            </w:r>
          </w:p>
        </w:tc>
      </w:tr>
      <w:tr>
        <w:trPr>
          <w:trHeight w:val="42"/>
        </w:trPr>
        <w:tc>
          <w:tcPr>
            <w:tcW w:w="8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8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common stockholders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(1,142,485)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(723,647)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80" w:firstLine="8"/>
        <w:spacing w:after="0" w:line="302" w:lineRule="auto"/>
        <w:tabs>
          <w:tab w:leader="none" w:pos="145"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weighted-average shares outstanding attributable to common stockholders and net loss per share attributable to common stockholders have been adjusted for the prior periods presented to reflect the one-for-ten (1:10) reverse stock split effected on August 29,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532" w:right="339" w:bottom="1440" w:gutter="0" w:footer="0" w:header="0"/>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r>
        <w:rPr>
          <w:rFonts w:ascii="Times New Roman" w:cs="Times New Roman" w:eastAsia="Times New Roman" w:hAnsi="Times New Roman"/>
          <w:sz w:val="17"/>
          <w:szCs w:val="17"/>
          <w:color w:val="auto"/>
        </w:rPr>
        <w:t>)</w:t>
      </w:r>
    </w:p>
    <w:p>
      <w:pPr>
        <w:spacing w:after="0" w:line="5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(1,028,344)</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(366,171)</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7"/>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97,959</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insurance premium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8,914</w:t>
            </w:r>
          </w:p>
        </w:tc>
      </w:tr>
      <w:tr>
        <w:trPr>
          <w:trHeight w:val="227"/>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Non-cash operating lease cost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8,551</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27,515</w:t>
            </w:r>
          </w:p>
        </w:tc>
      </w:tr>
      <w:tr>
        <w:trPr>
          <w:trHeight w:val="227"/>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Inventory and firm purchase commitments write-downs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147,918</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(12,861)</w:t>
            </w:r>
          </w:p>
        </w:tc>
      </w:tr>
      <w:tr>
        <w:trPr>
          <w:trHeight w:val="227"/>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13,453</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(281,700)</w:t>
            </w:r>
          </w:p>
        </w:tc>
      </w:tr>
      <w:tr>
        <w:trPr>
          <w:trHeight w:val="227"/>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accretion of investment discounts/premiums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(13,480)</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non-cash items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r>
      <w:tr>
        <w:trPr>
          <w:trHeight w:val="228"/>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1"/>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receivable (including $25,262 and $4,116 from a related party for the three months ended March 31, 2026 and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5"/>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2025,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21,781</w:t>
            </w:r>
          </w:p>
        </w:tc>
      </w:tr>
      <w:tr>
        <w:trPr>
          <w:trHeight w:val="227"/>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(576,397)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(206,470)</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w:t>
            </w:r>
          </w:p>
        </w:tc>
      </w:tr>
      <w:tr>
        <w:trPr>
          <w:trHeight w:val="228"/>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r>
      <w:tr>
        <w:trPr>
          <w:trHeight w:val="228"/>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131,672</w:t>
            </w:r>
          </w:p>
        </w:tc>
      </w:tr>
      <w:tr>
        <w:trPr>
          <w:trHeight w:val="43"/>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(1,185,659)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(428,613)</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1"/>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(including $(47,134) and $(41,993) from a related party for the three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5"/>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months ended March 31, 2026 and 2025,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(161,241)</w:t>
            </w:r>
          </w:p>
        </w:tc>
      </w:tr>
      <w:tr>
        <w:trPr>
          <w:trHeight w:val="221"/>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maturities of investments (including $50,000 and nil from a related party for the three months ended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March 31, 2026 and 2025, respectively)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1,062,291</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sale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951,125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investments (including nil and $(30,000) from a related party for the three months ended March 31, 2026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and 2025, respectively)</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(287,029)</w:t>
            </w:r>
          </w:p>
        </w:tc>
      </w:tr>
      <w:tr>
        <w:trPr>
          <w:trHeight w:val="43"/>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875,186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614,021</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42"/>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borrowings from a 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66,656</w:t>
            </w:r>
          </w:p>
        </w:tc>
      </w:tr>
      <w:tr>
        <w:trPr>
          <w:trHeight w:val="228"/>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42"/>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Tax withholding payments for net settlement of employee awards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w:t>
            </w:r>
          </w:p>
        </w:tc>
      </w:tr>
      <w:tr>
        <w:trPr>
          <w:trHeight w:val="228"/>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Payment for finance lease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Payment for credit facility issuance costs to a 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28"/>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Payments of transaction costs for the issuance of 2031 Notes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2"/>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62,731</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(275,193)</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248,139</w:t>
            </w:r>
          </w:p>
        </w:tc>
      </w:tr>
      <w:tr>
        <w:trPr>
          <w:trHeight w:val="43"/>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cash,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1,040,913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1,607,052</w:t>
            </w:r>
          </w:p>
        </w:tc>
      </w:tr>
      <w:tr>
        <w:trPr>
          <w:trHeight w:val="257"/>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cash, cash equivalents, and restricted cash</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765,720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1,855,191</w:t>
            </w:r>
          </w:p>
        </w:tc>
      </w:tr>
      <w:tr>
        <w:trPr>
          <w:trHeight w:val="27"/>
        </w:trPr>
        <w:tc>
          <w:tcPr>
            <w:tcW w:w="8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sectPr>
          <w:pgSz w:w="11900" w:h="16838" w:orient="portrait"/>
          <w:cols w:equalWidth="0" w:num="1">
            <w:col w:w="11240"/>
          </w:cols>
          <w:pgMar w:left="320" w:top="532"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53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RECONCIL</w:t>
      </w:r>
      <w:r>
        <w:rPr>
          <w:rFonts w:ascii="Times New Roman" w:cs="Times New Roman" w:eastAsia="Times New Roman" w:hAnsi="Times New Roman"/>
          <w:sz w:val="17"/>
          <w:szCs w:val="17"/>
          <w:b w:val="1"/>
          <w:bCs w:val="1"/>
          <w:color w:val="auto"/>
        </w:rPr>
        <w:t>IATION OF GAAP TO NON-GAAP FINANCIAL MEASURES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Adjusted EBITDA</w:t>
      </w:r>
    </w:p>
    <w:p>
      <w:pPr>
        <w:spacing w:after="0" w:line="9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 (GAAP)</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(1,134,306)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(731,096)</w:t>
            </w:r>
          </w:p>
        </w:tc>
        <w:tc>
          <w:tcPr>
            <w:tcW w:w="0" w:type="dxa"/>
            <w:vAlign w:val="bottom"/>
          </w:tcPr>
          <w:p>
            <w:pPr>
              <w:spacing w:after="0"/>
              <w:rPr>
                <w:sz w:val="1"/>
                <w:szCs w:val="1"/>
                <w:color w:val="auto"/>
              </w:rPr>
            </w:pPr>
          </w:p>
        </w:tc>
      </w:tr>
      <w:tr>
        <w:trPr>
          <w:trHeight w:val="241"/>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11,883</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(52,209)</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97,959</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27,515</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Workforce reduction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105,962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0" w:type="dxa"/>
            <w:vAlign w:val="bottom"/>
          </w:tcPr>
          <w:p>
            <w:pPr>
              <w:spacing w:after="0"/>
              <w:rPr>
                <w:sz w:val="1"/>
                <w:szCs w:val="1"/>
                <w:color w:val="auto"/>
              </w:rPr>
            </w:pPr>
          </w:p>
        </w:tc>
      </w:tr>
      <w:tr>
        <w:trPr>
          <w:trHeight w:val="261"/>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(780,617)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(563,494)</w:t>
            </w:r>
          </w:p>
        </w:tc>
        <w:tc>
          <w:tcPr>
            <w:tcW w:w="0" w:type="dxa"/>
            <w:vAlign w:val="bottom"/>
          </w:tcPr>
          <w:p>
            <w:pPr>
              <w:spacing w:after="0"/>
              <w:rPr>
                <w:sz w:val="1"/>
                <w:szCs w:val="1"/>
                <w:color w:val="auto"/>
              </w:rPr>
            </w:pPr>
          </w:p>
        </w:tc>
      </w:tr>
      <w:tr>
        <w:trPr>
          <w:trHeight w:val="23"/>
        </w:trPr>
        <w:tc>
          <w:tcPr>
            <w:tcW w:w="8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Net Loss Attributable to Common Stockholders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8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gridSpan w:val="2"/>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 (GAAP)</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(1,134,306)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(731,096)</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27,515</w:t>
            </w:r>
          </w:p>
        </w:tc>
        <w:tc>
          <w:tcPr>
            <w:tcW w:w="0" w:type="dxa"/>
            <w:vAlign w:val="bottom"/>
          </w:tcPr>
          <w:p>
            <w:pPr>
              <w:spacing w:after="0"/>
              <w:rPr>
                <w:sz w:val="1"/>
                <w:szCs w:val="1"/>
                <w:color w:val="auto"/>
              </w:rPr>
            </w:pPr>
          </w:p>
        </w:tc>
      </w:tr>
      <w:tr>
        <w:trPr>
          <w:trHeight w:val="43"/>
        </w:trPr>
        <w:tc>
          <w:tcPr>
            <w:tcW w:w="4700" w:type="dxa"/>
            <w:vAlign w:val="bottom"/>
            <w:gridSpan w:val="2"/>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Workforce reduction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0" w:type="dxa"/>
            <w:vAlign w:val="bottom"/>
          </w:tcPr>
          <w:p>
            <w:pPr>
              <w:spacing w:after="0"/>
              <w:rPr>
                <w:sz w:val="1"/>
                <w:szCs w:val="1"/>
                <w:color w:val="auto"/>
              </w:rPr>
            </w:pPr>
          </w:p>
        </w:tc>
      </w:tr>
      <w:tr>
        <w:trPr>
          <w:trHeight w:val="43"/>
        </w:trPr>
        <w:tc>
          <w:tcPr>
            <w:tcW w:w="4700" w:type="dxa"/>
            <w:vAlign w:val="bottom"/>
            <w:gridSpan w:val="2"/>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0" w:type="dxa"/>
            <w:vAlign w:val="bottom"/>
          </w:tcPr>
          <w:p>
            <w:pPr>
              <w:spacing w:after="0"/>
              <w:rPr>
                <w:sz w:val="1"/>
                <w:szCs w:val="1"/>
                <w:color w:val="auto"/>
              </w:rPr>
            </w:pPr>
          </w:p>
        </w:tc>
      </w:tr>
      <w:tr>
        <w:trPr>
          <w:trHeight w:val="42"/>
        </w:trPr>
        <w:tc>
          <w:tcPr>
            <w:tcW w:w="4700" w:type="dxa"/>
            <w:vAlign w:val="bottom"/>
            <w:gridSpan w:val="2"/>
          </w:tcPr>
          <w:p>
            <w:pPr>
              <w:spacing w:after="0"/>
              <w:rPr>
                <w:sz w:val="3"/>
                <w:szCs w:val="3"/>
                <w:color w:val="auto"/>
              </w:rPr>
            </w:pPr>
          </w:p>
        </w:tc>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105,962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0" w:type="dxa"/>
            <w:vAlign w:val="bottom"/>
          </w:tcPr>
          <w:p>
            <w:pPr>
              <w:spacing w:after="0"/>
              <w:rPr>
                <w:sz w:val="1"/>
                <w:szCs w:val="1"/>
                <w:color w:val="auto"/>
              </w:rPr>
            </w:pPr>
          </w:p>
        </w:tc>
      </w:tr>
      <w:tr>
        <w:trPr>
          <w:trHeight w:val="262"/>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 attributable to common stockholders, basic and diluted (non-GAAP)</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(925,175)</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(619,764)</w:t>
            </w:r>
          </w:p>
        </w:tc>
        <w:tc>
          <w:tcPr>
            <w:tcW w:w="0" w:type="dxa"/>
            <w:vAlign w:val="bottom"/>
          </w:tcPr>
          <w:p>
            <w:pPr>
              <w:spacing w:after="0"/>
              <w:rPr>
                <w:sz w:val="1"/>
                <w:szCs w:val="1"/>
                <w:color w:val="auto"/>
              </w:rPr>
            </w:pPr>
          </w:p>
        </w:tc>
      </w:tr>
      <w:tr>
        <w:trPr>
          <w:trHeight w:val="23"/>
        </w:trPr>
        <w:tc>
          <w:tcPr>
            <w:tcW w:w="8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Net Loss Per Share Attributable to Common Stockholders</w:t>
            </w:r>
            <w:r>
              <w:rPr>
                <w:rFonts w:ascii="Times New Roman" w:cs="Times New Roman" w:eastAsia="Times New Roman" w:hAnsi="Times New Roman"/>
                <w:sz w:val="21"/>
                <w:szCs w:val="21"/>
                <w:b w:val="1"/>
                <w:bCs w:val="1"/>
                <w:u w:val="single" w:color="auto"/>
                <w:color w:val="auto"/>
                <w:vertAlign w:val="superscript"/>
              </w:rPr>
              <w:t>(</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common stockholders, basic and diluted (GAAP)</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43"/>
        </w:trPr>
        <w:tc>
          <w:tcPr>
            <w:tcW w:w="860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Workforce reduction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43"/>
        </w:trPr>
        <w:tc>
          <w:tcPr>
            <w:tcW w:w="860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0" w:type="dxa"/>
            <w:vAlign w:val="bottom"/>
          </w:tcPr>
          <w:p>
            <w:pPr>
              <w:spacing w:after="0"/>
              <w:rPr>
                <w:sz w:val="1"/>
                <w:szCs w:val="1"/>
                <w:color w:val="auto"/>
              </w:rPr>
            </w:pPr>
          </w:p>
        </w:tc>
      </w:tr>
      <w:tr>
        <w:trPr>
          <w:trHeight w:val="42"/>
        </w:trPr>
        <w:tc>
          <w:tcPr>
            <w:tcW w:w="860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63"/>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 per share attributable to common stockholders, basic and diluted (non-GAAP)</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attributable to common stockholders, basic and diluted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328,285,861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303,631,731</w:t>
            </w:r>
          </w:p>
        </w:tc>
        <w:tc>
          <w:tcPr>
            <w:tcW w:w="0" w:type="dxa"/>
            <w:vAlign w:val="bottom"/>
          </w:tcPr>
          <w:p>
            <w:pPr>
              <w:spacing w:after="0"/>
              <w:rPr>
                <w:sz w:val="1"/>
                <w:szCs w:val="1"/>
                <w:color w:val="auto"/>
              </w:rPr>
            </w:pPr>
          </w:p>
        </w:tc>
      </w:tr>
    </w:tbl>
    <w:p>
      <w:pPr>
        <w:spacing w:after="0" w:line="384" w:lineRule="exact"/>
        <w:rPr>
          <w:sz w:val="20"/>
          <w:szCs w:val="20"/>
          <w:color w:val="auto"/>
        </w:rPr>
      </w:pPr>
    </w:p>
    <w:p>
      <w:pPr>
        <w:ind w:right="180" w:firstLine="8"/>
        <w:spacing w:after="0" w:line="234"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weighted-average shares outstanding attributable to common stockholders, net loss per share attributable to common stockholders and adjusted net loss per share attributable to common stockholders have been adjusted for the prior periods presented to reflect the one-for-ten (1:10) reverse stock split effected on August 29, 2025.</w:t>
      </w:r>
    </w:p>
    <w:p>
      <w:pPr>
        <w:sectPr>
          <w:pgSz w:w="11900" w:h="16838" w:orient="portrait"/>
          <w:cols w:equalWidth="0" w:num="1">
            <w:col w:w="11240"/>
          </w:cols>
          <w:pgMar w:left="320" w:top="536" w:right="3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536" w:right="339" w:bottom="1440" w:gutter="0" w:footer="0" w:header="0"/>
          <w:type w:val="continuous"/>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 - continued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w:t>
      </w:r>
    </w:p>
    <w:p>
      <w:pPr>
        <w:spacing w:after="0" w:line="10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4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 (GAAP)</w:t>
            </w:r>
          </w:p>
        </w:tc>
        <w:tc>
          <w:tcPr>
            <w:tcW w:w="4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(1,185,659)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(428,613)</w:t>
            </w:r>
          </w:p>
        </w:tc>
        <w:tc>
          <w:tcPr>
            <w:tcW w:w="0" w:type="dxa"/>
            <w:vAlign w:val="bottom"/>
          </w:tcPr>
          <w:p>
            <w:pPr>
              <w:spacing w:after="0"/>
              <w:rPr>
                <w:sz w:val="1"/>
                <w:szCs w:val="1"/>
                <w:color w:val="auto"/>
              </w:rPr>
            </w:pPr>
          </w:p>
        </w:tc>
      </w:tr>
      <w:tr>
        <w:trPr>
          <w:trHeight w:val="241"/>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(161,241)</w:t>
            </w:r>
          </w:p>
        </w:tc>
        <w:tc>
          <w:tcPr>
            <w:tcW w:w="0" w:type="dxa"/>
            <w:vAlign w:val="bottom"/>
          </w:tcPr>
          <w:p>
            <w:pPr>
              <w:spacing w:after="0"/>
              <w:rPr>
                <w:sz w:val="1"/>
                <w:szCs w:val="1"/>
                <w:color w:val="auto"/>
              </w:rPr>
            </w:pPr>
          </w:p>
        </w:tc>
      </w:tr>
      <w:tr>
        <w:trPr>
          <w:trHeight w:val="29"/>
        </w:trPr>
        <w:tc>
          <w:tcPr>
            <w:tcW w:w="44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 (non-GAAP)</w:t>
            </w:r>
          </w:p>
        </w:tc>
        <w:tc>
          <w:tcPr>
            <w:tcW w:w="4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(1,438,826)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(589,854)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816"/>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4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2026-05-05T15:22:40Z</dcterms:created>
  <dcterms:modified xsi:type="dcterms:W3CDTF">2026-05-05T15:22:40Z</dcterms:modified>
</cp:coreProperties>
</file>