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Churchill Capital Corp IV</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3"/>
              </w:rPr>
              <w:t>Delaware</w:t>
            </w:r>
          </w:p>
        </w:tc>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260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85-0891392</w:t>
            </w:r>
          </w:p>
        </w:tc>
      </w:tr>
      <w:tr>
        <w:trPr>
          <w:trHeight w:val="216"/>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88"/>
              </w:rPr>
              <w:t>(State or other</w:t>
            </w:r>
          </w:p>
        </w:tc>
        <w:tc>
          <w:tcPr>
            <w:tcW w:w="3860" w:type="dxa"/>
            <w:vAlign w:val="bottom"/>
          </w:tcPr>
          <w:p>
            <w:pPr>
              <w:jc w:val="center"/>
              <w:ind w:left="10"/>
              <w:spacing w:after="0"/>
              <w:rPr>
                <w:sz w:val="20"/>
                <w:szCs w:val="20"/>
                <w:color w:val="auto"/>
              </w:rPr>
            </w:pPr>
            <w:r>
              <w:rPr>
                <w:rFonts w:ascii="Arial" w:cs="Arial" w:eastAsia="Arial" w:hAnsi="Arial"/>
                <w:sz w:val="18"/>
                <w:szCs w:val="18"/>
                <w:color w:val="auto"/>
                <w:w w:val="92"/>
              </w:rPr>
              <w:t>(Commission File</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3"/>
              </w:rPr>
              <w:t>(I.R.S. Employer</w:t>
            </w:r>
          </w:p>
        </w:tc>
      </w:tr>
      <w:tr>
        <w:trPr>
          <w:trHeight w:val="216"/>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7"/>
              </w:rPr>
              <w:t>jurisdiction of</w:t>
            </w:r>
          </w:p>
        </w:tc>
        <w:tc>
          <w:tcPr>
            <w:tcW w:w="3860" w:type="dxa"/>
            <w:vAlign w:val="bottom"/>
          </w:tcPr>
          <w:p>
            <w:pPr>
              <w:jc w:val="center"/>
              <w:ind w:left="10"/>
              <w:spacing w:after="0"/>
              <w:rPr>
                <w:sz w:val="20"/>
                <w:szCs w:val="20"/>
                <w:color w:val="auto"/>
              </w:rPr>
            </w:pPr>
            <w:r>
              <w:rPr>
                <w:rFonts w:ascii="Arial" w:cs="Arial" w:eastAsia="Arial" w:hAnsi="Arial"/>
                <w:sz w:val="18"/>
                <w:szCs w:val="18"/>
                <w:color w:val="auto"/>
                <w:w w:val="91"/>
              </w:rPr>
              <w:t>Number)</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5"/>
              </w:rPr>
              <w:t>Identification No.)</w:t>
            </w:r>
          </w:p>
        </w:tc>
      </w:tr>
      <w:tr>
        <w:trPr>
          <w:trHeight w:val="230"/>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2"/>
              </w:rPr>
              <w:t>incorporation)</w:t>
            </w:r>
          </w:p>
        </w:tc>
        <w:tc>
          <w:tcPr>
            <w:tcW w:w="3860" w:type="dxa"/>
            <w:vAlign w:val="bottom"/>
          </w:tcPr>
          <w:p>
            <w:pPr>
              <w:spacing w:after="0"/>
              <w:rPr>
                <w:sz w:val="20"/>
                <w:szCs w:val="20"/>
                <w:color w:val="auto"/>
              </w:rPr>
            </w:pPr>
          </w:p>
        </w:tc>
        <w:tc>
          <w:tcPr>
            <w:tcW w:w="260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1">
            <w:col w:w="11080"/>
          </w:cols>
          <w:pgMar w:left="320" w:top="679" w:right="499" w:bottom="1440" w:gutter="0" w:footer="0" w:header="0"/>
        </w:sectPr>
      </w:pPr>
    </w:p>
    <w:p>
      <w:pPr>
        <w:spacing w:after="0" w:line="1"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679" w:right="499" w:bottom="1440"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380-7500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8" w:lineRule="exact"/>
        <w:rPr>
          <w:sz w:val="24"/>
          <w:szCs w:val="24"/>
          <w:color w:val="auto"/>
        </w:rPr>
      </w:pPr>
    </w:p>
    <w:tbl>
      <w:tblPr>
        <w:tblLayout w:type="fixed"/>
        <w:tblInd w:w="14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0" w:type="dxa"/>
            <w:vAlign w:val="bottom"/>
            <w:gridSpan w:val="3"/>
          </w:tcPr>
          <w:p>
            <w:pPr>
              <w:jc w:val="center"/>
              <w:ind w:right="1240"/>
              <w:spacing w:after="0"/>
              <w:rPr>
                <w:sz w:val="20"/>
                <w:szCs w:val="20"/>
                <w:color w:val="auto"/>
              </w:rPr>
            </w:pPr>
            <w:r>
              <w:rPr>
                <w:rFonts w:ascii="Arial" w:cs="Arial" w:eastAsia="Arial" w:hAnsi="Arial"/>
                <w:sz w:val="18"/>
                <w:szCs w:val="18"/>
                <w:color w:val="auto"/>
                <w:w w:val="91"/>
              </w:rPr>
              <w:t>Trading</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196"/>
        </w:trPr>
        <w:tc>
          <w:tcPr>
            <w:tcW w:w="1580" w:type="dxa"/>
            <w:vAlign w:val="bottom"/>
          </w:tcPr>
          <w:p>
            <w:pPr>
              <w:spacing w:after="0"/>
              <w:rPr>
                <w:sz w:val="17"/>
                <w:szCs w:val="17"/>
                <w:color w:val="auto"/>
              </w:rPr>
            </w:pPr>
          </w:p>
        </w:tc>
        <w:tc>
          <w:tcPr>
            <w:tcW w:w="13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Title of each class</w:t>
            </w:r>
          </w:p>
        </w:tc>
        <w:tc>
          <w:tcPr>
            <w:tcW w:w="1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Symbol</w:t>
            </w:r>
          </w:p>
        </w:tc>
        <w:tc>
          <w:tcPr>
            <w:tcW w:w="17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registered</w:t>
            </w:r>
          </w:p>
        </w:tc>
        <w:tc>
          <w:tcPr>
            <w:tcW w:w="860" w:type="dxa"/>
            <w:vAlign w:val="bottom"/>
            <w:tcBorders>
              <w:top w:val="single" w:sz="8" w:color="auto"/>
            </w:tcBorders>
          </w:tcPr>
          <w:p>
            <w:pPr>
              <w:spacing w:after="0"/>
              <w:rPr>
                <w:sz w:val="17"/>
                <w:szCs w:val="17"/>
                <w:color w:val="auto"/>
              </w:rPr>
            </w:pPr>
          </w:p>
        </w:tc>
      </w:tr>
      <w:tr>
        <w:trPr>
          <w:trHeight w:val="222"/>
        </w:trPr>
        <w:tc>
          <w:tcPr>
            <w:tcW w:w="484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Units, each consisting of one share of Class A common stock,</w:t>
            </w:r>
          </w:p>
        </w:tc>
        <w:tc>
          <w:tcPr>
            <w:tcW w:w="2800" w:type="dxa"/>
            <w:vAlign w:val="bottom"/>
            <w:gridSpan w:val="3"/>
          </w:tcPr>
          <w:p>
            <w:pPr>
              <w:jc w:val="center"/>
              <w:ind w:right="1260"/>
              <w:spacing w:after="0"/>
              <w:rPr>
                <w:sz w:val="20"/>
                <w:szCs w:val="20"/>
                <w:color w:val="auto"/>
              </w:rPr>
            </w:pPr>
            <w:r>
              <w:rPr>
                <w:rFonts w:ascii="Arial" w:cs="Arial" w:eastAsia="Arial" w:hAnsi="Arial"/>
                <w:sz w:val="18"/>
                <w:szCs w:val="18"/>
                <w:color w:val="auto"/>
                <w:w w:val="94"/>
              </w:rPr>
              <w:t>CCIV.U</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484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$0.0001 par value, and one-fifth of one warrant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84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Shares of Class A common Stock</w:t>
            </w:r>
          </w:p>
        </w:tc>
        <w:tc>
          <w:tcPr>
            <w:tcW w:w="500" w:type="dxa"/>
            <w:vAlign w:val="bottom"/>
          </w:tcPr>
          <w:p>
            <w:pPr>
              <w:spacing w:after="0"/>
              <w:rPr>
                <w:sz w:val="18"/>
                <w:szCs w:val="18"/>
                <w:color w:val="auto"/>
              </w:rPr>
            </w:pPr>
          </w:p>
        </w:tc>
        <w:tc>
          <w:tcPr>
            <w:tcW w:w="2300" w:type="dxa"/>
            <w:vAlign w:val="bottom"/>
            <w:gridSpan w:val="2"/>
          </w:tcPr>
          <w:p>
            <w:pPr>
              <w:jc w:val="center"/>
              <w:ind w:right="1760"/>
              <w:spacing w:after="0"/>
              <w:rPr>
                <w:sz w:val="20"/>
                <w:szCs w:val="20"/>
                <w:color w:val="auto"/>
              </w:rPr>
            </w:pPr>
            <w:r>
              <w:rPr>
                <w:rFonts w:ascii="Arial" w:cs="Arial" w:eastAsia="Arial" w:hAnsi="Arial"/>
                <w:sz w:val="18"/>
                <w:szCs w:val="18"/>
                <w:color w:val="auto"/>
                <w:w w:val="97"/>
              </w:rPr>
              <w:t>CCIV</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158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Arial" w:cs="Arial" w:eastAsia="Arial" w:hAnsi="Arial"/>
                <w:sz w:val="18"/>
                <w:szCs w:val="18"/>
                <w:color w:val="auto"/>
                <w:w w:val="90"/>
              </w:rPr>
              <w:t>Warrants</w:t>
            </w:r>
          </w:p>
        </w:tc>
        <w:tc>
          <w:tcPr>
            <w:tcW w:w="2800" w:type="dxa"/>
            <w:vAlign w:val="bottom"/>
            <w:gridSpan w:val="3"/>
          </w:tcPr>
          <w:p>
            <w:pPr>
              <w:jc w:val="center"/>
              <w:ind w:right="1260"/>
              <w:spacing w:after="0"/>
              <w:rPr>
                <w:sz w:val="20"/>
                <w:szCs w:val="20"/>
                <w:color w:val="auto"/>
              </w:rPr>
            </w:pPr>
            <w:r>
              <w:rPr>
                <w:rFonts w:ascii="Arial" w:cs="Arial" w:eastAsia="Arial" w:hAnsi="Arial"/>
                <w:sz w:val="18"/>
                <w:szCs w:val="18"/>
                <w:color w:val="auto"/>
                <w:w w:val="96"/>
              </w:rPr>
              <w:t>CCIV WS</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679" w:right="499" w:bottom="1440" w:gutter="0" w:footer="0" w:header="0"/>
          <w:type w:val="continuous"/>
        </w:sectPr>
      </w:pPr>
    </w:p>
    <w:bookmarkStart w:id="1" w:name="page2"/>
    <w:bookmarkEnd w:id="1"/>
    <w:p>
      <w:pPr>
        <w:ind w:left="20"/>
        <w:spacing w:after="0"/>
        <w:tabs>
          <w:tab w:leader="none" w:pos="130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Churchill Capital Corp IV (“CCIV”), in connection with its proposed business combination (the “business combination”) with Atieva, Inc., d/b/a Lucid Motors, an exempted company incorporated with limited liability under the laws of the Cayman Islands (“Lucid”) and acting pursuant to authorization from its board of directors, has determined (i) to voluntarily withdraw the listing of CCIV’s common stock, warrants, and units from the New York Stock Exchange, and (ii) to list the post-combination company’s common stock and warrants on The Nasdaq Stock Market LLC, in each case subject to the closing of the business combination.</w:t>
      </w:r>
    </w:p>
    <w:p>
      <w:pPr>
        <w:spacing w:after="0" w:line="184"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Items.</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June 25, 2021, CCIV issued a press release with respect to the business combination between CCIV and Lucid. A copy of the press release is included as Exhibit 99.1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business combination between Lucid and CCIV and the related PIPE investment (together, the “proposed transactions”) will be submitted to shareholders of CCIV for their consideration. CCIV has filed a registration statement on Form S-4 (the “Registration Statement”) with the Securities and Exchange Commission (the “SEC”) which included a definitive proxy statement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CCIV mailed a definitive proxy statement and has mailed or will mail other relevant documents to its stockholders as of the record date established for voting on the proposed transactions. CCIV’s stockholders and other interested persons are advised to read the definitive proxy statement/prospectus and any amendments thereto in connection with CCIV’s solicitation of proxies for its special meeting of shareholders to be held to approve, among other things, the proposed transactions, because these documents contain important information about CCIV, Lucid and the proposed transactions. Shareholders may also obtain a copy of the definitive proxy statement as well as other documents filed with the SEC regarding the proposed transactions and other documents filed with the SEC by CCIV, without charge, at the SEC's website located at www.sec.gov or by directing a request to CCIV.</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including the start of production and launch of the Lucid Air and any future products, the performance, range and other features of the Lucid Air, future manufacturing capabilities and facilities, the potential success of Lucid’s go-to-market strategy and expectations related to the terms and timing of the proposed transactions, including the timing of Lucid’s planned public listing.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have been or may be instituted against Lucid or CCIV following announcement of the proposed transactions; failure to realize the anticipated benefits of the proposed transactions;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8"/>
        <w:spacing w:after="0"/>
        <w:tabs>
          <w:tab w:leader="none" w:pos="1287"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788" w:hanging="788"/>
        <w:spacing w:after="0"/>
        <w:tabs>
          <w:tab w:leader="none" w:pos="78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jc w:val="right"/>
        <w:ind w:right="5579"/>
        <w:spacing w:after="0"/>
        <w:rPr>
          <w:sz w:val="20"/>
          <w:szCs w:val="20"/>
          <w:color w:val="auto"/>
        </w:rPr>
      </w:pPr>
      <w:r>
        <w:rPr>
          <w:rFonts w:ascii="Arial" w:cs="Arial" w:eastAsia="Arial" w:hAnsi="Arial"/>
          <w:sz w:val="18"/>
          <w:szCs w:val="18"/>
          <w:color w:val="auto"/>
        </w:rPr>
        <w:t>The Exhibit Index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7"/>
          </w:cols>
          <w:pgMar w:left="332" w:top="904"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5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48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8">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14"/>
                <w:szCs w:val="14"/>
                <w:color w:val="auto"/>
              </w:rPr>
            </w:pPr>
          </w:p>
        </w:tc>
        <w:tc>
          <w:tcPr>
            <w:tcW w:w="954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8">
              <w:r>
                <w:rPr>
                  <w:rFonts w:ascii="Arial" w:cs="Arial" w:eastAsia="Arial" w:hAnsi="Arial"/>
                  <w:sz w:val="18"/>
                  <w:szCs w:val="18"/>
                  <w:color w:val="0000EE"/>
                </w:rPr>
                <w:t>Press Release</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June 25, 2021</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904" w:right="1239" w:bottom="1440" w:gutter="0" w:footer="0" w:header="0"/>
        </w:sectPr>
      </w:pPr>
    </w:p>
    <w:bookmarkStart w:id="7" w:name="page8"/>
    <w:bookmarkEnd w:id="7"/>
    <w:p>
      <w:pPr>
        <w:ind w:left="1012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jc w:val="center"/>
        <w:ind w:left="340" w:right="240"/>
        <w:spacing w:after="0" w:line="282" w:lineRule="auto"/>
        <w:rPr>
          <w:sz w:val="20"/>
          <w:szCs w:val="20"/>
          <w:color w:val="auto"/>
        </w:rPr>
      </w:pPr>
      <w:r>
        <w:rPr>
          <w:rFonts w:ascii="Arial" w:cs="Arial" w:eastAsia="Arial" w:hAnsi="Arial"/>
          <w:sz w:val="18"/>
          <w:szCs w:val="18"/>
          <w:b w:val="1"/>
          <w:bCs w:val="1"/>
          <w:color w:val="auto"/>
        </w:rPr>
        <w:t>Churchill Capital Corp IV Announces Effectiveness of Registration Statement and Sets July 22, 2021 as Date of Stockholder Meeting for the Lucid Business Combination</w:t>
      </w:r>
    </w:p>
    <w:p>
      <w:pPr>
        <w:spacing w:after="0" w:line="166" w:lineRule="exact"/>
        <w:rPr>
          <w:sz w:val="20"/>
          <w:szCs w:val="20"/>
          <w:color w:val="auto"/>
        </w:rPr>
      </w:pPr>
    </w:p>
    <w:p>
      <w:pPr>
        <w:ind w:left="540" w:hanging="26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Special meeting of stockholders to be held at 10:00 a.m. Eastern Time on July 22, 2021 via live webcast</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anticipated closing date for the business combination is July 23, 2021</w:t>
      </w:r>
    </w:p>
    <w:p>
      <w:pPr>
        <w:spacing w:after="0" w:line="225" w:lineRule="exact"/>
        <w:rPr>
          <w:rFonts w:ascii="Arial" w:cs="Arial" w:eastAsia="Arial" w:hAnsi="Arial"/>
          <w:sz w:val="18"/>
          <w:szCs w:val="18"/>
          <w:color w:val="auto"/>
        </w:rPr>
      </w:pPr>
    </w:p>
    <w:p>
      <w:pPr>
        <w:ind w:left="540" w:right="240" w:hanging="262"/>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post-combination company will be renamed Lucid Group, Inc. and its common stock is expected to trade on Nasdaq under the ticker symbol “LCID”</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NEW YORK — June 25, 2021 — Churchill Capital Corp IV (“Churchill IV” or “CCIV”) (NYSE: CCIV), a special purpose acquisition company, today announced that the U.S. Securities and Exchange Commission (the “SEC”) has declared effective Churchill IV’s registration statement on Form S-4 (as amended to the date hereof, the “Registration Statement”). The Registration Statement includes a proxy statement/prospectus for the special meeting of the stockholders of Churchill IV in connection with its proposed combination with Lucid Motors, a leader in EV technology which is setting new standards for sustainable mobility with its advanced luxury EVs.</w:t>
      </w:r>
    </w:p>
    <w:p>
      <w:pPr>
        <w:spacing w:after="0" w:line="188" w:lineRule="exact"/>
        <w:rPr>
          <w:sz w:val="20"/>
          <w:szCs w:val="20"/>
          <w:color w:val="auto"/>
        </w:rPr>
      </w:pPr>
    </w:p>
    <w:p>
      <w:pPr>
        <w:ind w:right="1420"/>
        <w:spacing w:after="0" w:line="308" w:lineRule="auto"/>
        <w:rPr>
          <w:sz w:val="20"/>
          <w:szCs w:val="20"/>
          <w:color w:val="auto"/>
        </w:rPr>
      </w:pPr>
      <w:r>
        <w:rPr>
          <w:rFonts w:ascii="Arial" w:cs="Arial" w:eastAsia="Arial" w:hAnsi="Arial"/>
          <w:sz w:val="17"/>
          <w:szCs w:val="17"/>
          <w:color w:val="auto"/>
        </w:rPr>
        <w:t xml:space="preserve">Churchill IV has scheduled the special meeting of stockholders at 10:00 a.m. Eastern Time on July 22, 2021 via live webcast. The proxy statement/prospectus is available in the Investor Resources section of </w:t>
      </w:r>
      <w:r>
        <w:rPr>
          <w:rFonts w:ascii="Arial" w:cs="Arial" w:eastAsia="Arial" w:hAnsi="Arial"/>
          <w:sz w:val="17"/>
          <w:szCs w:val="17"/>
          <w:u w:val="single" w:color="auto"/>
          <w:color w:val="auto"/>
        </w:rPr>
        <w:t>Churchill IV</w:t>
      </w:r>
      <w:r>
        <w:rPr>
          <w:rFonts w:ascii="Arial" w:cs="Arial" w:eastAsia="Arial" w:hAnsi="Arial"/>
          <w:sz w:val="17"/>
          <w:szCs w:val="17"/>
          <w:color w:val="auto"/>
        </w:rPr>
        <w:t xml:space="preserve">’s website as well as on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4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effectiveness of the Registration Statement is another important milestone in the completion of the transaction, which is currently expected to occur on July 23, 2021, the day immediately following the special meeting of stockholders, subject to final stockholder approval and satisfaction of other customary conditions.</w:t>
      </w:r>
    </w:p>
    <w:p>
      <w:pPr>
        <w:spacing w:after="0" w:line="18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“Lucid has exceeded our expectations since announcing the merger at the end of February and is set to become a leading US technology and sustainable mobility company. We believe Lucid will take EVs to the next level with its proprietary technology and will provide attractive opportunities for Churchill investors,” said Michael Klein, Chairman and CEO of Churchill IV. “CEO Peter Rawlinson continues to extend Lucid’s technology, expand production capacity and attract leading talent. The Lucid Air Dream Edition is fully reserved, and the company has concluded its preproduction program and is on track for expected production and deliveries in the second half of 2021. We have great confidence in Lucid’s leadership and best-in-class board which includes representation from Churchill Capital.”</w:t>
      </w:r>
    </w:p>
    <w:p>
      <w:pPr>
        <w:spacing w:after="0" w:line="19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Holders of Churchill IV’s common stock as of the close of business on June 21, 2021 are entitled to vote at the special meeting. The Churchill IV Board of Directors unanimously recommends that stockholders vote “FOR” the business combination proposal with Lucid as well as the other proposals set forth in the definitive proxy statement/prospectus.</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Churchill IV, whose shares of common stock, warrants and units are currently listed on the New York Stock Exchange (the “NYSE”), also announced that, in connection with the closing of the business combination, it intends to delist from the NYSE and list the shares of common stock and warrants of the post-combination company, to be renamed Lucid Group, Inc., on The Nasdaq Stock Market LLC (“Nasdaq”) under the ticker symbols “LCID” and “LCID.WS”, respectively. The Nasdaq listing and NYSE delisting are subject to the closing of the business combination and fulfillment of all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ind w:right="400"/>
        <w:spacing w:after="0" w:line="277" w:lineRule="auto"/>
        <w:rPr>
          <w:sz w:val="20"/>
          <w:szCs w:val="20"/>
          <w:color w:val="auto"/>
        </w:rPr>
      </w:pPr>
      <w:r>
        <w:rPr>
          <w:rFonts w:ascii="Arial" w:cs="Arial" w:eastAsia="Arial" w:hAnsi="Arial"/>
          <w:sz w:val="18"/>
          <w:szCs w:val="18"/>
          <w:color w:val="auto"/>
        </w:rPr>
        <w:t>Lucid’s proposed public company board of directors, which is expected to be effective as of the closing of the transaction and which is expected to be majority independent, comprises nine diverse directors with deep automotive, technology and industrial expertise:</w:t>
      </w:r>
    </w:p>
    <w:p>
      <w:pPr>
        <w:spacing w:after="0" w:line="16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Andrew Liveris, Chairman of the Board </w:t>
      </w:r>
      <w:r>
        <w:rPr>
          <w:rFonts w:ascii="Arial" w:cs="Arial" w:eastAsia="Arial" w:hAnsi="Arial"/>
          <w:sz w:val="18"/>
          <w:szCs w:val="18"/>
          <w:color w:val="auto"/>
        </w:rPr>
        <w:t>– Former Chairman and CEO of The Dow Chemical Company</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Peter Rawlinson, Executive Director </w:t>
      </w:r>
      <w:r>
        <w:rPr>
          <w:rFonts w:ascii="Arial" w:cs="Arial" w:eastAsia="Arial" w:hAnsi="Arial"/>
          <w:sz w:val="18"/>
          <w:szCs w:val="18"/>
          <w:color w:val="auto"/>
        </w:rPr>
        <w:t>– Lucid Chief Executive Officer and Chief Technology Officer</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Turqi Alnowaiser, Non-Executive Director </w:t>
      </w:r>
      <w:r>
        <w:rPr>
          <w:rFonts w:ascii="Arial" w:cs="Arial" w:eastAsia="Arial" w:hAnsi="Arial"/>
          <w:sz w:val="18"/>
          <w:szCs w:val="18"/>
          <w:color w:val="auto"/>
        </w:rPr>
        <w:t>– Deputy Governor and Head of the International Investments Division at the Public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 of the Kingdom of Saudi Arabia</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Glenn R. August, Non-Executive Director </w:t>
      </w:r>
      <w:r>
        <w:rPr>
          <w:rFonts w:ascii="Arial" w:cs="Arial" w:eastAsia="Arial" w:hAnsi="Arial"/>
          <w:sz w:val="18"/>
          <w:szCs w:val="18"/>
          <w:color w:val="auto"/>
        </w:rPr>
        <w:t>– Founder, Senior Partner and Chief Executive Officer of Oak Hill Advisors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Nancy Gioia, Non-Executive Director </w:t>
      </w:r>
      <w:r>
        <w:rPr>
          <w:rFonts w:ascii="Arial" w:cs="Arial" w:eastAsia="Arial" w:hAnsi="Arial"/>
          <w:sz w:val="17"/>
          <w:szCs w:val="17"/>
          <w:color w:val="auto"/>
        </w:rPr>
        <w:t>– Former Director of Global Connectivity, Electrical and User Experience, Ford Motor Company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Frank Lindenberg, Non-Executive Director </w:t>
      </w:r>
      <w:r>
        <w:rPr>
          <w:rFonts w:ascii="Arial" w:cs="Arial" w:eastAsia="Arial" w:hAnsi="Arial"/>
          <w:sz w:val="18"/>
          <w:szCs w:val="18"/>
          <w:color w:val="auto"/>
        </w:rPr>
        <w:t>– Former Chief Financial Officer of Mercedes-Benz Cars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Nichelle Maynard-Elliott, Non-Executive Director </w:t>
      </w:r>
      <w:r>
        <w:rPr>
          <w:rFonts w:ascii="Arial" w:cs="Arial" w:eastAsia="Arial" w:hAnsi="Arial"/>
          <w:sz w:val="18"/>
          <w:szCs w:val="18"/>
          <w:color w:val="auto"/>
        </w:rPr>
        <w:t>– Former Executive Director, M&amp;A, for Praxair,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Tony Posawatz, Non-Executive Director </w:t>
      </w:r>
      <w:r>
        <w:rPr>
          <w:rFonts w:ascii="Arial" w:cs="Arial" w:eastAsia="Arial" w:hAnsi="Arial"/>
          <w:sz w:val="18"/>
          <w:szCs w:val="18"/>
          <w:color w:val="auto"/>
        </w:rPr>
        <w:t>– President and Chief Executive Officer of Invictus iCAR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Janet S. Wong, Non-Executive Director </w:t>
      </w:r>
      <w:r>
        <w:rPr>
          <w:rFonts w:ascii="Arial" w:cs="Arial" w:eastAsia="Arial" w:hAnsi="Arial"/>
          <w:sz w:val="18"/>
          <w:szCs w:val="18"/>
          <w:color w:val="auto"/>
        </w:rPr>
        <w:t>– Partner (Retired) at KPMG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 Motors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the Lucid Air, is a state-of-the-art luxury sedan with a California-inspired design underpinned by race-proven technology. Featuring luxurious interior space in a mid-size exterior footprint, select models of the Air are expected to be capable of a projected Environmental Protection Agency (“EPA”) range of over 500 miles and 0-60 mph in 2.5 seconds. Customer deliveries of the Lucid Air, which will be produced at Lucid’s new factory in Casa Grande, Arizona, are planned to begin in the second half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Churchill Capital Corp IV</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Churchill Capital Corp IV was formed for the purpose of effecting a merger, capital stock exchange, asset acquisition, stock purchase, reorganization or similar business combination with one or more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proposed business combination between Lucid and CCIV and the related PIPE investment (together, the “proposed transactions”) will be submitted to stockholders of CCIV for their consideration. CCIV has filed the Registration Statement with the SEC which included a definitive proxy statement in connection with CCIV’s solicitation for proxies for the vote by CCIV’s stockholders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CCIV has mailed or will mail a definitive proxy statement and other relevant documents to its stockholders as of the record date established for voting on the proposed transactions. CCIV’s stockholders and other interested persons are advised to read the definitive proxy statement/prospectus and any amendments thereto in connection with CCIV’s solicitation of proxies for its special meeting of stockholders to be held to approve, among other things, the proposed transactions, because these documents contain important information about CCIV, Lucid and the proposed transactions. Stockholders may also obtain a copy of the definitive proxy statement as well as other documents filed with the SEC regarding the proposed transactions and other documents filed with the SEC by CCIV, without charge, at the SEC’s website located at www.sec.gov or by directing a request to CCIV.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stockholders in connection with the proposed transactions. Information regarding the persons who may, under SEC rules, be deemed participants in the solicitation of CCIV’s stockholders in connection with the proposed transactions is set forth in CCIV’s proxy statement/prospectus included in the Registration Statement. Additional information regarding the participants in the proxy solicitation and a description of their direct and indirect interests is included in the proxy statement/prospectus. Stockholders, potential investors and other interested persons should read the proxy statement/prospectus carefully before making any voting or investment decisions. You may obtain free copies of these documents from the sources indicated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including the start of production and launch of the Lucid Air and any future products, the performance, range and other features of the Lucid Air, future manufacturing capabilities and facilities, the potential success of Lucid’s go-to-market strategy and expectations related to the terms and timing of the proposed transactions, including the timing of Lucid’s planned public listing.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stockholders of CCIV or Lucid is not obtained; the outcome of any legal proceedings that have been or may be instituted against Lucid or CCIV following announcement of the proposed transactions; failure to realize the anticipated benefits of the proposed transactions;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10-K/A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Steve Lipin / Lauren Odell / Christina Stenson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Gladstone Place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230-5930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2021-06-25T08:15:58Z</dcterms:created>
  <dcterms:modified xsi:type="dcterms:W3CDTF">2021-06-25T08:15:58Z</dcterms:modified>
</cp:coreProperties>
</file>