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Lucid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549498103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CUSIP No. 549498103</w:t>
            </w:r>
          </w:p>
        </w:tc>
        <w:tc>
          <w:tcPr>
            <w:tcW w:w="3940" w:type="dxa"/>
            <w:vAlign w:val="bottom"/>
          </w:tcPr>
          <w:p>
            <w:pPr>
              <w:ind w:left="940"/>
              <w:spacing w:after="0"/>
              <w:rPr>
                <w:sz w:val="20"/>
                <w:szCs w:val="20"/>
                <w:color w:val="auto"/>
              </w:rPr>
            </w:pPr>
            <w:r>
              <w:rPr>
                <w:rFonts w:ascii="Arial" w:cs="Arial" w:eastAsia="Arial" w:hAnsi="Arial"/>
                <w:sz w:val="18"/>
                <w:szCs w:val="18"/>
                <w:b w:val="1"/>
                <w:bCs w:val="1"/>
                <w:color w:val="auto"/>
              </w:rPr>
              <w:t>SCHEDULE 13G</w:t>
            </w:r>
          </w:p>
        </w:tc>
        <w:tc>
          <w:tcPr>
            <w:tcW w:w="2960" w:type="dxa"/>
            <w:vAlign w:val="bottom"/>
            <w:gridSpan w:val="2"/>
          </w:tcPr>
          <w:p>
            <w:pPr>
              <w:ind w:left="1640"/>
              <w:spacing w:after="0"/>
              <w:rPr>
                <w:sz w:val="20"/>
                <w:szCs w:val="20"/>
                <w:color w:val="auto"/>
              </w:rPr>
            </w:pPr>
            <w:r>
              <w:rPr>
                <w:rFonts w:ascii="Arial" w:cs="Arial" w:eastAsia="Arial" w:hAnsi="Arial"/>
                <w:sz w:val="18"/>
                <w:szCs w:val="18"/>
                <w:b w:val="1"/>
                <w:bCs w:val="1"/>
                <w:color w:val="auto"/>
                <w:w w:val="84"/>
              </w:rPr>
              <w:t>Page 2 of 5 Pages</w:t>
            </w:r>
          </w:p>
        </w:tc>
      </w:tr>
      <w:tr>
        <w:trPr>
          <w:trHeight w:val="148"/>
        </w:trPr>
        <w:tc>
          <w:tcPr>
            <w:tcW w:w="4120" w:type="dxa"/>
            <w:vAlign w:val="bottom"/>
            <w:tcBorders>
              <w:bottom w:val="single" w:sz="8" w:color="auto"/>
            </w:tcBorders>
          </w:tcPr>
          <w:p>
            <w:pPr>
              <w:spacing w:after="0"/>
              <w:rPr>
                <w:sz w:val="12"/>
                <w:szCs w:val="12"/>
                <w:color w:val="auto"/>
              </w:rPr>
            </w:pPr>
          </w:p>
        </w:tc>
        <w:tc>
          <w:tcPr>
            <w:tcW w:w="394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28"/>
        </w:trPr>
        <w:tc>
          <w:tcPr>
            <w:tcW w:w="4120" w:type="dxa"/>
            <w:vAlign w:val="bottom"/>
          </w:tcPr>
          <w:p>
            <w:pPr>
              <w:ind w:left="24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NAME OF REPORTING PERSON</w:t>
            </w: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-156845</wp:posOffset>
            </wp:positionV>
            <wp:extent cx="8890" cy="1843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843405"/>
                    </a:xfrm>
                    <a:prstGeom prst="rect">
                      <a:avLst/>
                    </a:prstGeom>
                    <a:noFill/>
                  </pic:spPr>
                </pic:pic>
              </a:graphicData>
            </a:graphic>
          </wp:anchor>
        </w:drawing>
        <w:drawing>
          <wp:anchor simplePos="0" relativeHeight="251657728" behindDoc="1" locked="0" layoutInCell="0" allowOverlap="1">
            <wp:simplePos x="0" y="0"/>
            <wp:positionH relativeFrom="column">
              <wp:posOffset>6917690</wp:posOffset>
            </wp:positionH>
            <wp:positionV relativeFrom="paragraph">
              <wp:posOffset>-156845</wp:posOffset>
            </wp:positionV>
            <wp:extent cx="8890" cy="5529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5295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8890" cy="5529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529580"/>
                    </a:xfrm>
                    <a:prstGeom prst="rect">
                      <a:avLst/>
                    </a:prstGeom>
                    <a:noFill/>
                  </pic:spPr>
                </pic:pic>
              </a:graphicData>
            </a:graphic>
          </wp:anchor>
        </w:drawing>
      </w:r>
    </w:p>
    <w:p>
      <w:pPr>
        <w:spacing w:after="0" w:line="183" w:lineRule="exact"/>
        <w:rPr>
          <w:sz w:val="20"/>
          <w:szCs w:val="20"/>
          <w:color w:val="auto"/>
        </w:rPr>
      </w:pPr>
    </w:p>
    <w:tbl>
      <w:tblPr>
        <w:tblLayout w:type="fixed"/>
        <w:tblInd w:w="4" w:type="dxa"/>
        <w:tblCellMar>
          <w:top w:w="0" w:type="dxa"/>
          <w:left w:w="0" w:type="dxa"/>
          <w:bottom w:w="0" w:type="dxa"/>
          <w:right w:w="0" w:type="dxa"/>
        </w:tblCellMar>
      </w:tblPr>
      <w:tr>
        <w:trPr>
          <w:trHeight w:val="276"/>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color w:val="auto"/>
              </w:rPr>
              <w:t>Aristeia Capital, L.L.C. (1)</w:t>
            </w:r>
          </w:p>
        </w:tc>
        <w:tc>
          <w:tcPr>
            <w:tcW w:w="0" w:type="dxa"/>
            <w:vAlign w:val="bottom"/>
          </w:tcPr>
          <w:p>
            <w:pPr>
              <w:spacing w:after="0"/>
              <w:rPr>
                <w:sz w:val="1"/>
                <w:szCs w:val="1"/>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0460" w:type="dxa"/>
            <w:vAlign w:val="bottom"/>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61"/>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1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0460" w:type="dxa"/>
            <w:vAlign w:val="bottom"/>
            <w:gridSpan w:val="5"/>
          </w:tcPr>
          <w:p>
            <w:pPr>
              <w:ind w:left="180"/>
              <w:spacing w:after="0"/>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238"/>
        </w:trPr>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104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22"/>
                <w:szCs w:val="22"/>
                <w:color w:val="auto"/>
              </w:rPr>
              <w:t>Delaware</w:t>
            </w:r>
          </w:p>
        </w:tc>
        <w:tc>
          <w:tcPr>
            <w:tcW w:w="1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right w:val="single" w:sz="8" w:color="auto"/>
            </w:tcBorders>
          </w:tcPr>
          <w:p>
            <w:pPr>
              <w:spacing w:after="0"/>
              <w:rPr>
                <w:sz w:val="19"/>
                <w:szCs w:val="19"/>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79"/>
        </w:trPr>
        <w:tc>
          <w:tcPr>
            <w:tcW w:w="138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380" w:type="dxa"/>
            <w:vAlign w:val="bottom"/>
            <w:gridSpan w:val="3"/>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Borders>
              <w:right w:val="single" w:sz="8" w:color="auto"/>
            </w:tcBorders>
          </w:tcPr>
          <w:p>
            <w:pPr>
              <w:spacing w:after="0"/>
              <w:rPr>
                <w:sz w:val="4"/>
                <w:szCs w:val="4"/>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center"/>
              <w:ind w:right="65"/>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9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40" w:type="dxa"/>
            <w:vAlign w:val="bottom"/>
            <w:vMerge w:val="restart"/>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65"/>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w:t>
            </w:r>
          </w:p>
        </w:tc>
        <w:tc>
          <w:tcPr>
            <w:tcW w:w="140" w:type="dxa"/>
            <w:vAlign w:val="bottom"/>
            <w:tcBorders>
              <w:right w:val="single" w:sz="8" w:color="auto"/>
            </w:tcBorders>
          </w:tcPr>
          <w:p>
            <w:pPr>
              <w:spacing w:after="0"/>
              <w:rPr>
                <w:sz w:val="15"/>
                <w:szCs w:val="15"/>
                <w:color w:val="auto"/>
              </w:rPr>
            </w:pP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65"/>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90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9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Borders>
              <w:right w:val="single" w:sz="8" w:color="auto"/>
            </w:tcBorders>
          </w:tcPr>
          <w:p>
            <w:pPr>
              <w:spacing w:after="0"/>
              <w:rPr>
                <w:sz w:val="11"/>
                <w:szCs w:val="11"/>
                <w:color w:val="auto"/>
              </w:rPr>
            </w:pPr>
          </w:p>
        </w:tc>
        <w:tc>
          <w:tcPr>
            <w:tcW w:w="90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9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right w:val="single" w:sz="8" w:color="auto"/>
            </w:tcBorders>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40" w:type="dxa"/>
            <w:vAlign w:val="bottom"/>
            <w:gridSpan w:val="2"/>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right w:val="single" w:sz="8" w:color="auto"/>
            </w:tcBorders>
          </w:tcPr>
          <w:p>
            <w:pPr>
              <w:spacing w:after="0"/>
              <w:rPr>
                <w:sz w:val="19"/>
                <w:szCs w:val="19"/>
                <w:color w:val="auto"/>
              </w:rPr>
            </w:pPr>
          </w:p>
        </w:tc>
        <w:tc>
          <w:tcPr>
            <w:tcW w:w="104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4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19"/>
                <w:szCs w:val="19"/>
                <w:color w:val="auto"/>
              </w:rPr>
            </w:pPr>
          </w:p>
        </w:tc>
        <w:tc>
          <w:tcPr>
            <w:tcW w:w="104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79"/>
        </w:trPr>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IA, 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6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Aristeia Capital, L.L.C. is the investment manager of, and has voting and investment control with respect to the securities described herein held by, one or more private investment funds.</w:t>
      </w:r>
    </w:p>
    <w:p>
      <w:pPr>
        <w:sectPr>
          <w:pgSz w:w="11900" w:h="16838" w:orient="portrait"/>
          <w:cols w:equalWidth="0" w:num="1">
            <w:col w:w="11024"/>
          </w:cols>
          <w:pgMar w:left="436" w:top="270" w:right="439" w:bottom="1440" w:gutter="0" w:footer="0" w:header="0"/>
        </w:sectPr>
      </w:pPr>
    </w:p>
    <w:bookmarkStart w:id="2" w:name="page3"/>
    <w:bookmarkEnd w:id="2"/>
    <w:p>
      <w:pPr>
        <w:spacing w:after="0"/>
        <w:tabs>
          <w:tab w:leader="none" w:pos="4220" w:val="left"/>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Amendment No. 1 to SCHEDULE 13G</w:t>
      </w:r>
      <w:r>
        <w:rPr>
          <w:sz w:val="20"/>
          <w:szCs w:val="20"/>
          <w:color w:val="auto"/>
        </w:rPr>
        <w:tab/>
      </w:r>
      <w:r>
        <w:rPr>
          <w:rFonts w:ascii="Arial" w:cs="Arial" w:eastAsia="Arial" w:hAnsi="Arial"/>
          <w:sz w:val="15"/>
          <w:szCs w:val="15"/>
          <w:b w:val="1"/>
          <w:bCs w:val="1"/>
          <w:color w:val="auto"/>
        </w:rPr>
        <w:t>Page 3 of 5 Pages</w:t>
      </w:r>
    </w:p>
    <w:p>
      <w:pPr>
        <w:spacing w:after="0" w:line="15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Lucid Group, Inc., formerly known as Churchill Capital Corp IV</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7373 Gateway Blvd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Newark, CA 94560</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Aristeia Capital, L.L.C.</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One Greenwich Plaza,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Delaware limited liability company</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Class A Common Stock, $0.0001 par value per share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549498103</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200" w:hanging="205"/>
        <w:spacing w:after="0"/>
        <w:tabs>
          <w:tab w:leader="none" w:pos="12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An investment adviser in accordance with § 240.13d-1(b)(1)(ii)(E).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00" w:right="160"/>
        <w:spacing w:after="0" w:line="258" w:lineRule="auto"/>
        <w:rPr>
          <w:sz w:val="20"/>
          <w:szCs w:val="20"/>
          <w:color w:val="auto"/>
        </w:rPr>
      </w:pPr>
      <w:r>
        <w:rPr>
          <w:rFonts w:ascii="Arial" w:cs="Arial" w:eastAsia="Arial" w:hAnsi="Arial"/>
          <w:sz w:val="18"/>
          <w:szCs w:val="18"/>
          <w:color w:val="auto"/>
        </w:rPr>
        <w:t>The following is information regarding the aggregate number and percentage of the class of securities of the issuer identified in Item 1 as of 12/31/2021.</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Items 5-9 and 11 of the cover page to this Schedule 13G are incorporated herein by reference. :</w:t>
      </w:r>
    </w:p>
    <w:p>
      <w:pPr>
        <w:spacing w:after="0" w:line="116" w:lineRule="exact"/>
        <w:rPr>
          <w:sz w:val="20"/>
          <w:szCs w:val="20"/>
          <w:color w:val="auto"/>
        </w:rPr>
      </w:pPr>
    </w:p>
    <w:p>
      <w:pPr>
        <w:ind w:left="1320" w:hanging="3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17" w:lineRule="exact"/>
        <w:rPr>
          <w:rFonts w:ascii="Arial" w:cs="Arial" w:eastAsia="Arial" w:hAnsi="Arial"/>
          <w:sz w:val="18"/>
          <w:szCs w:val="18"/>
          <w:color w:val="auto"/>
        </w:rPr>
      </w:pPr>
    </w:p>
    <w:p>
      <w:pPr>
        <w:ind w:left="1340" w:hanging="34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117" w:lineRule="exact"/>
        <w:rPr>
          <w:rFonts w:ascii="Arial" w:cs="Arial" w:eastAsia="Arial" w:hAnsi="Arial"/>
          <w:sz w:val="18"/>
          <w:szCs w:val="18"/>
          <w:color w:val="auto"/>
        </w:rPr>
      </w:pPr>
    </w:p>
    <w:p>
      <w:pPr>
        <w:ind w:left="1340" w:hanging="345"/>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700" w:hanging="345"/>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117" w:lineRule="exact"/>
        <w:rPr>
          <w:rFonts w:ascii="Arial" w:cs="Arial" w:eastAsia="Arial" w:hAnsi="Arial"/>
          <w:sz w:val="18"/>
          <w:szCs w:val="18"/>
          <w:color w:val="auto"/>
        </w:rPr>
      </w:pPr>
    </w:p>
    <w:p>
      <w:pPr>
        <w:ind w:left="1700" w:hanging="345"/>
        <w:spacing w:after="0"/>
        <w:tabs>
          <w:tab w:leader="none" w:pos="17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5040" w:val="left"/>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4 of 5 Pages</w:t>
      </w:r>
    </w:p>
    <w:p>
      <w:pPr>
        <w:spacing w:after="0" w:line="270" w:lineRule="exact"/>
        <w:rPr>
          <w:sz w:val="20"/>
          <w:szCs w:val="20"/>
          <w:color w:val="auto"/>
        </w:rPr>
      </w:pPr>
    </w:p>
    <w:p>
      <w:pPr>
        <w:ind w:left="1580" w:hanging="333"/>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w:t>
      </w:r>
    </w:p>
    <w:p>
      <w:pPr>
        <w:spacing w:after="0" w:line="117" w:lineRule="exact"/>
        <w:rPr>
          <w:rFonts w:ascii="Arial" w:cs="Arial" w:eastAsia="Arial" w:hAnsi="Arial"/>
          <w:sz w:val="18"/>
          <w:szCs w:val="18"/>
          <w:color w:val="auto"/>
        </w:rPr>
      </w:pPr>
    </w:p>
    <w:p>
      <w:pPr>
        <w:ind w:left="1600" w:hanging="353"/>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0</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880"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80" w:right="780" w:hanging="890"/>
        <w:spacing w:after="0" w:line="282"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Certification pursuant to §240.13d-1(b):</w:t>
      </w:r>
    </w:p>
    <w:p>
      <w:pPr>
        <w:spacing w:after="0" w:line="117" w:lineRule="exact"/>
        <w:rPr>
          <w:sz w:val="20"/>
          <w:szCs w:val="20"/>
          <w:color w:val="auto"/>
        </w:rPr>
      </w:pPr>
    </w:p>
    <w:p>
      <w:pPr>
        <w:ind w:left="880" w:right="1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70" w:right="439" w:bottom="1440" w:gutter="0" w:footer="0" w:header="0"/>
        </w:sectPr>
      </w:pPr>
    </w:p>
    <w:bookmarkStart w:id="4" w:name="page5"/>
    <w:bookmarkEnd w:id="4"/>
    <w:p>
      <w:pPr>
        <w:spacing w:after="0"/>
        <w:tabs>
          <w:tab w:leader="none" w:pos="5040" w:val="left"/>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549498103</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5 of 5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2/14/2022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ARISTEIA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B.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B. David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Operating Officer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2022-02-14T10:52:50Z</dcterms:created>
  <dcterms:modified xsi:type="dcterms:W3CDTF">2022-02-14T10:52:50Z</dcterms:modified>
</cp:coreProperties>
</file>