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6</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1565275</wp:posOffset>
            </wp:positionH>
            <wp:positionV relativeFrom="paragraph">
              <wp:posOffset>142875</wp:posOffset>
            </wp:positionV>
            <wp:extent cx="401193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11930"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jc w:val="both"/>
        <w:ind w:firstLine="360"/>
        <w:spacing w:after="0" w:line="259"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August 24,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part of our registration statement on Form S-1 (No. 333-258348) with the information contained in our Quarterly Report on Form 10-Q for the quarter ended September 30, 2021, filed with the SEC on November 15, 2021 (the “</w:t>
      </w:r>
      <w:r>
        <w:rPr>
          <w:rFonts w:ascii="Arial" w:cs="Arial" w:eastAsia="Arial" w:hAnsi="Arial"/>
          <w:sz w:val="18"/>
          <w:szCs w:val="18"/>
          <w:i w:val="1"/>
          <w:iCs w:val="1"/>
          <w:color w:val="auto"/>
        </w:rPr>
        <w:t>Quarterly Report</w:t>
      </w:r>
      <w:r>
        <w:rPr>
          <w:rFonts w:ascii="Arial" w:cs="Arial" w:eastAsia="Arial" w:hAnsi="Arial"/>
          <w:sz w:val="18"/>
          <w:szCs w:val="18"/>
          <w:color w:val="auto"/>
        </w:rPr>
        <w:t>”). Accordingly, we have attached the Quarterly Report to this prospectus supplement.</w:t>
      </w:r>
    </w:p>
    <w:p>
      <w:pPr>
        <w:spacing w:after="0" w:line="187" w:lineRule="exact"/>
        <w:rPr>
          <w:sz w:val="24"/>
          <w:szCs w:val="24"/>
          <w:color w:val="auto"/>
        </w:rPr>
      </w:pPr>
    </w:p>
    <w:p>
      <w:pPr>
        <w:jc w:val="both"/>
        <w:ind w:firstLine="360"/>
        <w:spacing w:after="0" w:line="290"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 (i) 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65" w:lineRule="exact"/>
        <w:rPr>
          <w:sz w:val="24"/>
          <w:szCs w:val="24"/>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jc w:val="both"/>
        <w:ind w:firstLine="360"/>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and are subject to reduced public company reporting requirements. We expect that we will cease to be an emerging growth company as of December 31, 2021. As of July 23, 2021 our majority stockholder, Ayar, owned approximately 62.7%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88"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is listed on The Nasdaq Stock Market LLC under the symbol “LCID”. On November 15, 2021, the closing price of our Class A common stock was $44.88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firstLine="360"/>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w:t>
      </w:r>
    </w:p>
    <w:p>
      <w:pPr>
        <w:spacing w:after="0" w:line="162" w:lineRule="exact"/>
        <w:rPr>
          <w:sz w:val="20"/>
          <w:szCs w:val="20"/>
          <w:color w:val="auto"/>
        </w:rPr>
      </w:pPr>
    </w:p>
    <w:p>
      <w:pPr>
        <w:ind w:firstLine="360"/>
        <w:spacing w:after="0" w:line="282" w:lineRule="auto"/>
        <w:rPr>
          <w:sz w:val="20"/>
          <w:szCs w:val="20"/>
          <w:color w:val="auto"/>
        </w:rPr>
      </w:pPr>
      <w:r>
        <w:rPr>
          <w:rFonts w:ascii="Arial" w:cs="Arial" w:eastAsia="Arial" w:hAnsi="Arial"/>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0"/>
          <w:szCs w:val="20"/>
          <w:color w:val="auto"/>
        </w:rPr>
      </w:pPr>
    </w:p>
    <w:p>
      <w:pPr>
        <w:ind w:left="660" w:right="1440" w:hanging="652"/>
        <w:spacing w:after="0" w:line="282"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0"/>
          <w:szCs w:val="20"/>
          <w:color w:val="auto"/>
        </w:rPr>
      </w:pPr>
    </w:p>
    <w:p>
      <w:pPr>
        <w:ind w:left="6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001-39408</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21" w:right="339" w:bottom="1440" w:gutter="0" w:footer="0" w:header="0"/>
        </w:sectPr>
      </w:pPr>
    </w:p>
    <w:p>
      <w:pPr>
        <w:spacing w:after="0" w:line="205"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5"/>
          <w:szCs w:val="15"/>
          <w:b w:val="1"/>
          <w:bCs w:val="1"/>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8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0"/>
          <w:szCs w:val="20"/>
          <w:color w:val="auto"/>
        </w:rPr>
      </w:pPr>
    </w:p>
    <w:p>
      <w:pPr>
        <w:jc w:val="center"/>
        <w:ind w:right="1480"/>
        <w:spacing w:after="0"/>
        <w:rPr>
          <w:sz w:val="20"/>
          <w:szCs w:val="20"/>
          <w:color w:val="auto"/>
        </w:rPr>
      </w:pPr>
      <w:r>
        <w:rPr>
          <w:rFonts w:ascii="Arial" w:cs="Arial" w:eastAsia="Arial" w:hAnsi="Arial"/>
          <w:sz w:val="16"/>
          <w:szCs w:val="16"/>
          <w:b w:val="1"/>
          <w:bCs w:val="1"/>
          <w:i w:val="1"/>
          <w:iCs w:val="1"/>
          <w:color w:val="auto"/>
        </w:rPr>
        <w:t>(I.R.S. Employer Identification No.)</w:t>
      </w:r>
    </w:p>
    <w:p>
      <w:pPr>
        <w:spacing w:after="0" w:line="200" w:lineRule="exact"/>
        <w:rPr>
          <w:sz w:val="20"/>
          <w:szCs w:val="20"/>
          <w:color w:val="auto"/>
        </w:rPr>
      </w:pPr>
    </w:p>
    <w:p>
      <w:pPr>
        <w:sectPr>
          <w:pgSz w:w="11900" w:h="16838" w:orient="portrait"/>
          <w:cols w:equalWidth="0" w:num="2">
            <w:col w:w="6380" w:space="720"/>
            <w:col w:w="4140"/>
          </w:cols>
          <w:pgMar w:left="320" w:top="1021" w:right="339" w:bottom="144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7373 Gateway Boulevard, Newark, CA 94560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(Address of principal executive offices) (Zip code)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 648-3553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(Registrant’s telephone number, including area code)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21" w:right="339" w:bottom="1440" w:gutter="0" w:footer="0" w:header="0"/>
          <w:type w:val="continuous"/>
        </w:sectPr>
      </w:pPr>
    </w:p>
    <w:p>
      <w:pPr>
        <w:spacing w:after="0" w:line="221"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Class A Common Stock, $0.0001 par value per share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LCID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7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0"/>
          <w:szCs w:val="20"/>
          <w:color w:val="auto"/>
        </w:rPr>
      </w:pPr>
    </w:p>
    <w:p>
      <w:pPr>
        <w:sectPr>
          <w:pgSz w:w="11900" w:h="16838" w:orient="portrait"/>
          <w:cols w:equalWidth="0" w:num="3">
            <w:col w:w="4060" w:space="600"/>
            <w:col w:w="1780" w:space="720"/>
            <w:col w:w="4080"/>
          </w:cols>
          <w:pgMar w:left="320" w:top="1021" w:right="339" w:bottom="1440" w:gutter="0" w:footer="0" w:header="0"/>
          <w:type w:val="continuous"/>
        </w:sectPr>
      </w:pPr>
    </w:p>
    <w:p>
      <w:pPr>
        <w:spacing w:after="0" w:line="11"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460" w:type="dxa"/>
            <w:vAlign w:val="bottom"/>
          </w:tcPr>
          <w:p>
            <w:pPr>
              <w:ind w:left="60"/>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560" w:type="dxa"/>
            <w:vAlign w:val="bottom"/>
          </w:tcPr>
          <w:p>
            <w:pPr>
              <w:ind w:left="12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Class A common stock outstanding at November 9, 2021: 1,646,366,945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40" w:type="dxa"/>
            <w:vAlign w:val="bottom"/>
            <w:gridSpan w:val="11"/>
          </w:tcPr>
          <w:p>
            <w:pPr>
              <w:jc w:val="center"/>
              <w:ind w:right="3640"/>
              <w:spacing w:after="0"/>
              <w:rPr>
                <w:sz w:val="20"/>
                <w:szCs w:val="20"/>
                <w:color w:val="auto"/>
              </w:rPr>
            </w:pPr>
            <w:r>
              <w:rPr>
                <w:rFonts w:ascii="Arial" w:cs="Arial" w:eastAsia="Arial" w:hAnsi="Arial"/>
                <w:sz w:val="18"/>
                <w:szCs w:val="18"/>
                <w:b w:val="1"/>
                <w:bCs w:val="1"/>
                <w:color w:val="auto"/>
                <w:w w:val="99"/>
              </w:rPr>
              <w:t>INDEX TO FORM 10</w:t>
            </w:r>
            <w:r>
              <w:rPr>
                <w:rFonts w:ascii="Arial" w:cs="Arial" w:eastAsia="Arial" w:hAnsi="Arial"/>
                <w:sz w:val="18"/>
                <w:szCs w:val="18"/>
                <w:color w:val="auto"/>
                <w:w w:val="99"/>
              </w:rPr>
              <w:t>-Q</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2880" w:type="dxa"/>
            <w:vAlign w:val="bottom"/>
            <w:gridSpan w:val="12"/>
            <w:vMerge w:val="restart"/>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PART I. FINANCIAL INFORMATION</w:t>
              </w:r>
            </w:hyperlink>
          </w:p>
        </w:tc>
        <w:tc>
          <w:tcPr>
            <w:tcW w:w="7520" w:type="dxa"/>
            <w:vAlign w:val="bottom"/>
            <w:gridSpan w:val="12"/>
            <w:vMerge w:val="restart"/>
          </w:tcPr>
          <w:p>
            <w:pPr>
              <w:spacing w:after="0"/>
              <w:rPr>
                <w:sz w:val="24"/>
                <w:szCs w:val="24"/>
                <w:color w:val="auto"/>
              </w:rPr>
            </w:pPr>
          </w:p>
        </w:tc>
        <w:tc>
          <w:tcPr>
            <w:tcW w:w="78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2880" w:type="dxa"/>
            <w:vAlign w:val="bottom"/>
            <w:tcBorders>
              <w:bottom w:val="single" w:sz="8" w:color="0000EE"/>
            </w:tcBorders>
            <w:gridSpan w:val="12"/>
            <w:vMerge w:val="continue"/>
          </w:tcPr>
          <w:p>
            <w:pPr>
              <w:spacing w:after="0"/>
              <w:rPr>
                <w:sz w:val="14"/>
                <w:szCs w:val="14"/>
                <w:color w:val="auto"/>
              </w:rPr>
            </w:pPr>
          </w:p>
        </w:tc>
        <w:tc>
          <w:tcPr>
            <w:tcW w:w="7520" w:type="dxa"/>
            <w:vAlign w:val="bottom"/>
            <w:gridSpan w:val="12"/>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Cautionary Note Regarding Forward-Looking Statements</w:t>
              </w:r>
            </w:hyperlink>
          </w:p>
        </w:tc>
        <w:tc>
          <w:tcPr>
            <w:tcW w:w="780" w:type="dxa"/>
            <w:vAlign w:val="bottom"/>
            <w:gridSpan w:val="4"/>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Frequently Used Terms</w:t>
              </w:r>
            </w:hyperlink>
          </w:p>
        </w:tc>
        <w:tc>
          <w:tcPr>
            <w:tcW w:w="5280" w:type="dxa"/>
            <w:vAlign w:val="bottom"/>
            <w:gridSpan w:val="10"/>
          </w:tcPr>
          <w:p>
            <w:pPr>
              <w:spacing w:after="0"/>
              <w:rPr>
                <w:sz w:val="17"/>
                <w:szCs w:val="17"/>
                <w:color w:val="auto"/>
              </w:rPr>
            </w:pPr>
          </w:p>
        </w:tc>
        <w:tc>
          <w:tcPr>
            <w:tcW w:w="64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7">
              <w:r>
                <w:rPr>
                  <w:rFonts w:ascii="Arial" w:cs="Arial" w:eastAsia="Arial" w:hAnsi="Arial"/>
                  <w:sz w:val="18"/>
                  <w:szCs w:val="18"/>
                  <w:color w:val="0000EE"/>
                  <w:w w:val="83"/>
                </w:rPr>
                <w:t>Item 1.</w:t>
              </w:r>
            </w:hyperlink>
          </w:p>
        </w:tc>
        <w:tc>
          <w:tcPr>
            <w:tcW w:w="480" w:type="dxa"/>
            <w:vAlign w:val="bottom"/>
            <w:gridSpan w:val="2"/>
          </w:tcPr>
          <w:p>
            <w:pPr>
              <w:spacing w:after="0"/>
              <w:rPr>
                <w:sz w:val="24"/>
                <w:szCs w:val="24"/>
                <w:color w:val="auto"/>
              </w:rPr>
            </w:pP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Financial Statements (Unaudited)</w:t>
              </w:r>
            </w:hyperlink>
          </w:p>
        </w:tc>
        <w:tc>
          <w:tcPr>
            <w:tcW w:w="5160" w:type="dxa"/>
            <w:vAlign w:val="bottom"/>
            <w:gridSpan w:val="9"/>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2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 as of September 30, 2021 and December 31, 2020 (Unaudited)</w:t>
              </w:r>
            </w:hyperlink>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Operations and Comprehensive Loss for the Three and Nine Months Ended</w:t>
              </w:r>
            </w:hyperlink>
          </w:p>
        </w:tc>
        <w:tc>
          <w:tcPr>
            <w:tcW w:w="1120" w:type="dxa"/>
            <w:vAlign w:val="bottom"/>
            <w:gridSpan w:val="3"/>
          </w:tcPr>
          <w:p>
            <w:pPr>
              <w:spacing w:after="0"/>
              <w:rPr>
                <w:sz w:val="17"/>
                <w:szCs w:val="17"/>
                <w:color w:val="auto"/>
              </w:rPr>
            </w:pPr>
          </w:p>
        </w:tc>
        <w:tc>
          <w:tcPr>
            <w:tcW w:w="6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0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September 30, 2021 and 2020 (Unaudited)</w:t>
              </w:r>
            </w:hyperlink>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20" w:type="dxa"/>
            <w:vAlign w:val="bottom"/>
            <w:gridSpan w:val="21"/>
          </w:tcPr>
          <w:p>
            <w:pPr>
              <w:spacing w:after="0" w:line="19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Condensed Consolidated Statements of Convertible Preferred Stock and Stockholders’ Equity (Deficit) for the Three and Nine</w:t>
              </w:r>
            </w:hyperlink>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Months Ended September 30, 2021 and 2020 (Unaudited)</w:t>
              </w:r>
            </w:hyperlink>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20" w:type="dxa"/>
            <w:vAlign w:val="bottom"/>
            <w:gridSpan w:val="21"/>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Condensed Consolidated Statements of Cash Flows for the Nine Months Ended September 30, 2021 and 2020(Unaudited)</w:t>
              </w:r>
            </w:hyperlink>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Notes to Condensed Consolidated Financial Statements (Unaudited)</w:t>
              </w:r>
            </w:hyperlink>
          </w:p>
        </w:tc>
        <w:tc>
          <w:tcPr>
            <w:tcW w:w="640" w:type="dxa"/>
            <w:vAlign w:val="bottom"/>
            <w:gridSpan w:val="2"/>
          </w:tcPr>
          <w:p>
            <w:pPr>
              <w:spacing w:after="0"/>
              <w:rPr>
                <w:sz w:val="17"/>
                <w:szCs w:val="17"/>
                <w:color w:val="auto"/>
              </w:rPr>
            </w:pPr>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38">
              <w:r>
                <w:rPr>
                  <w:rFonts w:ascii="Arial" w:cs="Arial" w:eastAsia="Arial" w:hAnsi="Arial"/>
                  <w:sz w:val="18"/>
                  <w:szCs w:val="18"/>
                  <w:color w:val="0000EE"/>
                  <w:w w:val="83"/>
                </w:rPr>
                <w:t>Item 2.</w:t>
              </w:r>
            </w:hyperlink>
          </w:p>
        </w:tc>
        <w:tc>
          <w:tcPr>
            <w:tcW w:w="480" w:type="dxa"/>
            <w:vAlign w:val="bottom"/>
            <w:gridSpan w:val="2"/>
          </w:tcPr>
          <w:p>
            <w:pPr>
              <w:spacing w:after="0"/>
              <w:rPr>
                <w:sz w:val="17"/>
                <w:szCs w:val="17"/>
                <w:color w:val="auto"/>
              </w:rPr>
            </w:pPr>
          </w:p>
        </w:tc>
        <w:tc>
          <w:tcPr>
            <w:tcW w:w="6460" w:type="dxa"/>
            <w:vAlign w:val="bottom"/>
            <w:gridSpan w:val="16"/>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5"/>
          </w:tcPr>
          <w:p>
            <w:pPr>
              <w:spacing w:after="0"/>
              <w:rPr>
                <w:sz w:val="17"/>
                <w:szCs w:val="17"/>
                <w:color w:val="auto"/>
              </w:rPr>
            </w:pPr>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51">
              <w:r>
                <w:rPr>
                  <w:rFonts w:ascii="Arial" w:cs="Arial" w:eastAsia="Arial" w:hAnsi="Arial"/>
                  <w:sz w:val="18"/>
                  <w:szCs w:val="18"/>
                  <w:color w:val="0000EE"/>
                  <w:w w:val="83"/>
                </w:rPr>
                <w:t>Item 3.</w:t>
              </w:r>
            </w:hyperlink>
          </w:p>
        </w:tc>
        <w:tc>
          <w:tcPr>
            <w:tcW w:w="480" w:type="dxa"/>
            <w:vAlign w:val="bottom"/>
            <w:gridSpan w:val="2"/>
          </w:tcPr>
          <w:p>
            <w:pPr>
              <w:spacing w:after="0"/>
              <w:rPr>
                <w:sz w:val="17"/>
                <w:szCs w:val="17"/>
                <w:color w:val="auto"/>
              </w:rPr>
            </w:pPr>
          </w:p>
        </w:tc>
        <w:tc>
          <w:tcPr>
            <w:tcW w:w="4340" w:type="dxa"/>
            <w:vAlign w:val="bottom"/>
            <w:gridSpan w:val="13"/>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Quantitative and Qualitative Disclosures About Market Risk</w:t>
              </w:r>
            </w:hyperlink>
          </w:p>
        </w:tc>
        <w:tc>
          <w:tcPr>
            <w:tcW w:w="2120" w:type="dxa"/>
            <w:vAlign w:val="bottom"/>
            <w:gridSpan w:val="3"/>
          </w:tcPr>
          <w:p>
            <w:pPr>
              <w:spacing w:after="0"/>
              <w:rPr>
                <w:sz w:val="17"/>
                <w:szCs w:val="17"/>
                <w:color w:val="auto"/>
              </w:rPr>
            </w:pPr>
          </w:p>
        </w:tc>
        <w:tc>
          <w:tcPr>
            <w:tcW w:w="2960" w:type="dxa"/>
            <w:vAlign w:val="bottom"/>
            <w:gridSpan w:val="5"/>
          </w:tcPr>
          <w:p>
            <w:pPr>
              <w:spacing w:after="0"/>
              <w:rPr>
                <w:sz w:val="17"/>
                <w:szCs w:val="17"/>
                <w:color w:val="auto"/>
              </w:rPr>
            </w:pPr>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5080" w:type="dxa"/>
            <w:vAlign w:val="bottom"/>
            <w:tcBorders>
              <w:left w:val="single" w:sz="8" w:color="0000EE"/>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51">
              <w:r>
                <w:rPr>
                  <w:rFonts w:ascii="Arial" w:cs="Arial" w:eastAsia="Arial" w:hAnsi="Arial"/>
                  <w:sz w:val="18"/>
                  <w:szCs w:val="18"/>
                  <w:color w:val="0000EE"/>
                  <w:w w:val="83"/>
                </w:rPr>
                <w:t>Item 4.</w:t>
              </w:r>
            </w:hyperlink>
          </w:p>
        </w:tc>
        <w:tc>
          <w:tcPr>
            <w:tcW w:w="480" w:type="dxa"/>
            <w:vAlign w:val="bottom"/>
            <w:gridSpan w:val="2"/>
          </w:tcPr>
          <w:p>
            <w:pPr>
              <w:spacing w:after="0"/>
              <w:rPr>
                <w:sz w:val="17"/>
                <w:szCs w:val="17"/>
                <w:color w:val="auto"/>
              </w:rPr>
            </w:pPr>
          </w:p>
        </w:tc>
        <w:tc>
          <w:tcPr>
            <w:tcW w:w="434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Control and Procedures</w:t>
              </w:r>
            </w:hyperlink>
          </w:p>
        </w:tc>
        <w:tc>
          <w:tcPr>
            <w:tcW w:w="5080" w:type="dxa"/>
            <w:vAlign w:val="bottom"/>
            <w:gridSpan w:val="8"/>
          </w:tcPr>
          <w:p>
            <w:pPr>
              <w:spacing w:after="0"/>
              <w:rPr>
                <w:sz w:val="17"/>
                <w:szCs w:val="17"/>
                <w:color w:val="auto"/>
              </w:rPr>
            </w:pPr>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0400" w:type="dxa"/>
            <w:vAlign w:val="bottom"/>
            <w:gridSpan w:val="2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PART II. OTHER INFORMATION</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53">
              <w:r>
                <w:rPr>
                  <w:rFonts w:ascii="Arial" w:cs="Arial" w:eastAsia="Arial" w:hAnsi="Arial"/>
                  <w:sz w:val="18"/>
                  <w:szCs w:val="18"/>
                  <w:color w:val="0000EE"/>
                  <w:w w:val="83"/>
                </w:rPr>
                <w:t>Item 1.</w:t>
              </w:r>
            </w:hyperlink>
          </w:p>
        </w:tc>
        <w:tc>
          <w:tcPr>
            <w:tcW w:w="480" w:type="dxa"/>
            <w:vAlign w:val="bottom"/>
            <w:tcBorders>
              <w:top w:val="single" w:sz="8" w:color="0000EE"/>
            </w:tcBorders>
            <w:gridSpan w:val="2"/>
          </w:tcPr>
          <w:p>
            <w:pPr>
              <w:spacing w:after="0"/>
              <w:rPr>
                <w:sz w:val="24"/>
                <w:szCs w:val="24"/>
                <w:color w:val="auto"/>
              </w:rPr>
            </w:pPr>
          </w:p>
        </w:tc>
        <w:tc>
          <w:tcPr>
            <w:tcW w:w="1580" w:type="dxa"/>
            <w:vAlign w:val="bottom"/>
            <w:tcBorders>
              <w:top w:val="single" w:sz="8" w:color="0000EE"/>
            </w:tcBorders>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7840" w:type="dxa"/>
            <w:vAlign w:val="bottom"/>
            <w:gridSpan w:val="15"/>
          </w:tcPr>
          <w:p>
            <w:pPr>
              <w:spacing w:after="0"/>
              <w:rPr>
                <w:sz w:val="24"/>
                <w:szCs w:val="24"/>
                <w:color w:val="auto"/>
              </w:rPr>
            </w:pPr>
          </w:p>
        </w:tc>
        <w:tc>
          <w:tcPr>
            <w:tcW w:w="780" w:type="dxa"/>
            <w:vAlign w:val="bottom"/>
            <w:gridSpan w:val="4"/>
          </w:tcPr>
          <w:p>
            <w:pPr>
              <w:jc w:val="right"/>
              <w:ind w:right="4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8"/>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1A.</w:t>
              </w:r>
            </w:hyperlink>
          </w:p>
        </w:tc>
        <w:tc>
          <w:tcPr>
            <w:tcW w:w="340" w:type="dxa"/>
            <w:vAlign w:val="bottom"/>
          </w:tcPr>
          <w:p>
            <w:pPr>
              <w:spacing w:after="0"/>
              <w:rPr>
                <w:sz w:val="17"/>
                <w:szCs w:val="17"/>
                <w:color w:val="auto"/>
              </w:rPr>
            </w:pPr>
          </w:p>
        </w:tc>
        <w:tc>
          <w:tcPr>
            <w:tcW w:w="900" w:type="dxa"/>
            <w:vAlign w:val="bottom"/>
            <w:gridSpan w:val="4"/>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Risk Factors</w:t>
              </w:r>
            </w:hyperlink>
          </w:p>
        </w:tc>
        <w:tc>
          <w:tcPr>
            <w:tcW w:w="8520" w:type="dxa"/>
            <w:vAlign w:val="bottom"/>
            <w:gridSpan w:val="17"/>
          </w:tcPr>
          <w:p>
            <w:pPr>
              <w:spacing w:after="0"/>
              <w:rPr>
                <w:sz w:val="17"/>
                <w:szCs w:val="17"/>
                <w:color w:val="auto"/>
              </w:rPr>
            </w:pPr>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Item 2.</w:t>
              </w:r>
            </w:hyperlink>
          </w:p>
        </w:tc>
        <w:tc>
          <w:tcPr>
            <w:tcW w:w="340" w:type="dxa"/>
            <w:vAlign w:val="bottom"/>
          </w:tcPr>
          <w:p>
            <w:pPr>
              <w:spacing w:after="0"/>
              <w:rPr>
                <w:sz w:val="17"/>
                <w:szCs w:val="17"/>
                <w:color w:val="auto"/>
              </w:rPr>
            </w:pPr>
          </w:p>
        </w:tc>
        <w:tc>
          <w:tcPr>
            <w:tcW w:w="9420" w:type="dxa"/>
            <w:vAlign w:val="bottom"/>
            <w:gridSpan w:val="2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Unregistered Sales of Equity Securities and Use of Proceeds</w:t>
              </w:r>
            </w:hyperlink>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8"/>
            <w:shd w:val="clear" w:color="auto" w:fill="0000EE"/>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97">
              <w:r>
                <w:rPr>
                  <w:rFonts w:ascii="Arial" w:cs="Arial" w:eastAsia="Arial" w:hAnsi="Arial"/>
                  <w:sz w:val="18"/>
                  <w:szCs w:val="18"/>
                  <w:color w:val="0000EE"/>
                  <w:w w:val="83"/>
                </w:rPr>
                <w:t>Item 5.</w:t>
              </w:r>
            </w:hyperlink>
          </w:p>
        </w:tc>
        <w:tc>
          <w:tcPr>
            <w:tcW w:w="480" w:type="dxa"/>
            <w:vAlign w:val="bottom"/>
            <w:gridSpan w:val="2"/>
          </w:tcPr>
          <w:p>
            <w:pPr>
              <w:spacing w:after="0"/>
              <w:rPr>
                <w:sz w:val="17"/>
                <w:szCs w:val="17"/>
                <w:color w:val="auto"/>
              </w:rPr>
            </w:pPr>
          </w:p>
        </w:tc>
        <w:tc>
          <w:tcPr>
            <w:tcW w:w="9420" w:type="dxa"/>
            <w:vAlign w:val="bottom"/>
            <w:gridSpan w:val="2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12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3"/>
              </w:rPr>
            </w:pPr>
            <w:hyperlink w:anchor="page97">
              <w:r>
                <w:rPr>
                  <w:rFonts w:ascii="Arial" w:cs="Arial" w:eastAsia="Arial" w:hAnsi="Arial"/>
                  <w:sz w:val="18"/>
                  <w:szCs w:val="18"/>
                  <w:color w:val="0000EE"/>
                  <w:w w:val="83"/>
                </w:rPr>
                <w:t>Item 6.</w:t>
              </w:r>
            </w:hyperlink>
          </w:p>
        </w:tc>
        <w:tc>
          <w:tcPr>
            <w:tcW w:w="480" w:type="dxa"/>
            <w:vAlign w:val="bottom"/>
            <w:gridSpan w:val="2"/>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120" w:type="dxa"/>
            <w:vAlign w:val="bottom"/>
            <w:gridSpan w:val="16"/>
          </w:tcPr>
          <w:p>
            <w:pPr>
              <w:spacing w:after="0"/>
              <w:rPr>
                <w:sz w:val="17"/>
                <w:szCs w:val="17"/>
                <w:color w:val="auto"/>
              </w:rPr>
            </w:pPr>
          </w:p>
        </w:tc>
        <w:tc>
          <w:tcPr>
            <w:tcW w:w="780" w:type="dxa"/>
            <w:vAlign w:val="bottom"/>
            <w:gridSpan w:val="4"/>
          </w:tcPr>
          <w:p>
            <w:pPr>
              <w:jc w:val="right"/>
              <w:ind w:right="40"/>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82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SIGNATURES</w:t>
              </w:r>
            </w:hyperlink>
          </w:p>
        </w:tc>
        <w:tc>
          <w:tcPr>
            <w:tcW w:w="9300" w:type="dxa"/>
            <w:vAlign w:val="bottom"/>
            <w:gridSpan w:val="20"/>
          </w:tcPr>
          <w:p>
            <w:pPr>
              <w:spacing w:after="0"/>
              <w:rPr>
                <w:sz w:val="24"/>
                <w:szCs w:val="24"/>
                <w:color w:val="auto"/>
              </w:rPr>
            </w:pPr>
          </w:p>
        </w:tc>
        <w:tc>
          <w:tcPr>
            <w:tcW w:w="780" w:type="dxa"/>
            <w:vAlign w:val="bottom"/>
            <w:gridSpan w:val="4"/>
          </w:tcPr>
          <w:p>
            <w:pPr>
              <w:jc w:val="right"/>
              <w:ind w:right="40"/>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669"/>
        </w:trPr>
        <w:tc>
          <w:tcPr>
            <w:tcW w:w="6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780" w:type="dxa"/>
            <w:vAlign w:val="bottom"/>
            <w:tcBorders>
              <w:bottom w:val="single" w:sz="8" w:color="auto"/>
            </w:tcBorders>
            <w:gridSpan w:val="14"/>
          </w:tcPr>
          <w:p>
            <w:pPr>
              <w:jc w:val="right"/>
              <w:ind w:right="280"/>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CAUTIONARY NOTE REGARDING FORWARD-LOOKING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These forward-looking statements can generally be identified by the use of forward 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quarterly report on Form 10-Q and include statements regarding our intentions, beliefs or current expectations concerning, among other things our ability to recognize the anticipated benefits of the business combination between Atieva, Inc.and Churchill Capital Corp. IV, in which Atieva, Inc. became a wholly owned subsidiary of Churchill Capital Corp IV,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and production volumes and launch of commercial production, including with respect to energy storage systems and automotive partnerships, the start of deliveries, future manufacturing capabilities and facilities, studio openings, future sales channels and strategies, future vehicle programs, expansion and the potential success of our go-to-market strategy and our financial and operating guidance, and future capital expenditures and other operating expenses. Such forward-looking statements are based on available current market material and our current expectations, beliefs and forecasts concerning future developments. Factors that may impact such forward-looking statements include:</w:t>
      </w:r>
    </w:p>
    <w:p>
      <w:pPr>
        <w:spacing w:after="0" w:line="16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uncertainty of our projected financial information, including conversion of reservations into binding orders;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launch, including our ability to mass produce the Lucid Air and complete the tooling of our manufacturing facility;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and the increase of our production capacity;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growth and recruit and retain key employees, including our chief executive officer and executive team;</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our brand, expand our brand to Europe and the Middle East and capture additional market share and forecast projected market share and demand, and the risks associated with negative press or reputational harm;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global COVID-19 pandemic on our projected results of operations, financial performance or other financial metrics, or on any of the foregoing risks;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disclosed in this quarterly report on Form 10-Q or our other filings with the Securities and Exchange Commission (the “SEC”).</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7"/>
          <w:szCs w:val="17"/>
          <w:color w:val="auto"/>
        </w:rPr>
        <w:t>The forward-looking statements contained in this quarterly report on Form 10-Q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stated in Item 1. Financial Statements and accompanying footnotes, or the context otherwise requires, references in this Quarterly Report on Form 10-Q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Ayar</w:t>
      </w:r>
      <w:r>
        <w:rPr>
          <w:rFonts w:ascii="Arial" w:cs="Arial" w:eastAsia="Arial" w:hAnsi="Arial"/>
          <w:sz w:val="18"/>
          <w:szCs w:val="18"/>
          <w:color w:val="auto"/>
        </w:rPr>
        <w:t>” are to Ayar Third Investment Company, an affiliate of PIF;</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Churchill</w:t>
      </w:r>
      <w:r>
        <w:rPr>
          <w:rFonts w:ascii="Arial" w:cs="Arial" w:eastAsia="Arial" w:hAnsi="Arial"/>
          <w:sz w:val="17"/>
          <w:szCs w:val="17"/>
          <w:color w:val="auto"/>
        </w:rPr>
        <w:t>”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 IPO</w:t>
      </w:r>
      <w:r>
        <w:rPr>
          <w:rFonts w:ascii="Arial" w:cs="Arial" w:eastAsia="Arial" w:hAnsi="Arial"/>
          <w:sz w:val="18"/>
          <w:szCs w:val="18"/>
          <w:color w:val="auto"/>
        </w:rPr>
        <w:t>” are to the initial public offering by Churchill which closed on August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July 23, 2021, the date on which the Transactions were consummated;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Ratio” are to the quotient as defined in, and calculated in accordance with, the Merger Agreement, which is 2.644;</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w:t>
      </w:r>
      <w:r>
        <w:rPr>
          <w:rFonts w:ascii="Arial" w:cs="Arial" w:eastAsia="Arial" w:hAnsi="Arial"/>
          <w:sz w:val="18"/>
          <w:szCs w:val="18"/>
          <w:color w:val="auto"/>
        </w:rPr>
        <w:t>” are to Atieva, Inc., d/b/a Lucid Motors, an exempted company incorporated with limited liability under the laws of the Cayman Islands, and its consolidated subsidiaries before the Closing Date;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are to the merger of a merger subsidiary of Churchill and Atieva, Inc., with Atieva, Inc. surviving such merger as a wholly owned subsidiary of Churchill;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are to that certain Agreement and Plan of Merger, dated as of February 22, 2021, by and among Churchill, Lucid and Merger Sub, as the same has been or may be amended, modified, supplemented or waived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PIF</w:t>
      </w:r>
      <w:r>
        <w:rPr>
          <w:rFonts w:ascii="Arial" w:cs="Arial" w:eastAsia="Arial" w:hAnsi="Arial"/>
          <w:sz w:val="18"/>
          <w:szCs w:val="18"/>
          <w:color w:val="auto"/>
        </w:rPr>
        <w:t>” are to the Public Investment Fund;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 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are to the Merger, together with the other transactions contemplated by the Merger Agreement and the related agreements.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60" w:type="dxa"/>
            <w:vAlign w:val="bottom"/>
          </w:tcPr>
          <w:p>
            <w:pPr>
              <w:jc w:val="center"/>
              <w:ind w:left="2790"/>
              <w:spacing w:after="0"/>
              <w:rPr>
                <w:sz w:val="20"/>
                <w:szCs w:val="20"/>
                <w:color w:val="auto"/>
              </w:rPr>
            </w:pPr>
            <w:r>
              <w:rPr>
                <w:rFonts w:ascii="Arial" w:cs="Arial" w:eastAsia="Arial" w:hAnsi="Arial"/>
                <w:sz w:val="18"/>
                <w:szCs w:val="18"/>
                <w:b w:val="1"/>
                <w:bCs w:val="1"/>
                <w:color w:val="auto"/>
                <w:w w:val="99"/>
              </w:rPr>
              <w:t>LUCID GROUP, INC.</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jc w:val="center"/>
              <w:ind w:left="27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jc w:val="center"/>
              <w:ind w:left="2790"/>
              <w:spacing w:after="0"/>
              <w:rPr>
                <w:sz w:val="20"/>
                <w:szCs w:val="20"/>
                <w:color w:val="auto"/>
              </w:rPr>
            </w:pPr>
            <w:r>
              <w:rPr>
                <w:rFonts w:ascii="Arial" w:cs="Arial" w:eastAsia="Arial" w:hAnsi="Arial"/>
                <w:sz w:val="18"/>
                <w:szCs w:val="18"/>
                <w:b w:val="1"/>
                <w:bCs w:val="1"/>
                <w:color w:val="auto"/>
                <w:w w:val="90"/>
              </w:rPr>
              <w:t>Unaudited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tcPr>
          <w:p>
            <w:pPr>
              <w:jc w:val="center"/>
              <w:ind w:left="28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4,796,880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receivable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80,353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21,840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4,986,801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662,556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Right-of-use assets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143,782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26,851</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6,139,184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1,402,681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17,333</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28,949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151,753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269,408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Convertible preferred stock warrant liability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 net of current portion</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Common stock warrant liability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836,835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183,096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39,139</w:t>
            </w:r>
          </w:p>
        </w:tc>
        <w:tc>
          <w:tcPr>
            <w:tcW w:w="0" w:type="dxa"/>
            <w:vAlign w:val="bottom"/>
          </w:tcPr>
          <w:p>
            <w:pPr>
              <w:spacing w:after="0"/>
              <w:rPr>
                <w:sz w:val="1"/>
                <w:szCs w:val="1"/>
                <w:color w:val="auto"/>
              </w:rPr>
            </w:pPr>
          </w:p>
        </w:tc>
      </w:tr>
      <w:tr>
        <w:trPr>
          <w:trHeight w:val="210"/>
        </w:trPr>
        <w:tc>
          <w:tcPr>
            <w:tcW w:w="83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1,294,026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227,382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CONVERTIBLE PREFERRED STOCK</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Convertible preferred stock, $0.0001 par value; 0 and 1,058,949,780 shares authorized as of September 30, 2021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December 31, 2020, respectively; 0 and 957,159,704 shares issued and outstanding as of September 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2021 and December 31, 2020, respectively; liquidation preference of $0, and $3,497,913 as of September 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2,494,076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par value $0.0001; 10,000,000 and 0 shares authorized as of September 30, 2021 and</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December 31, 2020, respectively; no shares issued and outstanding as of September 30, 2021 and December 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respectively</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6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$0.0001; 15,000,000,000 and 1,189,800,259 shares authorized as of September 30, 2021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w w:val="96"/>
              </w:rPr>
              <w:t>and December 31, 2020, respectively; 1,641,642,816 and 28,791,702 shares issued and outstanding as of</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September 30, 2021 and December 31, 2020, respectively</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9,865,186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(5,020,192)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(1,356,893)</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 (deficit)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4,845,158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(1,318,777)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8360" w:type="dxa"/>
            <w:vAlign w:val="bottom"/>
          </w:tcPr>
          <w:p>
            <w:pPr>
              <w:spacing w:after="0" w:line="177" w:lineRule="exact"/>
              <w:rPr>
                <w:sz w:val="20"/>
                <w:szCs w:val="20"/>
                <w:color w:val="auto"/>
              </w:rPr>
            </w:pPr>
            <w:r>
              <w:rPr>
                <w:rFonts w:ascii="Arial" w:cs="Arial" w:eastAsia="Arial" w:hAnsi="Arial"/>
                <w:sz w:val="18"/>
                <w:szCs w:val="18"/>
                <w:b w:val="1"/>
                <w:bCs w:val="1"/>
                <w:color w:val="auto"/>
              </w:rPr>
              <w:t>TOTAL LIABILITIES, CONVERTIBLE PREFERRED STOCK AND STOCKHOLDERS’ EQUITY</w:t>
            </w:r>
          </w:p>
        </w:tc>
        <w:tc>
          <w:tcPr>
            <w:tcW w:w="36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6,139,184</w:t>
            </w: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1,402,681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360" w:type="dxa"/>
            <w:vAlign w:val="bottom"/>
          </w:tcPr>
          <w:p>
            <w:pPr>
              <w:ind w:left="180"/>
              <w:spacing w:after="0"/>
              <w:rPr>
                <w:sz w:val="20"/>
                <w:szCs w:val="20"/>
                <w:color w:val="auto"/>
              </w:rPr>
            </w:pPr>
            <w:r>
              <w:rPr>
                <w:rFonts w:ascii="Arial" w:cs="Arial" w:eastAsia="Arial" w:hAnsi="Arial"/>
                <w:sz w:val="18"/>
                <w:szCs w:val="18"/>
                <w:b w:val="1"/>
                <w:bCs w:val="1"/>
                <w:color w:val="auto"/>
              </w:rPr>
              <w:t>(DEFICIT)</w:t>
            </w:r>
          </w:p>
        </w:tc>
        <w:tc>
          <w:tcPr>
            <w:tcW w:w="36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580" w:type="dxa"/>
            <w:vAlign w:val="bottom"/>
            <w:gridSpan w:val="6"/>
          </w:tcPr>
          <w:p>
            <w:pPr>
              <w:jc w:val="right"/>
              <w:ind w:right="60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6"/>
          </w:tcPr>
          <w:p>
            <w:pPr>
              <w:jc w:val="right"/>
              <w:ind w:right="82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3,424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242,408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133,890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586,579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341,589</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251,554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27,935</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455,478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57,719</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493,962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1,042,057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340"/>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(497,050)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(162,100)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(1,044,762)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Change in fair value of forward contracts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(454,546)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(8,719)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(6,976)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(24,787)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(24,787)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 expensed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(expense), net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(489,288)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provision for (benefit from) income taxes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(161,237)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(1,534,081)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40" w:type="dxa"/>
            <w:vAlign w:val="bottom"/>
          </w:tcPr>
          <w:p>
            <w:pPr>
              <w:ind w:left="180"/>
              <w:spacing w:after="0" w:line="201" w:lineRule="exact"/>
              <w:rPr>
                <w:sz w:val="20"/>
                <w:szCs w:val="20"/>
                <w:color w:val="auto"/>
              </w:rPr>
            </w:pPr>
            <w:r>
              <w:rPr>
                <w:rFonts w:ascii="Arial" w:cs="Arial" w:eastAsia="Arial" w:hAnsi="Arial"/>
                <w:sz w:val="18"/>
                <w:szCs w:val="18"/>
                <w:color w:val="auto"/>
              </w:rPr>
              <w:t>Deemed dividend related to the issuance of Series E convertible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(3,701,413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line="195" w:lineRule="exact"/>
              <w:rPr>
                <w:sz w:val="20"/>
                <w:szCs w:val="20"/>
                <w:color w:val="auto"/>
              </w:rPr>
            </w:pPr>
            <w:r>
              <w:rPr>
                <w:rFonts w:ascii="Arial" w:cs="Arial" w:eastAsia="Arial" w:hAnsi="Arial"/>
                <w:sz w:val="18"/>
                <w:szCs w:val="18"/>
                <w:color w:val="auto"/>
                <w:w w:val="89"/>
              </w:rPr>
              <w:t>Weighted average shares outstanding used in computing net loss per share</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1,217,032,285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w w:val="86"/>
              </w:rPr>
              <w:t>24,279,817</w:t>
            </w:r>
          </w:p>
        </w:tc>
        <w:tc>
          <w:tcPr>
            <w:tcW w:w="20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432,654,607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20,889,062</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Net loss per share attributable to common stockholders, basic and diluted</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160" w:type="dxa"/>
            <w:vAlign w:val="bottom"/>
            <w:gridSpan w:val="8"/>
            <w:vMerge w:val="restart"/>
          </w:tcPr>
          <w:p>
            <w:pPr>
              <w:jc w:val="right"/>
              <w:ind w:right="80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restart"/>
          </w:tcPr>
          <w:p>
            <w:pPr>
              <w:jc w:val="center"/>
              <w:ind w:right="2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3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8"/>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488"/>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gridSpan w:val="2"/>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6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40" w:type="dxa"/>
            <w:vAlign w:val="bottom"/>
          </w:tcPr>
          <w:p>
            <w:pPr>
              <w:spacing w:after="0"/>
              <w:rPr>
                <w:sz w:val="15"/>
                <w:szCs w:val="15"/>
                <w:color w:val="auto"/>
              </w:rPr>
            </w:pPr>
          </w:p>
        </w:tc>
        <w:tc>
          <w:tcPr>
            <w:tcW w:w="1160" w:type="dxa"/>
            <w:vAlign w:val="bottom"/>
            <w:gridSpan w:val="3"/>
          </w:tcPr>
          <w:p>
            <w:pPr>
              <w:jc w:val="right"/>
              <w:ind w:right="44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30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86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3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June 30, 2021</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1,155,909,367</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5,836,785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9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36,799,150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26,613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(4,495,789)</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(4,469,172)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2"/>
                <w:szCs w:val="12"/>
                <w:color w:val="auto"/>
              </w:rPr>
            </w:pP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(524,403)</w:t>
            </w:r>
          </w:p>
        </w:tc>
        <w:tc>
          <w:tcPr>
            <w:tcW w:w="140" w:type="dxa"/>
            <w:vAlign w:val="bottom"/>
          </w:tcPr>
          <w:p>
            <w:pPr>
              <w:spacing w:after="0"/>
              <w:rPr>
                <w:sz w:val="12"/>
                <w:szCs w:val="12"/>
                <w:color w:val="auto"/>
              </w:rPr>
            </w:pPr>
          </w:p>
        </w:tc>
        <w:tc>
          <w:tcPr>
            <w:tcW w:w="8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(524,403)</w:t>
            </w:r>
          </w:p>
        </w:tc>
        <w:tc>
          <w:tcPr>
            <w:tcW w:w="0" w:type="dxa"/>
            <w:vAlign w:val="bottom"/>
          </w:tcPr>
          <w:p>
            <w:pPr>
              <w:spacing w:after="0"/>
              <w:rPr>
                <w:sz w:val="1"/>
                <w:szCs w:val="1"/>
                <w:color w:val="auto"/>
              </w:rPr>
            </w:pPr>
          </w:p>
        </w:tc>
      </w:tr>
      <w:tr>
        <w:trPr>
          <w:trHeight w:val="130"/>
        </w:trPr>
        <w:tc>
          <w:tcPr>
            <w:tcW w:w="34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Conversion of convertible preferred stock into common</w:t>
            </w: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stock in connection with the reverse recapitalization</w:t>
            </w:r>
          </w:p>
        </w:tc>
        <w:tc>
          <w:tcPr>
            <w:tcW w:w="12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(1,155,909,367)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(5,836,785)</w:t>
            </w:r>
          </w:p>
        </w:tc>
        <w:tc>
          <w:tcPr>
            <w:tcW w:w="20" w:type="dxa"/>
            <w:vAlign w:val="bottom"/>
            <w:shd w:val="clear" w:color="auto" w:fill="000000"/>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1,155,909,367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5,836,669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5,836,785</w:t>
            </w:r>
          </w:p>
        </w:tc>
        <w:tc>
          <w:tcPr>
            <w:tcW w:w="0" w:type="dxa"/>
            <w:vAlign w:val="bottom"/>
          </w:tcPr>
          <w:p>
            <w:pPr>
              <w:spacing w:after="0"/>
              <w:rPr>
                <w:sz w:val="1"/>
                <w:szCs w:val="1"/>
                <w:color w:val="auto"/>
              </w:rPr>
            </w:pPr>
          </w:p>
        </w:tc>
      </w:tr>
      <w:tr>
        <w:trPr>
          <w:trHeight w:val="130"/>
        </w:trPr>
        <w:tc>
          <w:tcPr>
            <w:tcW w:w="346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6"/>
              </w:rPr>
              <w:t>Issuance of common stock and common stock warrants</w:t>
            </w: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3"/>
          </w:tcPr>
          <w:p>
            <w:pPr>
              <w:ind w:left="120"/>
              <w:spacing w:after="0"/>
              <w:rPr>
                <w:sz w:val="20"/>
                <w:szCs w:val="20"/>
                <w:color w:val="auto"/>
              </w:rPr>
            </w:pPr>
            <w:r>
              <w:rPr>
                <w:rFonts w:ascii="Arial" w:cs="Arial" w:eastAsia="Arial" w:hAnsi="Arial"/>
                <w:sz w:val="14"/>
                <w:szCs w:val="14"/>
                <w:color w:val="auto"/>
                <w:w w:val="97"/>
              </w:rPr>
              <w:t>upon the reverse recapitalization, net of issuance costs</w:t>
            </w:r>
          </w:p>
        </w:tc>
        <w:tc>
          <w:tcPr>
            <w:tcW w:w="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4"/>
                <w:szCs w:val="14"/>
                <w:color w:val="auto"/>
              </w:rPr>
              <w:t>425,395,023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3,590,914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4"/>
                <w:szCs w:val="14"/>
                <w:color w:val="auto"/>
              </w:rPr>
              <w:t>3,590,956</w:t>
            </w:r>
          </w:p>
        </w:tc>
        <w:tc>
          <w:tcPr>
            <w:tcW w:w="0" w:type="dxa"/>
            <w:vAlign w:val="bottom"/>
          </w:tcPr>
          <w:p>
            <w:pPr>
              <w:spacing w:after="0"/>
              <w:rPr>
                <w:sz w:val="1"/>
                <w:szCs w:val="1"/>
                <w:color w:val="auto"/>
              </w:rPr>
            </w:pPr>
          </w:p>
        </w:tc>
      </w:tr>
      <w:tr>
        <w:trPr>
          <w:trHeight w:val="130"/>
        </w:trPr>
        <w:tc>
          <w:tcPr>
            <w:tcW w:w="34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common stock upon exercise of common</w:t>
            </w: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stock warrants</w:t>
            </w:r>
          </w:p>
        </w:tc>
        <w:tc>
          <w:tcPr>
            <w:tcW w:w="4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22,651,424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173,271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173,273</w:t>
            </w:r>
          </w:p>
        </w:tc>
        <w:tc>
          <w:tcPr>
            <w:tcW w:w="0" w:type="dxa"/>
            <w:vAlign w:val="bottom"/>
          </w:tcPr>
          <w:p>
            <w:pPr>
              <w:spacing w:after="0"/>
              <w:rPr>
                <w:sz w:val="1"/>
                <w:szCs w:val="1"/>
                <w:color w:val="auto"/>
              </w:rPr>
            </w:pPr>
          </w:p>
        </w:tc>
      </w:tr>
      <w:tr>
        <w:trPr>
          <w:trHeight w:val="130"/>
        </w:trPr>
        <w:tc>
          <w:tcPr>
            <w:tcW w:w="34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3"/>
          </w:tcPr>
          <w:p>
            <w:pPr>
              <w:ind w:left="120"/>
              <w:spacing w:after="0"/>
              <w:rPr>
                <w:sz w:val="20"/>
                <w:szCs w:val="20"/>
                <w:color w:val="auto"/>
              </w:rPr>
            </w:pPr>
            <w:r>
              <w:rPr>
                <w:rFonts w:ascii="Arial" w:cs="Arial" w:eastAsia="Arial" w:hAnsi="Arial"/>
                <w:sz w:val="14"/>
                <w:szCs w:val="14"/>
                <w:color w:val="auto"/>
              </w:rPr>
              <w:t>options</w:t>
            </w:r>
          </w:p>
        </w:tc>
        <w:tc>
          <w:tcPr>
            <w:tcW w:w="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4"/>
                <w:szCs w:val="14"/>
                <w:color w:val="auto"/>
              </w:rPr>
              <w:t>887,852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62"/>
        </w:trPr>
        <w:tc>
          <w:tcPr>
            <w:tcW w:w="34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4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236,957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236,957</w:t>
            </w:r>
          </w:p>
        </w:tc>
        <w:tc>
          <w:tcPr>
            <w:tcW w:w="0" w:type="dxa"/>
            <w:vAlign w:val="bottom"/>
          </w:tcPr>
          <w:p>
            <w:pPr>
              <w:spacing w:after="0"/>
              <w:rPr>
                <w:sz w:val="1"/>
                <w:szCs w:val="1"/>
                <w:color w:val="auto"/>
              </w:rPr>
            </w:pPr>
          </w:p>
        </w:tc>
      </w:tr>
      <w:tr>
        <w:trPr>
          <w:trHeight w:val="156"/>
        </w:trPr>
        <w:tc>
          <w:tcPr>
            <w:tcW w:w="3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as of September 30, 2021</w:t>
            </w:r>
          </w:p>
        </w:tc>
        <w:tc>
          <w:tcPr>
            <w:tcW w:w="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1,641,642,816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164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9,865,186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(5,020,192</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4,845,158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vMerge w:val="restart"/>
          </w:tcPr>
          <w:p>
            <w:pPr>
              <w:ind w:left="66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restart"/>
          </w:tcPr>
          <w:p>
            <w:pPr>
              <w:jc w:val="center"/>
              <w:ind w:right="2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gridSpan w:val="9"/>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60" w:type="dxa"/>
            <w:vAlign w:val="bottom"/>
            <w:tcBorders>
              <w:bottom w:val="single" w:sz="8" w:color="auto"/>
            </w:tcBorders>
            <w:gridSpan w:val="7"/>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gridSpan w:val="2"/>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100" w:type="dxa"/>
            <w:vAlign w:val="bottom"/>
            <w:tcBorders>
              <w:bottom w:val="single" w:sz="8" w:color="auto"/>
            </w:tcBorders>
            <w:gridSpan w:val="9"/>
            <w:shd w:val="clear" w:color="auto" w:fill="CCEEFF"/>
          </w:tcPr>
          <w:p>
            <w:pPr>
              <w:ind w:left="6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September 30, 2020</w:t>
            </w:r>
          </w:p>
        </w:tc>
        <w:tc>
          <w:tcPr>
            <w:tcW w:w="40" w:type="dxa"/>
            <w:vAlign w:val="bottom"/>
          </w:tcPr>
          <w:p>
            <w:pPr>
              <w:spacing w:after="0"/>
              <w:rPr>
                <w:sz w:val="15"/>
                <w:szCs w:val="15"/>
                <w:color w:val="auto"/>
              </w:rPr>
            </w:pPr>
          </w:p>
        </w:tc>
        <w:tc>
          <w:tcPr>
            <w:tcW w:w="1160" w:type="dxa"/>
            <w:vAlign w:val="bottom"/>
            <w:gridSpan w:val="3"/>
          </w:tcPr>
          <w:p>
            <w:pPr>
              <w:jc w:val="right"/>
              <w:ind w:right="36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26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8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3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June 30, 2020</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667,574,747</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1,513,573</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lef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22,842,891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18,736</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(884,381)</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(865,643)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2"/>
                <w:szCs w:val="12"/>
                <w:color w:val="auto"/>
              </w:rPr>
            </w:pP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(161,237)</w:t>
            </w:r>
          </w:p>
        </w:tc>
        <w:tc>
          <w:tcPr>
            <w:tcW w:w="140" w:type="dxa"/>
            <w:vAlign w:val="bottom"/>
          </w:tcPr>
          <w:p>
            <w:pPr>
              <w:spacing w:after="0"/>
              <w:rPr>
                <w:sz w:val="12"/>
                <w:szCs w:val="12"/>
                <w:color w:val="auto"/>
              </w:rPr>
            </w:pPr>
          </w:p>
        </w:tc>
        <w:tc>
          <w:tcPr>
            <w:tcW w:w="8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(161,237)</w:t>
            </w:r>
          </w:p>
        </w:tc>
        <w:tc>
          <w:tcPr>
            <w:tcW w:w="0" w:type="dxa"/>
            <w:vAlign w:val="bottom"/>
          </w:tcPr>
          <w:p>
            <w:pPr>
              <w:spacing w:after="0"/>
              <w:rPr>
                <w:sz w:val="1"/>
                <w:szCs w:val="1"/>
                <w:color w:val="auto"/>
              </w:rPr>
            </w:pPr>
          </w:p>
        </w:tc>
      </w:tr>
      <w:tr>
        <w:trPr>
          <w:trHeight w:val="148"/>
        </w:trPr>
        <w:tc>
          <w:tcPr>
            <w:tcW w:w="34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Series C convertible preferred stock</w:t>
            </w:r>
          </w:p>
        </w:tc>
        <w:tc>
          <w:tcPr>
            <w:tcW w:w="12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(9,656,589)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(20,398)</w:t>
            </w:r>
          </w:p>
        </w:tc>
        <w:tc>
          <w:tcPr>
            <w:tcW w:w="20" w:type="dxa"/>
            <w:vAlign w:val="bottom"/>
            <w:shd w:val="clear" w:color="auto" w:fill="CCEEFF"/>
          </w:tcPr>
          <w:p>
            <w:pPr>
              <w:spacing w:after="0"/>
              <w:rPr>
                <w:sz w:val="12"/>
                <w:szCs w:val="12"/>
                <w:color w:val="auto"/>
              </w:rPr>
            </w:pPr>
          </w:p>
        </w:tc>
        <w:tc>
          <w:tcPr>
            <w:tcW w:w="80" w:type="dxa"/>
            <w:vAlign w:val="bottom"/>
            <w:tcBorders>
              <w:lef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10,537</w:t>
            </w:r>
          </w:p>
        </w:tc>
        <w:tc>
          <w:tcPr>
            <w:tcW w:w="0" w:type="dxa"/>
            <w:vAlign w:val="bottom"/>
          </w:tcPr>
          <w:p>
            <w:pPr>
              <w:spacing w:after="0"/>
              <w:rPr>
                <w:sz w:val="1"/>
                <w:szCs w:val="1"/>
                <w:color w:val="auto"/>
              </w:rPr>
            </w:pPr>
          </w:p>
        </w:tc>
      </w:tr>
      <w:tr>
        <w:trPr>
          <w:trHeight w:val="148"/>
        </w:trPr>
        <w:tc>
          <w:tcPr>
            <w:tcW w:w="34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Issuance of Series E convertible preferred stock</w:t>
            </w:r>
          </w:p>
        </w:tc>
        <w:tc>
          <w:tcPr>
            <w:tcW w:w="9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167,273,525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498,931</w:t>
            </w:r>
          </w:p>
        </w:tc>
        <w:tc>
          <w:tcPr>
            <w:tcW w:w="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options</w:t>
            </w:r>
          </w:p>
        </w:tc>
        <w:tc>
          <w:tcPr>
            <w:tcW w:w="4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shd w:val="clear" w:color="auto" w:fill="CCEEFF"/>
          </w:tcPr>
          <w:p>
            <w:pPr>
              <w:spacing w:after="0"/>
              <w:rPr>
                <w:sz w:val="14"/>
                <w:szCs w:val="1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4,989,779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2,563</w:t>
            </w:r>
          </w:p>
        </w:tc>
        <w:tc>
          <w:tcPr>
            <w:tcW w:w="0" w:type="dxa"/>
            <w:vAlign w:val="bottom"/>
          </w:tcPr>
          <w:p>
            <w:pPr>
              <w:spacing w:after="0"/>
              <w:rPr>
                <w:sz w:val="1"/>
                <w:szCs w:val="1"/>
                <w:color w:val="auto"/>
              </w:rPr>
            </w:pPr>
          </w:p>
        </w:tc>
      </w:tr>
      <w:tr>
        <w:trPr>
          <w:trHeight w:val="162"/>
        </w:trPr>
        <w:tc>
          <w:tcPr>
            <w:tcW w:w="3460" w:type="dxa"/>
            <w:vAlign w:val="bottom"/>
            <w:gridSpan w:val="3"/>
          </w:tcPr>
          <w:p>
            <w:pPr>
              <w:ind w:left="120"/>
              <w:spacing w:after="0"/>
              <w:rPr>
                <w:sz w:val="20"/>
                <w:szCs w:val="20"/>
                <w:color w:val="auto"/>
              </w:rPr>
            </w:pPr>
            <w:r>
              <w:rPr>
                <w:rFonts w:ascii="Arial" w:cs="Arial" w:eastAsia="Arial" w:hAnsi="Arial"/>
                <w:sz w:val="14"/>
                <w:szCs w:val="14"/>
                <w:color w:val="auto"/>
              </w:rPr>
              <w:t>Stock-based compensation</w:t>
            </w:r>
          </w:p>
        </w:tc>
        <w:tc>
          <w:tcPr>
            <w:tcW w:w="40" w:type="dxa"/>
            <w:vAlign w:val="bottom"/>
          </w:tcPr>
          <w:p>
            <w:pPr>
              <w:spacing w:after="0"/>
              <w:rPr>
                <w:sz w:val="14"/>
                <w:szCs w:val="14"/>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1,276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55"/>
        </w:trPr>
        <w:tc>
          <w:tcPr>
            <w:tcW w:w="3460" w:type="dxa"/>
            <w:vAlign w:val="bottom"/>
            <w:tcBorders>
              <w:top w:val="single" w:sz="8" w:color="CCEEFF"/>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September 30, 2020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825,191,683</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1,992,106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27,832,670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33,111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(1,045,618</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(1,012,504</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23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22" w:lineRule="exact"/>
        <w:rPr>
          <w:sz w:val="20"/>
          <w:szCs w:val="20"/>
          <w:color w:val="auto"/>
        </w:rPr>
      </w:pPr>
    </w:p>
    <w:p>
      <w:pPr>
        <w:ind w:right="180" w:firstLine="8"/>
        <w:spacing w:after="0" w:line="255" w:lineRule="auto"/>
        <w:tabs>
          <w:tab w:leader="none" w:pos="212" w:val="left"/>
        </w:tabs>
        <w:numPr>
          <w:ilvl w:val="0"/>
          <w:numId w:val="4"/>
        </w:numPr>
        <w:rPr>
          <w:rFonts w:ascii="Arial" w:cs="Arial" w:eastAsia="Arial" w:hAnsi="Arial"/>
          <w:sz w:val="25"/>
          <w:szCs w:val="25"/>
          <w:color w:val="auto"/>
          <w:vertAlign w:val="superscript"/>
        </w:rPr>
      </w:pPr>
      <w:r>
        <w:rPr>
          <w:rFonts w:ascii="Arial" w:cs="Arial" w:eastAsia="Arial" w:hAnsi="Arial"/>
          <w:sz w:val="15"/>
          <w:szCs w:val="15"/>
          <w:color w:val="auto"/>
        </w:rPr>
        <w:t>The number of shares of convertible preferred stock and common stock issued and outstanding prior to the Merger have been retroactively adjusted by the Exchange Ratio to give effect to the reverse recapitalization treatment of the Merger. See Note 1 - Description of Business and Note 3 - Reverse Capitalization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Convertible</w:t>
            </w: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6"/>
        </w:trPr>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5"/>
            <w:vMerge w:val="continue"/>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00" w:type="dxa"/>
            <w:vAlign w:val="bottom"/>
            <w:tcBorders>
              <w:bottom w:val="single" w:sz="8" w:color="auto"/>
            </w:tcBorders>
            <w:gridSpan w:val="6"/>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100" w:type="dxa"/>
            <w:vAlign w:val="bottom"/>
            <w:tcBorders>
              <w:bottom w:val="single" w:sz="8" w:color="auto"/>
            </w:tcBorders>
            <w:gridSpan w:val="5"/>
            <w:shd w:val="clear" w:color="auto" w:fill="CCEEFF"/>
          </w:tcPr>
          <w:p>
            <w:pPr>
              <w:ind w:left="6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100" w:type="dxa"/>
            <w:vAlign w:val="bottom"/>
          </w:tcPr>
          <w:p>
            <w:pPr>
              <w:spacing w:after="0"/>
              <w:rPr>
                <w:sz w:val="15"/>
                <w:szCs w:val="15"/>
                <w:color w:val="auto"/>
              </w:rPr>
            </w:pPr>
          </w:p>
        </w:tc>
        <w:tc>
          <w:tcPr>
            <w:tcW w:w="1120" w:type="dxa"/>
            <w:vAlign w:val="bottom"/>
            <w:gridSpan w:val="3"/>
          </w:tcPr>
          <w:p>
            <w:pPr>
              <w:jc w:val="right"/>
              <w:ind w:right="38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right"/>
              <w:ind w:right="36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2020</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957,159,704</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2,494,076</w:t>
            </w:r>
          </w:p>
        </w:tc>
        <w:tc>
          <w:tcPr>
            <w:tcW w:w="16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left w:val="single" w:sz="8" w:color="CCEEFF"/>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28,791,702</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38,113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(1,356,893)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(1,318,777)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(1,534,081)</w:t>
            </w:r>
          </w:p>
        </w:tc>
        <w:tc>
          <w:tcPr>
            <w:tcW w:w="160" w:type="dxa"/>
            <w:vAlign w:val="bottom"/>
          </w:tcPr>
          <w:p>
            <w:pPr>
              <w:spacing w:after="0"/>
              <w:rPr>
                <w:sz w:val="12"/>
                <w:szCs w:val="12"/>
                <w:color w:val="auto"/>
              </w:rPr>
            </w:pPr>
          </w:p>
        </w:tc>
        <w:tc>
          <w:tcPr>
            <w:tcW w:w="8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(1,534,081)</w:t>
            </w:r>
          </w:p>
        </w:tc>
        <w:tc>
          <w:tcPr>
            <w:tcW w:w="0" w:type="dxa"/>
            <w:vAlign w:val="bottom"/>
          </w:tcPr>
          <w:p>
            <w:pPr>
              <w:spacing w:after="0"/>
              <w:rPr>
                <w:sz w:val="1"/>
                <w:szCs w:val="1"/>
                <w:color w:val="auto"/>
              </w:rPr>
            </w:pPr>
          </w:p>
        </w:tc>
      </w:tr>
      <w:tr>
        <w:trPr>
          <w:trHeight w:val="148"/>
        </w:trPr>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Repurchase of Series B convertible preferred shares</w:t>
            </w:r>
          </w:p>
        </w:tc>
        <w:tc>
          <w:tcPr>
            <w:tcW w:w="122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(3,525,365)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0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7"/>
              </w:rPr>
              <w:t>Issuance of Series D convertible preferred stock upon</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120"/>
              <w:spacing w:after="0"/>
              <w:rPr>
                <w:sz w:val="20"/>
                <w:szCs w:val="20"/>
                <w:color w:val="auto"/>
              </w:rPr>
            </w:pPr>
            <w:r>
              <w:rPr>
                <w:rFonts w:ascii="Arial" w:cs="Arial" w:eastAsia="Arial" w:hAnsi="Arial"/>
                <w:sz w:val="14"/>
                <w:szCs w:val="14"/>
                <w:color w:val="auto"/>
              </w:rPr>
              <w:t>exercise of warrants</w:t>
            </w: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1,546,799</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12,936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Series E convertible preferred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200,728,229</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3,206,159</w:t>
            </w:r>
          </w:p>
        </w:tc>
        <w:tc>
          <w:tcPr>
            <w:tcW w:w="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(2,129,218)</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(2,151,613)</w:t>
            </w:r>
          </w:p>
        </w:tc>
        <w:tc>
          <w:tcPr>
            <w:tcW w:w="0" w:type="dxa"/>
            <w:vAlign w:val="bottom"/>
          </w:tcPr>
          <w:p>
            <w:pPr>
              <w:spacing w:after="0"/>
              <w:rPr>
                <w:sz w:val="1"/>
                <w:szCs w:val="1"/>
                <w:color w:val="auto"/>
              </w:rPr>
            </w:pPr>
          </w:p>
        </w:tc>
      </w:tr>
      <w:tr>
        <w:trPr>
          <w:trHeight w:val="130"/>
        </w:trPr>
        <w:tc>
          <w:tcPr>
            <w:tcW w:w="340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Share-based compensation related to Series 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120"/>
              <w:spacing w:after="0"/>
              <w:rPr>
                <w:sz w:val="20"/>
                <w:szCs w:val="20"/>
                <w:color w:val="auto"/>
              </w:rPr>
            </w:pPr>
            <w:r>
              <w:rPr>
                <w:rFonts w:ascii="Arial" w:cs="Arial" w:eastAsia="Arial" w:hAnsi="Arial"/>
                <w:sz w:val="14"/>
                <w:szCs w:val="14"/>
                <w:color w:val="auto"/>
              </w:rPr>
              <w:t>convertible preferred stock</w:t>
            </w:r>
          </w:p>
        </w:tc>
        <w:tc>
          <w:tcPr>
            <w:tcW w:w="10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123,614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Conversion of convertible preferred stock into</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 in connection with the reverse</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recapitalization</w:t>
            </w: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(1,155,909,367)</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7"/>
              </w:rPr>
              <w:t>(5,836,785)</w:t>
            </w:r>
          </w:p>
        </w:tc>
        <w:tc>
          <w:tcPr>
            <w:tcW w:w="60" w:type="dxa"/>
            <w:vAlign w:val="bottom"/>
            <w:tcBorders>
              <w:left w:val="single" w:sz="8" w:color="CCEEFF"/>
            </w:tcBorders>
            <w:shd w:val="clear" w:color="auto" w:fill="CCEEFF"/>
          </w:tcPr>
          <w:p>
            <w:pPr>
              <w:spacing w:after="0"/>
              <w:rPr>
                <w:sz w:val="14"/>
                <w:szCs w:val="14"/>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1,155,909,367</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5,836,669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5,836,785</w:t>
            </w:r>
          </w:p>
        </w:tc>
        <w:tc>
          <w:tcPr>
            <w:tcW w:w="0" w:type="dxa"/>
            <w:vAlign w:val="bottom"/>
          </w:tcPr>
          <w:p>
            <w:pPr>
              <w:spacing w:after="0"/>
              <w:rPr>
                <w:sz w:val="1"/>
                <w:szCs w:val="1"/>
                <w:color w:val="auto"/>
              </w:rPr>
            </w:pPr>
          </w:p>
        </w:tc>
      </w:tr>
      <w:tr>
        <w:trPr>
          <w:trHeight w:val="130"/>
        </w:trPr>
        <w:tc>
          <w:tcPr>
            <w:tcW w:w="340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4"/>
              </w:rPr>
              <w:t>Issuance of common stock and common stock warrants</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120"/>
              <w:spacing w:after="0"/>
              <w:rPr>
                <w:sz w:val="20"/>
                <w:szCs w:val="20"/>
                <w:color w:val="auto"/>
              </w:rPr>
            </w:pPr>
            <w:r>
              <w:rPr>
                <w:rFonts w:ascii="Arial" w:cs="Arial" w:eastAsia="Arial" w:hAnsi="Arial"/>
                <w:sz w:val="14"/>
                <w:szCs w:val="14"/>
                <w:color w:val="auto"/>
                <w:w w:val="95"/>
              </w:rPr>
              <w:t>upon the reverse recapitalization, net of issuance costs</w:t>
            </w:r>
          </w:p>
        </w:tc>
        <w:tc>
          <w:tcPr>
            <w:tcW w:w="10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425,395,023</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3,590,914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4"/>
                <w:szCs w:val="14"/>
                <w:color w:val="auto"/>
              </w:rPr>
              <w:t>3,590,956</w:t>
            </w:r>
          </w:p>
        </w:tc>
        <w:tc>
          <w:tcPr>
            <w:tcW w:w="0" w:type="dxa"/>
            <w:vAlign w:val="bottom"/>
          </w:tcPr>
          <w:p>
            <w:pPr>
              <w:spacing w:after="0"/>
              <w:rPr>
                <w:sz w:val="1"/>
                <w:szCs w:val="1"/>
                <w:color w:val="auto"/>
              </w:rPr>
            </w:pPr>
          </w:p>
        </w:tc>
      </w:tr>
      <w:tr>
        <w:trPr>
          <w:trHeight w:val="130"/>
        </w:trPr>
        <w:tc>
          <w:tcPr>
            <w:tcW w:w="34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Issuance of common stock upon exercise of common</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stock warrants</w:t>
            </w: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22,651,424</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173,271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173,273</w:t>
            </w:r>
          </w:p>
        </w:tc>
        <w:tc>
          <w:tcPr>
            <w:tcW w:w="0" w:type="dxa"/>
            <w:vAlign w:val="bottom"/>
          </w:tcPr>
          <w:p>
            <w:pPr>
              <w:spacing w:after="0"/>
              <w:rPr>
                <w:sz w:val="1"/>
                <w:szCs w:val="1"/>
                <w:color w:val="auto"/>
              </w:rPr>
            </w:pPr>
          </w:p>
        </w:tc>
      </w:tr>
      <w:tr>
        <w:trPr>
          <w:trHeight w:val="130"/>
        </w:trPr>
        <w:tc>
          <w:tcPr>
            <w:tcW w:w="340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8,895,300</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6,028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4"/>
                <w:szCs w:val="14"/>
                <w:color w:val="auto"/>
              </w:rPr>
              <w:t>6,029</w:t>
            </w:r>
          </w:p>
        </w:tc>
        <w:tc>
          <w:tcPr>
            <w:tcW w:w="0" w:type="dxa"/>
            <w:vAlign w:val="bottom"/>
          </w:tcPr>
          <w:p>
            <w:pPr>
              <w:spacing w:after="0"/>
              <w:rPr>
                <w:sz w:val="1"/>
                <w:szCs w:val="1"/>
                <w:color w:val="auto"/>
              </w:rPr>
            </w:pPr>
          </w:p>
        </w:tc>
      </w:tr>
      <w:tr>
        <w:trPr>
          <w:trHeight w:val="162"/>
        </w:trPr>
        <w:tc>
          <w:tcPr>
            <w:tcW w:w="3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242,586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242,586</w:t>
            </w:r>
          </w:p>
        </w:tc>
        <w:tc>
          <w:tcPr>
            <w:tcW w:w="0" w:type="dxa"/>
            <w:vAlign w:val="bottom"/>
          </w:tcPr>
          <w:p>
            <w:pPr>
              <w:spacing w:after="0"/>
              <w:rPr>
                <w:sz w:val="1"/>
                <w:szCs w:val="1"/>
                <w:color w:val="auto"/>
              </w:rPr>
            </w:pPr>
          </w:p>
        </w:tc>
      </w:tr>
      <w:tr>
        <w:trPr>
          <w:trHeight w:val="155"/>
        </w:trPr>
        <w:tc>
          <w:tcPr>
            <w:tcW w:w="3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as of September 30, 2021</w:t>
            </w: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1,641,642,816</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9,865,186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(5,020,192</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4,845,158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7"/>
            <w:vMerge w:val="restart"/>
          </w:tcPr>
          <w:p>
            <w:pPr>
              <w:jc w:val="right"/>
              <w:ind w:right="760"/>
              <w:spacing w:after="0"/>
              <w:rPr>
                <w:sz w:val="20"/>
                <w:szCs w:val="20"/>
                <w:color w:val="auto"/>
              </w:rPr>
            </w:pPr>
            <w:r>
              <w:rPr>
                <w:rFonts w:ascii="Arial" w:cs="Arial" w:eastAsia="Arial" w:hAnsi="Arial"/>
                <w:sz w:val="14"/>
                <w:szCs w:val="14"/>
                <w:b w:val="1"/>
                <w:bCs w:val="1"/>
                <w:color w:val="auto"/>
              </w:rPr>
              <w:t>Convertible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6"/>
        </w:trPr>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7"/>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vMerge w:val="continue"/>
          </w:tcPr>
          <w:p>
            <w:pPr>
              <w:spacing w:after="0"/>
              <w:rPr>
                <w:sz w:val="14"/>
                <w:szCs w:val="14"/>
                <w:color w:val="auto"/>
              </w:rPr>
            </w:pPr>
          </w:p>
        </w:tc>
        <w:tc>
          <w:tcPr>
            <w:tcW w:w="6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tcBorders>
              <w:bottom w:val="single" w:sz="8" w:color="auto"/>
              <w:right w:val="single" w:sz="8" w:color="CCEEFF"/>
            </w:tcBorders>
            <w:gridSpan w:val="7"/>
            <w:shd w:val="clear" w:color="auto" w:fill="CCEEFF"/>
          </w:tcPr>
          <w:p>
            <w:pPr>
              <w:jc w:val="right"/>
              <w:ind w:right="58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Borders>
              <w:lef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00" w:type="dxa"/>
            <w:vAlign w:val="bottom"/>
            <w:tcBorders>
              <w:bottom w:val="single" w:sz="8" w:color="auto"/>
            </w:tcBorders>
            <w:gridSpan w:val="5"/>
            <w:shd w:val="clear" w:color="auto" w:fill="CCEEFF"/>
          </w:tcPr>
          <w:p>
            <w:pPr>
              <w:ind w:left="6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100" w:type="dxa"/>
            <w:vAlign w:val="bottom"/>
          </w:tcPr>
          <w:p>
            <w:pPr>
              <w:spacing w:after="0"/>
              <w:rPr>
                <w:sz w:val="15"/>
                <w:szCs w:val="15"/>
                <w:color w:val="auto"/>
              </w:rPr>
            </w:pPr>
          </w:p>
        </w:tc>
        <w:tc>
          <w:tcPr>
            <w:tcW w:w="1120" w:type="dxa"/>
            <w:vAlign w:val="bottom"/>
            <w:gridSpan w:val="3"/>
          </w:tcPr>
          <w:p>
            <w:pPr>
              <w:jc w:val="right"/>
              <w:ind w:right="32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right"/>
              <w:ind w:right="340"/>
              <w:spacing w:after="0" w:line="18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21"/>
                <w:szCs w:val="21"/>
                <w:b w:val="1"/>
                <w:bCs w:val="1"/>
                <w:color w:val="auto"/>
                <w:vertAlign w:val="superscript"/>
              </w:rPr>
              <w:t>(1)</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3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502,582,534</w:t>
            </w: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righ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1,074,010</w:t>
            </w:r>
          </w:p>
        </w:tc>
        <w:tc>
          <w:tcPr>
            <w:tcW w:w="60" w:type="dxa"/>
            <w:vAlign w:val="bottom"/>
            <w:tcBorders>
              <w:top w:val="single" w:sz="8" w:color="CCEEFF"/>
              <w:lef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21,288,741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16,432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(637,513)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(621,079)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(408,105)</w:t>
            </w:r>
          </w:p>
        </w:tc>
        <w:tc>
          <w:tcPr>
            <w:tcW w:w="160" w:type="dxa"/>
            <w:vAlign w:val="bottom"/>
          </w:tcPr>
          <w:p>
            <w:pPr>
              <w:spacing w:after="0"/>
              <w:rPr>
                <w:sz w:val="12"/>
                <w:szCs w:val="12"/>
                <w:color w:val="auto"/>
              </w:rPr>
            </w:pPr>
          </w:p>
        </w:tc>
        <w:tc>
          <w:tcPr>
            <w:tcW w:w="8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(408,105)</w:t>
            </w:r>
          </w:p>
        </w:tc>
        <w:tc>
          <w:tcPr>
            <w:tcW w:w="0" w:type="dxa"/>
            <w:vAlign w:val="bottom"/>
          </w:tcPr>
          <w:p>
            <w:pPr>
              <w:spacing w:after="0"/>
              <w:rPr>
                <w:sz w:val="1"/>
                <w:szCs w:val="1"/>
                <w:color w:val="auto"/>
              </w:rPr>
            </w:pPr>
          </w:p>
        </w:tc>
      </w:tr>
      <w:tr>
        <w:trPr>
          <w:trHeight w:val="148"/>
        </w:trPr>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Series D convertible preferred stock</w:t>
            </w:r>
          </w:p>
        </w:tc>
        <w:tc>
          <w:tcPr>
            <w:tcW w:w="122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164,992,213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400,000</w:t>
            </w:r>
          </w:p>
        </w:tc>
        <w:tc>
          <w:tcPr>
            <w:tcW w:w="60" w:type="dxa"/>
            <w:vAlign w:val="bottom"/>
            <w:tcBorders>
              <w:lef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0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Settlement of Series D contingent forward contract</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lef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3"/>
          </w:tcPr>
          <w:p>
            <w:pPr>
              <w:ind w:left="120"/>
              <w:spacing w:after="0"/>
              <w:rPr>
                <w:sz w:val="20"/>
                <w:szCs w:val="20"/>
                <w:color w:val="auto"/>
              </w:rPr>
            </w:pPr>
            <w:r>
              <w:rPr>
                <w:rFonts w:ascii="Arial" w:cs="Arial" w:eastAsia="Arial" w:hAnsi="Arial"/>
                <w:sz w:val="14"/>
                <w:szCs w:val="14"/>
                <w:color w:val="auto"/>
              </w:rPr>
              <w:t>liability</w:t>
            </w:r>
          </w:p>
        </w:tc>
        <w:tc>
          <w:tcPr>
            <w:tcW w:w="100" w:type="dxa"/>
            <w:vAlign w:val="bottom"/>
          </w:tcPr>
          <w:p>
            <w:pPr>
              <w:spacing w:after="0"/>
              <w:rPr>
                <w:sz w:val="14"/>
                <w:szCs w:val="1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39,563</w:t>
            </w:r>
          </w:p>
        </w:tc>
        <w:tc>
          <w:tcPr>
            <w:tcW w:w="6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Series C convertible preferred stock</w:t>
            </w:r>
          </w:p>
        </w:tc>
        <w:tc>
          <w:tcPr>
            <w:tcW w:w="12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(9,656,589)</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(20,398)</w:t>
            </w:r>
          </w:p>
        </w:tc>
        <w:tc>
          <w:tcPr>
            <w:tcW w:w="60" w:type="dxa"/>
            <w:vAlign w:val="bottom"/>
            <w:tcBorders>
              <w:lef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10,537</w:t>
            </w:r>
          </w:p>
        </w:tc>
        <w:tc>
          <w:tcPr>
            <w:tcW w:w="0" w:type="dxa"/>
            <w:vAlign w:val="bottom"/>
          </w:tcPr>
          <w:p>
            <w:pPr>
              <w:spacing w:after="0"/>
              <w:rPr>
                <w:sz w:val="1"/>
                <w:szCs w:val="1"/>
                <w:color w:val="auto"/>
              </w:rPr>
            </w:pPr>
          </w:p>
        </w:tc>
      </w:tr>
      <w:tr>
        <w:trPr>
          <w:trHeight w:val="149"/>
        </w:trPr>
        <w:tc>
          <w:tcPr>
            <w:tcW w:w="34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Issuance of Series E convertible preferred stock</w:t>
            </w:r>
          </w:p>
        </w:tc>
        <w:tc>
          <w:tcPr>
            <w:tcW w:w="122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167,273,525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498,931</w:t>
            </w:r>
          </w:p>
        </w:tc>
        <w:tc>
          <w:tcPr>
            <w:tcW w:w="6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0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tcBorders>
              <w:lef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auto"/>
            </w:tcBorders>
            <w:shd w:val="clear" w:color="auto" w:fill="CCEEFF"/>
          </w:tcPr>
          <w:p>
            <w:pPr>
              <w:spacing w:after="0"/>
              <w:rPr>
                <w:sz w:val="14"/>
                <w:szCs w:val="14"/>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6,543,929</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2,886</w:t>
            </w:r>
          </w:p>
        </w:tc>
        <w:tc>
          <w:tcPr>
            <w:tcW w:w="0" w:type="dxa"/>
            <w:vAlign w:val="bottom"/>
          </w:tcPr>
          <w:p>
            <w:pPr>
              <w:spacing w:after="0"/>
              <w:rPr>
                <w:sz w:val="1"/>
                <w:szCs w:val="1"/>
                <w:color w:val="auto"/>
              </w:rPr>
            </w:pPr>
          </w:p>
        </w:tc>
      </w:tr>
      <w:tr>
        <w:trPr>
          <w:trHeight w:val="162"/>
        </w:trPr>
        <w:tc>
          <w:tcPr>
            <w:tcW w:w="3400" w:type="dxa"/>
            <w:vAlign w:val="bottom"/>
            <w:gridSpan w:val="3"/>
          </w:tcPr>
          <w:p>
            <w:pPr>
              <w:ind w:left="12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4"/>
                <w:szCs w:val="1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3,257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4"/>
                <w:szCs w:val="14"/>
                <w:color w:val="auto"/>
              </w:rPr>
              <w:t>3,257</w:t>
            </w:r>
          </w:p>
        </w:tc>
        <w:tc>
          <w:tcPr>
            <w:tcW w:w="0" w:type="dxa"/>
            <w:vAlign w:val="bottom"/>
          </w:tcPr>
          <w:p>
            <w:pPr>
              <w:spacing w:after="0"/>
              <w:rPr>
                <w:sz w:val="1"/>
                <w:szCs w:val="1"/>
                <w:color w:val="auto"/>
              </w:rPr>
            </w:pPr>
          </w:p>
        </w:tc>
      </w:tr>
      <w:tr>
        <w:trPr>
          <w:trHeight w:val="155"/>
        </w:trPr>
        <w:tc>
          <w:tcPr>
            <w:tcW w:w="3400" w:type="dxa"/>
            <w:vAlign w:val="bottom"/>
            <w:tcBorders>
              <w:top w:val="single" w:sz="8" w:color="CCEEFF"/>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September 30, 2020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825,191,683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right w:val="single" w:sz="8" w:color="CCEEFF"/>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b w:val="1"/>
                <w:bCs w:val="1"/>
                <w:color w:val="auto"/>
              </w:rPr>
              <w:t>1,992,106</w:t>
            </w:r>
          </w:p>
        </w:tc>
        <w:tc>
          <w:tcPr>
            <w:tcW w:w="60" w:type="dxa"/>
            <w:vAlign w:val="bottom"/>
            <w:tcBorders>
              <w:top w:val="single" w:sz="8" w:color="CCEEFF"/>
              <w:left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27,832,670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33,111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(1,045,618</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(1,012,504</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-3736975</wp:posOffset>
            </wp:positionV>
            <wp:extent cx="7132320" cy="231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22" w:lineRule="exact"/>
        <w:rPr>
          <w:sz w:val="20"/>
          <w:szCs w:val="20"/>
          <w:color w:val="auto"/>
        </w:rPr>
      </w:pPr>
    </w:p>
    <w:p>
      <w:pPr>
        <w:ind w:right="180" w:firstLine="8"/>
        <w:spacing w:after="0" w:line="255" w:lineRule="auto"/>
        <w:tabs>
          <w:tab w:leader="none" w:pos="212" w:val="left"/>
        </w:tabs>
        <w:numPr>
          <w:ilvl w:val="0"/>
          <w:numId w:val="5"/>
        </w:numPr>
        <w:rPr>
          <w:rFonts w:ascii="Arial" w:cs="Arial" w:eastAsia="Arial" w:hAnsi="Arial"/>
          <w:sz w:val="25"/>
          <w:szCs w:val="25"/>
          <w:color w:val="auto"/>
          <w:vertAlign w:val="superscript"/>
        </w:rPr>
      </w:pPr>
      <w:r>
        <w:rPr>
          <w:rFonts w:ascii="Arial" w:cs="Arial" w:eastAsia="Arial" w:hAnsi="Arial"/>
          <w:sz w:val="15"/>
          <w:szCs w:val="15"/>
          <w:color w:val="auto"/>
        </w:rPr>
        <w:t>The number of shares of convertible preferred stock and common stock issued and outstanding prior to the Merger have been retroactively adjusted by the Exchange Ratio to give effect to the reverse recapitalization treatment of the Merger. See Note 1 - Description of Business and Note 3 - Reverse Capitalization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jc w:val="center"/>
              <w:ind w:right="341"/>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6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2020</w:t>
            </w:r>
          </w:p>
        </w:tc>
        <w:tc>
          <w:tcPr>
            <w:tcW w:w="80" w:type="dxa"/>
            <w:vAlign w:val="bottom"/>
            <w:tcBorders>
              <w:bottom w:val="single" w:sz="8" w:color="CCEEFF"/>
            </w:tcBorders>
          </w:tcPr>
          <w:p>
            <w:pPr>
              <w:spacing w:after="0"/>
              <w:rPr>
                <w:sz w:val="19"/>
                <w:szCs w:val="19"/>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(1,534,081)</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(408,105)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26,621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5,447</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insurance premium</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7,184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Non-cash operating lease cost</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8,629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366,200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139</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forward contract liability</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454,546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Change in fair value of preferred stock warrant liability</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6,976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171</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24,787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(163)</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(60,112)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(1,863)</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Financed insurance premium</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(41,935)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(23,762)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9,556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8,299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Other noncurrent assets and security deposit</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(5,861)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(9,324)</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(14,175)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(30,109)</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12,752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8,880</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(4,516)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Other liabilities and accrued liabilities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17,834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22,732</w:t>
            </w:r>
          </w:p>
        </w:tc>
      </w:tr>
      <w:tr>
        <w:trPr>
          <w:trHeight w:val="23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5,158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10,002</w:t>
            </w:r>
          </w:p>
        </w:tc>
      </w:tr>
      <w:tr>
        <w:trPr>
          <w:trHeight w:val="209"/>
        </w:trPr>
        <w:tc>
          <w:tcPr>
            <w:tcW w:w="6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6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(745,401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(377,407</w:t>
            </w:r>
          </w:p>
        </w:tc>
        <w:tc>
          <w:tcPr>
            <w:tcW w:w="80" w:type="dxa"/>
            <w:vAlign w:val="bottom"/>
            <w:tcBorders>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Purchases of property, equipment, and software</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(299,313)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(355,860)</w:t>
            </w:r>
          </w:p>
        </w:tc>
      </w:tr>
      <w:tr>
        <w:trPr>
          <w:trHeight w:val="23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 from sale of property, equipment, and software</w:t>
            </w:r>
          </w:p>
        </w:tc>
        <w:tc>
          <w:tcPr>
            <w:tcW w:w="1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0"/>
        </w:trPr>
        <w:tc>
          <w:tcPr>
            <w:tcW w:w="68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(299,294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(355,860</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20"/>
        </w:trPr>
        <w:tc>
          <w:tcPr>
            <w:tcW w:w="6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6"/>
          </w:tcPr>
          <w:p>
            <w:pPr>
              <w:ind w:left="2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8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Payment for short-term insurance financing note</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(16,819)</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capital lease liabilities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Payment for finance lease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(1,915)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short-term insurance financing note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41,935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Repurchase of Series B convertible preferred stock</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Series C convertible preferred stock</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issuance of Series D convertible preferred stock</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Series E convertible preferred stock</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499,724</w:t>
            </w: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public warrants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173,273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the reverse recapitalization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4,439,153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transaction costs related to the reverse recapitalization</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7"/>
              </w:rPr>
              <w:t>5,236,843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892,575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7"/>
              </w:rPr>
              <w:t>4,192,148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80"/>
              <w:spacing w:after="0"/>
              <w:rPr>
                <w:sz w:val="20"/>
                <w:szCs w:val="20"/>
                <w:color w:val="auto"/>
              </w:rPr>
            </w:pPr>
            <w:r>
              <w:rPr>
                <w:rFonts w:ascii="Arial" w:cs="Arial" w:eastAsia="Arial" w:hAnsi="Arial"/>
                <w:sz w:val="18"/>
                <w:szCs w:val="18"/>
                <w:color w:val="auto"/>
              </w:rPr>
              <w:t>Beginning cash, cash equivalents, and restricted cash</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640,418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379,651</w:t>
            </w:r>
          </w:p>
        </w:tc>
        <w:tc>
          <w:tcPr>
            <w:tcW w:w="0" w:type="dxa"/>
            <w:vAlign w:val="bottom"/>
          </w:tcPr>
          <w:p>
            <w:pPr>
              <w:spacing w:after="0"/>
              <w:rPr>
                <w:sz w:val="1"/>
                <w:szCs w:val="1"/>
                <w:color w:val="auto"/>
              </w:rPr>
            </w:pPr>
          </w:p>
        </w:tc>
      </w:tr>
      <w:tr>
        <w:trPr>
          <w:trHeight w:val="223"/>
        </w:trPr>
        <w:tc>
          <w:tcPr>
            <w:tcW w:w="8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cash, cash equivalents, and restricted cash</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7"/>
              </w:rPr>
              <w:t>4,832,566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Property and equipment included in accounts payable and accrued expense</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5,756</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81,011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and right-of-use assets obtained through leases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70,756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Issuance of Series D convertible preferred stock upon settlement of contingent forward contracts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39,563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Series D convertible preferred stock upon exercise of preferred stock warrants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Issuance of Series E convertible preferred stock contingent forward contracts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2,167,332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contribution upon forfeit of Series E awards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Issuance of Series E convertible preferred stock upon settlement of contingent forward contracts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2,621,878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Issuance of common stock upon conversion of preferred stock in connection with the reverse recapitalization</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5,836,785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Transaction costs related to the reverse recapitalization not yet paid</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34,054</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-4354830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Lucid Group, Inc. (“Lucid”) is a vertically-integrated technology and automotive company focused on designing, developing, manufacturing, and selling the next generation of electric vehicle (“EV”), EV powertrains and battery systems.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 – Reverse Recapitalization for more information.</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the notes to the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inception through September 30, 2021, the Company has incurred operating losses and negative cash flows from operating activities. For the nine months ended September 30, 2021 and 2020, the Company has incurred operating losses, including net losses of $1.5 billion and $408.1 million, respectively. The Company has an accumulated deficit of $5.0 billion as of September 30, 2021.</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quarter ended June 30, 2021, the Company completed the first phase of the construction of its newly built manufacturing plant in Casa Grande, Arizona (the “Arizona plant”). The Company began commercial production of its first vehicle, the Lucid Air, in September 2021 and delivered its first vehicles in late October 2021. The Company continues to expand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existing sources of liquidity include cash and cash equivalents. Prior to the Merger, the Company historically funded operations primarily with issuances of convertible preferred stock and convertible notes. Upon the completion of the Merger, the Company received $4,400.3 million in cash proceeds, net of transaction costs. The Company believes the Merger eliminated the substantial doubt about the Company’s ability to continue as a going concern within one year after the date of issuance of this quarterly report on Form 10-Q (the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its ability to access potential markets, and secure long-term financing.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301" w:lineRule="auto"/>
        <w:rPr>
          <w:sz w:val="20"/>
          <w:szCs w:val="20"/>
          <w:color w:val="auto"/>
        </w:rPr>
      </w:pPr>
      <w:r>
        <w:rPr>
          <w:rFonts w:ascii="Arial" w:cs="Arial" w:eastAsia="Arial" w:hAnsi="Arial"/>
          <w:sz w:val="16"/>
          <w:szCs w:val="16"/>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late 2019, a novel strain of coronavirus (COVID-19) began to affect the population of China and expanded into a worldwide pandemic during 2020, leading to significant business and supply chain disruptions,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accompanying unaudited condensed consolidated financial statements included herein have been prepared in accordance with accounting principles generally accepted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w:t>
      </w:r>
      <w:r>
        <w:rPr>
          <w:rFonts w:ascii="Arial" w:cs="Arial" w:eastAsia="Arial" w:hAnsi="Arial"/>
          <w:sz w:val="18"/>
          <w:szCs w:val="18"/>
          <w:color w:val="212529"/>
        </w:rPr>
        <w:t>These unaudited condensed consolidated financial statements</w:t>
      </w:r>
      <w:r>
        <w:rPr>
          <w:rFonts w:ascii="Arial" w:cs="Arial" w:eastAsia="Arial" w:hAnsi="Arial"/>
          <w:sz w:val="18"/>
          <w:szCs w:val="18"/>
          <w:color w:val="auto"/>
        </w:rPr>
        <w:t xml:space="preserve"> </w:t>
      </w:r>
      <w:r>
        <w:rPr>
          <w:rFonts w:ascii="Arial" w:cs="Arial" w:eastAsia="Arial" w:hAnsi="Arial"/>
          <w:sz w:val="18"/>
          <w:szCs w:val="18"/>
          <w:color w:val="212529"/>
        </w:rPr>
        <w:t xml:space="preserve">should be read together with the Company’s audited consolidated financial statements </w:t>
      </w:r>
      <w:r>
        <w:rPr>
          <w:rFonts w:ascii="Arial" w:cs="Arial" w:eastAsia="Arial" w:hAnsi="Arial"/>
          <w:sz w:val="18"/>
          <w:szCs w:val="18"/>
          <w:color w:val="000000"/>
        </w:rPr>
        <w:t>and accompanying notes</w:t>
      </w:r>
      <w:r>
        <w:rPr>
          <w:rFonts w:ascii="Arial" w:cs="Arial" w:eastAsia="Arial" w:hAnsi="Arial"/>
          <w:sz w:val="18"/>
          <w:szCs w:val="18"/>
          <w:color w:val="212529"/>
        </w:rPr>
        <w:t xml:space="preserve"> as of and for the years ended December 31, 2020 and 2019 included in the final prospectus and definitive proxy statement filed on June 25, 2021 with the SEC pursuant to Rule 424(b)(3) under the Securities Act.</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September 30, 2021 and the results of operations for the three and nine months ended September 30, 2021 and 2020. The results of operations for the three and nine months ended September 30, 2021 are not necessarily indicative of the results to be expected for the full year ending December 31, 2021 or any other future interim or annual period.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 of preferred stock warrants, fair value of common stock warrants, fair value of contingent forward contracts liability, valuation of deferred income tax assets and uncertain tax positions, fair value of common stock and other assumptions used to measure stock-based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an original or remaining maturity at the date of purchase of three months or less to be cash equivalents.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Restricted cash in the other current assets is comprised primarily of customer reservation payments for electric vehicles and other escrow deposit for building of the Arizona plant. Restricted cash included in other non-current assets is primarily related to letters of credit issued to the landlord for the Company’s headquarter in Newark, California and retail locations, and escrow deposit required under the escrow agreement for the lease with Pinal county, Arizona, related to the Arizona plant.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cash and restricted cash to amounts shown in the statements of cash flows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4,796,880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10,970</w:t>
            </w: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11,278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19,767</w:t>
            </w: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included in other noncurrent assets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24,716</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14,728</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8,200</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4,832,566</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640,418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538,959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September 30, 2021 and December 31, 2020, and the Company’s revenue is primarily from the same customer for each of the three and nine months ended September 30,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warrants for shares of the Company’s common stock that are not indexed to its own stock as liabilities at fair value on the balance sheet. Liability-classified common stock warrants are subject to remeasurement to fair value as of any respective exercise date and as of each subsequent balance sheet date with changes in fair value recorded in the Company’s statement of operations. For issued or modified common stock warrants outstanding that meet all of the criteria for equity classification, the common stock warrants are recorded as a component of additional paid-in capital and are not remeasured to fair value in subsequent reporting periods.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publicly traded common stock warrants (the “public warrants”) are equity-classified instruments because they are deemed indexed to the Company’s own common stock and did not contain any provision that could require net cash settlement unless the holders of the underlying shares would also receive the same form of consideration as the holders of public warrants. The Company’s privately placed common stock warrants (the “private warrants”) are liability-classified instruments because they are not deemed indexed to the Company’s own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September 30, 2021, there were no material changes in the other significant accounting policies disclosed in Note 2 of the audited consolidated financial statements as of and for each of the years ended December 31, 2020 and 2019 included in Lucid’s </w:t>
      </w:r>
      <w:r>
        <w:rPr>
          <w:rFonts w:ascii="Arial" w:cs="Arial" w:eastAsia="Arial" w:hAnsi="Arial"/>
          <w:sz w:val="18"/>
          <w:szCs w:val="18"/>
          <w:color w:val="212529"/>
        </w:rPr>
        <w:t>final prospectus and definitive proxy statement</w:t>
      </w:r>
      <w:r>
        <w:rPr>
          <w:rFonts w:ascii="Arial" w:cs="Arial" w:eastAsia="Arial" w:hAnsi="Arial"/>
          <w:sz w:val="18"/>
          <w:szCs w:val="18"/>
          <w:color w:val="auto"/>
        </w:rPr>
        <w:t xml:space="preserve"> </w:t>
      </w:r>
      <w:r>
        <w:rPr>
          <w:rFonts w:ascii="Arial" w:cs="Arial" w:eastAsia="Arial" w:hAnsi="Arial"/>
          <w:sz w:val="18"/>
          <w:szCs w:val="18"/>
          <w:color w:val="212529"/>
        </w:rPr>
        <w:t>filed on June 25, 2021 with the SEC pursuant to Rule 424(b)(3)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2016, the FASB issued ASU No. 2016-02 (“ASC 842”), Leases, to require lessees to recognize all leases, with certain exceptions, on the balance sheet, while recognition on the statement of operations will remain similar to current lease accounting. Subsequently, the FASB issued ASU No. 2018-10, Codification Improvements to Topic 842, Leases, ASU No. 2018-11, Targeted Improvements, ASU No. 2018-20, Narrow-Scope Improvements for Lessors, and ASU 2019-01, Codification Improvements, to clarify and amend the guidance in ASU No. 2016-02. ASC 842 eliminates real estate-specific provisions and modifies certain aspects of lessor accounting. This standard is effective for interim and annual periods beginning after December 15, 2018 for public business entities. Private companies are required to adopt the new leases standard for annual periods beginning after December 15, 2021 and interim periods in annual periods beginning after December 15, 2022. Early adoption is permitted for all entities. The Company adopted ASC 842 as of January 1, 2021 using the modified retrospective approach (“adoption of the new lease standard”). This approach allows entities to either apply the new lease standard to the beginning of the earliest period presented or only to the consolidated financial statements in the period of adoption without restating prior periods. The Company has elected to apply the new guidance at the date of adoption without restating prior periods. In addition, the Company elected the package of practical expedients permitted under the transition guidance within the new standard, which allowed the Company to carry forward the historical determination of contracts as leases, lease classification and not reassess initial direct costs for historical lease arrangements. Accordingly, previously reported financial statements, including footnote disclosures, have not been recast to reflect the application of the new standard to all comparative periods presented. The finance lease classification under ASC 842 includes leases previously classified as capital leases under ASC 840.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The Company has lease agreements with lease and non-lease components, including embedded leases, and has elected not to utilize the practical expedient to account for lease and non-lease components together, rather the Company is accounting for the lease and non-lease components separately on the consolidated financial statements.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 long-term liabilities on the Company’s consolidated balance sheet as of September 30, 2021.</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elected not to present short-term leases on the consolidated balance sheet as these leases have a lease term of 12 months or less at lease inception and do not contain purchase options or renewal terms that the Company is reasonably certain to exercise. All other lease assets and lease liabilities are recognized based on the present value of lease payments over the lease term at the later of ASC 842 adoption date or lease commencement date. Because most of the Company’s leases do not provide an implicit rate of return, the Company used the Company’s incremental borrowing rate based on the information available at adoption date or lease commencement date in determining the present value of lease payments.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Adoption of the new lease standard on January 1, 2021 had a material impact on the Company’s interim unaudited condensed consolidated financial statements. The most significant impacts related to the (i) recording of ROU asset of $94.2 million, and (ii) recording lease liability of $126.0 million, as of January 1, 2021 on the consolidated balance sheets. The Company also reclassified prepaid expenses of $0.2 million and deferred rent balance, including tenant improvement allowances, and other liability balances of $31.8 million relating to the Company’s existing lease arrangements as of December 31, 2020, into the ROU asset balance as of January 1, 2021. ROU assets represent the Company’s right to use an underlying asset for the lease term and lease liabilities represent the Company’s obligation to make lease payments arising from the lease. The standard did not materially impact the Company’s consolidated statement of operations and consolidated statement of cash flows.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 of the changes made to the Company’s consolidated balance sheet as of January 1, 2021 for the adoption of the new lease standard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Adjustments from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Balances at</w:t>
            </w:r>
          </w:p>
        </w:tc>
        <w:tc>
          <w:tcPr>
            <w:tcW w:w="20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Adoption of New Lease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at</w:t>
            </w:r>
          </w:p>
        </w:tc>
      </w:tr>
      <w:tr>
        <w:trPr>
          <w:trHeight w:val="234"/>
        </w:trPr>
        <w:tc>
          <w:tcPr>
            <w:tcW w:w="624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Standard</w:t>
            </w:r>
          </w:p>
        </w:tc>
        <w:tc>
          <w:tcPr>
            <w:tcW w:w="8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8"/>
              </w:rPr>
              <w:t>January 1, 2021</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21,840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21,660</w:t>
            </w: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716,511</w:t>
            </w: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90,932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90,932</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151,753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8,030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159,783</w:t>
            </w: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125,291</w:t>
            </w: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simplifies the accounting for income taxes by eliminating some exceptions to the general approach in Topic 740, Income Taxes in order to reduce cost and complexity of its application. For public business entities, the guidance is effective for fiscal years beginning after December 15, 2020 and interim periods within those fiscal years. For nonpublic entities, the guidance is effective for fiscal years beginning after December 15, 2021 and interim periods within fiscal years beginning after December 15, 2022. Early adoption is permitted if financial statements have not yet been issued (for public business entities) or have not yet been made available for issuance (for all other entities). The Company adopted this ASU starting on January 1, 2021. The adoption of this ASU did not have an immediate impact to the consolidated financial statements and related disclosure.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 or notes thereto.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REVERSE RECAPITALIZATION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spacing w:after="0" w:line="176" w:lineRule="exact"/>
        <w:rPr>
          <w:sz w:val="20"/>
          <w:szCs w:val="20"/>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 (“Effective Time”);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other related events that occurred in connection with the Closing are summarized below:</w:t>
      </w:r>
    </w:p>
    <w:p>
      <w:pPr>
        <w:spacing w:after="0" w:line="225"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Churchill Sponsor IV LLC (the “Churchill Sponsor”) exercised its right to convert the outstanding and unpaid amount of $1.5 million under the working capital loan provided by the Churchill Sponsor to Churchill into an additional 1,500,000 private warrants at a price of $1.00 per warrant in satisfaction of such loan;</w:t>
      </w:r>
    </w:p>
    <w:p>
      <w:pPr>
        <w:spacing w:after="0" w:line="183"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11 - Earnback Shares and Warrants for more information; and</w:t>
      </w:r>
    </w:p>
    <w:p>
      <w:pPr>
        <w:spacing w:after="0" w:line="177"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Churchill redeemed 21,644 public shares of Churchill’s Class A common stock at approximately $10.00 per share for an aggregate payment of $0.2 million.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After giving effect to the Merger and the redemption of Churchill shares as described above, the number of shares of common stock issued and outstanding immediately following the consummation of the Merger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Churchill public shares, prior to redemptions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900" w:type="dxa"/>
            <w:vAlign w:val="bottom"/>
          </w:tcPr>
          <w:p>
            <w:pPr>
              <w:spacing w:after="0"/>
              <w:rPr>
                <w:sz w:val="20"/>
                <w:szCs w:val="20"/>
                <w:color w:val="auto"/>
              </w:rPr>
            </w:pPr>
            <w:r>
              <w:rPr>
                <w:rFonts w:ascii="Arial" w:cs="Arial" w:eastAsia="Arial" w:hAnsi="Arial"/>
                <w:sz w:val="18"/>
                <w:szCs w:val="18"/>
                <w:color w:val="auto"/>
              </w:rPr>
              <w:t>Less redemption of Churchill shares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(21,644)</w:t>
            </w:r>
          </w:p>
        </w:tc>
        <w:tc>
          <w:tcPr>
            <w:tcW w:w="0" w:type="dxa"/>
            <w:vAlign w:val="bottom"/>
          </w:tcPr>
          <w:p>
            <w:pPr>
              <w:spacing w:after="0"/>
              <w:rPr>
                <w:sz w:val="1"/>
                <w:szCs w:val="1"/>
                <w:color w:val="auto"/>
              </w:rPr>
            </w:pPr>
          </w:p>
        </w:tc>
      </w:tr>
      <w:tr>
        <w:trPr>
          <w:trHeight w:val="210"/>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Churchill public shares, net of redemptions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206,978,356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900" w:type="dxa"/>
            <w:vAlign w:val="bottom"/>
          </w:tcPr>
          <w:p>
            <w:pPr>
              <w:spacing w:after="0" w:line="256" w:lineRule="exact"/>
              <w:rPr>
                <w:sz w:val="20"/>
                <w:szCs w:val="20"/>
                <w:color w:val="auto"/>
              </w:rPr>
            </w:pPr>
            <w:r>
              <w:rPr>
                <w:rFonts w:ascii="Arial" w:cs="Arial" w:eastAsia="Arial" w:hAnsi="Arial"/>
                <w:sz w:val="18"/>
                <w:szCs w:val="18"/>
                <w:color w:val="auto"/>
              </w:rPr>
              <w:t>Churchill Sponsor shares</w:t>
            </w:r>
            <w:r>
              <w:rPr>
                <w:rFonts w:ascii="Arial" w:cs="Arial" w:eastAsia="Arial" w:hAnsi="Arial"/>
                <w:sz w:val="29"/>
                <w:szCs w:val="29"/>
                <w:color w:val="auto"/>
                <w:vertAlign w:val="superscript"/>
              </w:rPr>
              <w:t>(1)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51,750,000</w:t>
            </w:r>
          </w:p>
        </w:tc>
        <w:tc>
          <w:tcPr>
            <w:tcW w:w="0" w:type="dxa"/>
            <w:vAlign w:val="bottom"/>
          </w:tcPr>
          <w:p>
            <w:pPr>
              <w:spacing w:after="0"/>
              <w:rPr>
                <w:sz w:val="1"/>
                <w:szCs w:val="1"/>
                <w:color w:val="auto"/>
              </w:rPr>
            </w:pPr>
          </w:p>
        </w:tc>
      </w:tr>
      <w:tr>
        <w:trPr>
          <w:trHeight w:val="270"/>
        </w:trPr>
        <w:tc>
          <w:tcPr>
            <w:tcW w:w="99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PIPE shares</w:t>
            </w:r>
            <w:r>
              <w:rPr>
                <w:rFonts w:ascii="Arial" w:cs="Arial" w:eastAsia="Arial" w:hAnsi="Arial"/>
                <w:sz w:val="29"/>
                <w:szCs w:val="29"/>
                <w:color w:val="auto"/>
                <w:vertAlign w:val="superscript"/>
              </w:rPr>
              <w:t>(2)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166,666,667</w:t>
            </w:r>
          </w:p>
        </w:tc>
        <w:tc>
          <w:tcPr>
            <w:tcW w:w="0" w:type="dxa"/>
            <w:vAlign w:val="bottom"/>
          </w:tcPr>
          <w:p>
            <w:pPr>
              <w:spacing w:after="0"/>
              <w:rPr>
                <w:sz w:val="1"/>
                <w:szCs w:val="1"/>
                <w:color w:val="auto"/>
              </w:rPr>
            </w:pP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rPr>
              <w:t>Total shares of Churchill common stock outstanding immediately prior to the Merger</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425,395,023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Legacy Lucid shares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1,193,226,511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900" w:type="dxa"/>
            <w:vAlign w:val="bottom"/>
          </w:tcPr>
          <w:p>
            <w:pPr>
              <w:spacing w:after="0" w:line="263" w:lineRule="exact"/>
              <w:rPr>
                <w:sz w:val="20"/>
                <w:szCs w:val="20"/>
                <w:color w:val="auto"/>
              </w:rPr>
            </w:pPr>
            <w:r>
              <w:rPr>
                <w:rFonts w:ascii="Arial" w:cs="Arial" w:eastAsia="Arial" w:hAnsi="Arial"/>
                <w:sz w:val="18"/>
                <w:szCs w:val="18"/>
                <w:color w:val="auto"/>
              </w:rPr>
              <w:t>Total shares of Lucid common stock outstanding immediately after the Merger</w:t>
            </w:r>
            <w:r>
              <w:rPr>
                <w:rFonts w:ascii="Arial" w:cs="Arial" w:eastAsia="Arial" w:hAnsi="Arial"/>
                <w:sz w:val="29"/>
                <w:szCs w:val="29"/>
                <w:color w:val="auto"/>
                <w:vertAlign w:val="superscript"/>
              </w:rPr>
              <w:t>(3)(4)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1,618,621,534</w:t>
            </w:r>
          </w:p>
        </w:tc>
        <w:tc>
          <w:tcPr>
            <w:tcW w:w="0" w:type="dxa"/>
            <w:vAlign w:val="bottom"/>
          </w:tcPr>
          <w:p>
            <w:pPr>
              <w:spacing w:after="0"/>
              <w:rPr>
                <w:sz w:val="1"/>
                <w:szCs w:val="1"/>
                <w:color w:val="auto"/>
              </w:rPr>
            </w:pPr>
          </w:p>
        </w:tc>
      </w:tr>
      <w:tr>
        <w:trPr>
          <w:trHeight w:val="20"/>
        </w:trPr>
        <w:tc>
          <w:tcPr>
            <w:tcW w:w="9900" w:type="dxa"/>
            <w:vAlign w:val="bottom"/>
            <w:vMerge w:val="restart"/>
          </w:tcPr>
          <w:p>
            <w:pPr>
              <w:ind w:left="5540"/>
              <w:spacing w:after="0"/>
              <w:rPr>
                <w:sz w:val="20"/>
                <w:szCs w:val="20"/>
                <w:color w:val="auto"/>
              </w:rPr>
            </w:pPr>
            <w:r>
              <w:rPr>
                <w:rFonts w:ascii="Arial" w:cs="Arial" w:eastAsia="Arial" w:hAnsi="Arial"/>
                <w:sz w:val="18"/>
                <w:szCs w:val="18"/>
                <w:color w:val="auto"/>
              </w:rPr>
              <w:t>15</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90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7" w:name="page18"/>
    <w:bookmarkEnd w:id="17"/>
    <w:p>
      <w:pPr>
        <w:ind w:left="920" w:hanging="345"/>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51,750,000 shares beneficially owned by the Churchill Sponsor as of the Closing of the Merger includes the 17,250,000 Sponsor Earnback Shares.</w:t>
      </w:r>
    </w:p>
    <w:p>
      <w:pPr>
        <w:spacing w:after="0" w:line="170" w:lineRule="exact"/>
        <w:rPr>
          <w:rFonts w:ascii="Arial" w:cs="Arial" w:eastAsia="Arial" w:hAnsi="Arial"/>
          <w:sz w:val="18"/>
          <w:szCs w:val="18"/>
          <w:color w:val="auto"/>
        </w:rPr>
      </w:pPr>
    </w:p>
    <w:p>
      <w:pPr>
        <w:ind w:left="920" w:hanging="345"/>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sale and issuance of 166,666,667 shares of common stock to the PIPE Investors at $15.00 per share.</w:t>
      </w:r>
    </w:p>
    <w:p>
      <w:pPr>
        <w:spacing w:after="0" w:line="225" w:lineRule="exact"/>
        <w:rPr>
          <w:rFonts w:ascii="Arial" w:cs="Arial" w:eastAsia="Arial" w:hAnsi="Arial"/>
          <w:sz w:val="18"/>
          <w:szCs w:val="18"/>
          <w:color w:val="auto"/>
        </w:rPr>
      </w:pPr>
    </w:p>
    <w:p>
      <w:pPr>
        <w:ind w:left="920" w:hanging="345"/>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111,531,080 shares of common stock as of the Closing of the Merger to be reserved for potential future issuance upon the exercise of Lucid options or settlement of Lucid RSUs.</w:t>
      </w:r>
    </w:p>
    <w:p>
      <w:pPr>
        <w:spacing w:after="0" w:line="170" w:lineRule="exact"/>
        <w:rPr>
          <w:rFonts w:ascii="Arial" w:cs="Arial" w:eastAsia="Arial" w:hAnsi="Arial"/>
          <w:sz w:val="18"/>
          <w:szCs w:val="18"/>
          <w:color w:val="auto"/>
        </w:rPr>
      </w:pPr>
    </w:p>
    <w:p>
      <w:pPr>
        <w:jc w:val="both"/>
        <w:ind w:left="920" w:hanging="345"/>
        <w:spacing w:after="0" w:line="263"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the 85,750,000 warrants issued and outstanding as of the Closing of the Merger, which includes the 41,400,000 public warrants and the 44,350,000 private warrants held by the Churchill Sponsor. The 44,350,000 private warrants beneficially owned by the Churchill Sponsor as of the consummation of the Merger includes the 14,783,333 Sponsor Earnback Warrants.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periods prior to the Merger have been retrospectively adjusted using the Exchange Ratio for the equivalent number of shares outstanding immediately after the Closing to effect the reverse recapitalization.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Closing of the Merger,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the condensed consolidated statements of operations. The total net cash proceeds to the Company were $4,400.3 million.</w:t>
      </w:r>
    </w:p>
    <w:p>
      <w:pPr>
        <w:sectPr>
          <w:pgSz w:w="11900" w:h="16838" w:orient="portrait"/>
          <w:cols w:equalWidth="0" w:num="1">
            <w:col w:w="11240"/>
          </w:cols>
          <w:pgMar w:left="320" w:top="908"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SHEETS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Inventory as of September 30, 2021 and December 31, 2020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480"/>
              <w:spacing w:after="0" w:line="195" w:lineRule="exact"/>
              <w:rPr>
                <w:sz w:val="20"/>
                <w:szCs w:val="20"/>
                <w:color w:val="auto"/>
              </w:rPr>
            </w:pPr>
            <w:r>
              <w:rPr>
                <w:rFonts w:ascii="Arial" w:cs="Arial" w:eastAsia="Arial" w:hAnsi="Arial"/>
                <w:sz w:val="18"/>
                <w:szCs w:val="18"/>
                <w:color w:val="auto"/>
                <w:w w:val="83"/>
              </w:rPr>
              <w:t>48,588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661</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11,891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3"/>
              </w:rPr>
              <w:t>61,155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908" w:right="3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Inventory as of September 30, 2021 is primarily related to raw materials and work in progress related to the production of vehicles for sale. The inventory as of September 30, 2021 and December 31, 2020 also includes battery pack systems with its customers.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8"/>
                <w:szCs w:val="18"/>
                <w:color w:val="auto"/>
                <w:w w:val="91"/>
              </w:rPr>
              <w:t>Property, plant, and equipment as of September 30, 2021 and December 31, 2020 were as follows (in thousands):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3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190,417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480,259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28,830</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26,174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15,716</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47,187</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10,442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4,503</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3,908</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636,851</w:t>
            </w:r>
          </w:p>
        </w:tc>
        <w:tc>
          <w:tcPr>
            <w:tcW w:w="80" w:type="dxa"/>
            <w:vAlign w:val="bottom"/>
            <w:shd w:val="clear" w:color="auto" w:fill="CCEEFF"/>
          </w:tcPr>
          <w:p>
            <w:pPr>
              <w:spacing w:after="0"/>
              <w:rPr>
                <w:sz w:val="19"/>
                <w:szCs w:val="19"/>
                <w:color w:val="auto"/>
              </w:rPr>
            </w:pPr>
          </w:p>
        </w:tc>
      </w:tr>
      <w:tr>
        <w:trPr>
          <w:trHeight w:val="210"/>
        </w:trPr>
        <w:tc>
          <w:tcPr>
            <w:tcW w:w="8300" w:type="dxa"/>
            <w:vAlign w:val="bottom"/>
          </w:tcPr>
          <w:p>
            <w:pPr>
              <w:ind w:left="66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1,015,636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738,045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(24,771)</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965,901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713,274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Tooling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Construction of Arizona plant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Total construction in progress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195"/>
        </w:trPr>
        <w:tc>
          <w:tcPr>
            <w:tcW w:w="2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106,402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203,241</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171,532</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67,965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50,790</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211,288</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208,331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636,851</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-744855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-462280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-179070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1124" w:right="339" w:bottom="1440" w:gutter="0" w:footer="0" w:header="0"/>
          <w:type w:val="continuous"/>
        </w:sectPr>
      </w:pPr>
    </w:p>
    <w:p>
      <w:pPr>
        <w:spacing w:after="0" w:line="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Depreciation and amortization expense for the three months ended September 30, 2021 and 2020, was approximately $14.9 million and $2.1 million, respectively, and for the nine months ended September 30, 2021 and 2020, was approximately $26.6 million and $5.4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AND LONG-TERM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and long-term liabilities as of September 30, 2021 and December 31, 2020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780" w:type="dxa"/>
            <w:vAlign w:val="bottom"/>
            <w:tcBorders>
              <w:bottom w:val="single" w:sz="8" w:color="CCEEFF"/>
            </w:tcBorders>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Engineering, design, and testing accrual</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21,638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43,115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Retail leasehold improvements accrual</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professional services accrual</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Tooling liability</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Payroll tax liability</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32,728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 repurchase liability</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Short-term insurance financing note</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24,674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Transaction cost liability</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40,981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28,804</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36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228,277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660" w:type="dxa"/>
            <w:vAlign w:val="bottom"/>
            <w:vMerge w:val="restart"/>
          </w:tcPr>
          <w:p>
            <w:pPr>
              <w:jc w:val="right"/>
              <w:ind w:right="2630"/>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4" w:right="339" w:bottom="1440" w:gutter="0" w:footer="0" w:header="0"/>
          <w:type w:val="continuous"/>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As of September 30, 2021, the Company accrued a non-income tax liability of $32.7 million as other liabilities primarily related to payroll tax associated with certain compensation related events. The Company also recorded a $27.4 million receivable from employees related to this non-income tax liability as other receivables on the condensed consolidated balance sheet as of September 30, 2021.</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financed insurance premiums of $41.9 million related to various commercial insurance policies. The insurance policies have various terms that are less than 2 years. The Company made down payments for the insurance premium finance notes of $9.4 million, and the total interest was $0.4 million, representing annual interest primarily ranging from 2.65% to 2.86%. The Company will make monthly installments of $3.5 million for principal and interest from May 2021 to December 2022. The Company recorded the total insurance premium of $41.9 million as prepaid insurance and is amortizing it on a straight-line basis over the term of the insurance. The Company made $5.3 million of principal payments and $0.1 million of interest payments on the short-term insurance financing note during the three months ended September 30, 2021, and $7.2 million of principal payments and $0.1 million of interest payments during the nine months ended September 30, 2021. The remaining principal balance of $24.7 million is recorded as part of the Company’s other current liabilities as of September 30,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8,028</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liabilities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Operating leases liabilities, net of current portion</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169,433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tax liabilities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other long-term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183,096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9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—Inputs that are generally unobservable and typically reflect management’s estimates of assumptions that market participants would use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Level 1 investments consist solely of short-term and long-term restricted cash valued at amortized cost that approximates fair value. Level 2 investments consist solely of certificate of deposits. Level 3 liabilities consist of contingent forward contract liability, convertible preferred stock warrant liability and common stock warrant liability, in which the fair value was measured upon issuance and is remeasured at each reporting date. The valuation methodology and underlying assumptions are discussed further in Note 6 “Contingent Forward Contracts,” Note 7 “Convertible Preferred Stock Warrant Liability” and Note 8 “Common Stock Warrant Liability”.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Company’s financial assets subject to fair value measurements on a recurring basis by level within the fair value hierarchy as of September 30, 2021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Short-term investment—</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35,686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35,686</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Common stock warrant liability</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836,835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836,835</w:t>
            </w: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2020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Short-term investment—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26,006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26,006</w:t>
            </w:r>
          </w:p>
        </w:tc>
      </w:tr>
      <w:tr>
        <w:trPr>
          <w:trHeight w:val="223"/>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Convertible preferred stock warrant liability</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2,960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r>
      <w:tr>
        <w:trPr>
          <w:trHeight w:val="223"/>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contingent forward contract liability, convertible preferred stock warrant liability and common stock warrant liability measured and recorded at fair value on a recurring basis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1"/>
              </w:rPr>
              <w:t>Nine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ind w:left="4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 2020</w:t>
            </w:r>
          </w:p>
        </w:tc>
      </w:tr>
      <w:tr>
        <w:trPr>
          <w:trHeight w:val="191"/>
        </w:trPr>
        <w:tc>
          <w:tcPr>
            <w:tcW w:w="4280" w:type="dxa"/>
            <w:vAlign w:val="bottom"/>
          </w:tcPr>
          <w:p>
            <w:pPr>
              <w:spacing w:after="0"/>
              <w:rPr>
                <w:sz w:val="16"/>
                <w:szCs w:val="16"/>
                <w:color w:val="auto"/>
              </w:rPr>
            </w:pPr>
          </w:p>
        </w:tc>
        <w:tc>
          <w:tcPr>
            <w:tcW w:w="1160" w:type="dxa"/>
            <w:vAlign w:val="bottom"/>
            <w:tcBorders>
              <w:top w:val="single" w:sz="8" w:color="auto"/>
            </w:tcBorders>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Contingent</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Convertible</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Contingent</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Convertible</w:t>
            </w:r>
          </w:p>
        </w:tc>
        <w:tc>
          <w:tcPr>
            <w:tcW w:w="10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Forward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Preferred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Forward</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Preferred Stock</w:t>
            </w:r>
          </w:p>
        </w:tc>
      </w:t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Contract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Warrant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Warrant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Contract</w:t>
            </w: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Warrant</w:t>
            </w:r>
          </w:p>
        </w:tc>
      </w:tr>
      <w:tr>
        <w:trPr>
          <w:trHeight w:val="234"/>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Liability</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Issuance</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2,167,332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812,048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454,546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8,719</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Settlement</w:t>
            </w: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(2,621,878)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(39,563)</w:t>
            </w: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CONTINGENT FORWARD CONTRACTS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2018, the Company entered into a securities purchase agreement with PIF. Along with the execution of the securities purchase agreement, the Company granted PIF the right to purchase the Company’s Series D convertible preferred stock in future periods. The Company determined PIF’s right to participate in future Series D convertible preferred stock financing to be freestanding similar to a derivative in the form of contingent forward contracts and recorded the initial valuation of $18.6 million as a debt discount to the Convertible Notes issued in September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90" w:lineRule="auto"/>
        <w:rPr>
          <w:sz w:val="20"/>
          <w:szCs w:val="20"/>
          <w:color w:val="auto"/>
        </w:rPr>
      </w:pPr>
      <w:r>
        <w:rPr>
          <w:rFonts w:ascii="Arial" w:cs="Arial" w:eastAsia="Arial" w:hAnsi="Arial"/>
          <w:sz w:val="16"/>
          <w:szCs w:val="16"/>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upon satisfaction of the second set of milestones (refer to Note 9 “Convertible Preferred Stock”), the Company received the remaining $200.0 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 liability incurred a total fair value loss of $8.7 million during the nine months ended September 30, 2020. Since the Series D contingent forward contract liability was fully settled in June 2020, there was no related outstanding contingent forward contract liability as of September 30, 2020.</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9 “Convertible Preferred Stock”, in September 2020, along with the execution of the Securities Purchase Agreement, the Company granted Ayar Third Investment Company (“Ayar”) the right to purchase the Company’s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into contingent forward contract liabilities.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9 - Convertible Preferred Stock.</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9 - Convertible Preferred Stock for more information.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determined the right to participate in future Series E convertible preferred share financing to be a freestanding financial instrument similar to a derivative in the form of contingent forward contracts and recorded the initial valuation of $1.4 billion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 a fully vested, equity classified award. The award’s full fair value on each recipient’s grant date was recorded as stock-based compensation, and the related contingent forward contract liability was derecognized. The Company revalued the contingent forward contract liability for the remaining participants and recorded $454.5 million fair value remeasurement loss related to the contingent forward contract liability for the nine months ended September 30, 2021. Final fair value of the contingent forward contract liability of $1.2 billion was reclassified into Series E convertible preferred stock upon the fourth closing in April 2021. There was no related outstanding contingent forward contract liability as of September 30, 2021.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The fair value of the Series E convertible preferred stock contingent forward contract liability for the third closing was determined using a forward payoff.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inputs used in determining the fair value on the issuance date and settlement date,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4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Volatility</w:t>
            </w:r>
          </w:p>
        </w:tc>
        <w:tc>
          <w:tcPr>
            <w:tcW w:w="4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Risk-free rate</w:t>
            </w:r>
          </w:p>
        </w:tc>
        <w:tc>
          <w:tcPr>
            <w:tcW w:w="4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E convertible preferred share</w:t>
            </w:r>
          </w:p>
        </w:tc>
        <w:tc>
          <w:tcPr>
            <w:tcW w:w="3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Volatility</w:t>
            </w:r>
          </w:p>
        </w:tc>
        <w:tc>
          <w:tcPr>
            <w:tcW w:w="3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5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0.11</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Risk-free rate</w:t>
            </w:r>
          </w:p>
        </w:tc>
        <w:tc>
          <w:tcPr>
            <w:tcW w:w="3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PREFERRED STOCK WARRANT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and September 2017, the Company issued two convertible preferred stock warrants to purchase a total of 1,546,799 shares of Series D convertible preferred stock, with an exercise price of $1.94 per share. The convertible preferred stock warrants had been recorded at fair value using a Monte-Carlo simulation at issuance and had been subsequently remeasured to fair value each reporting period with the changes recorded in the condensed consolidated statements of operations. As of December 31, 2020, 1,546,799 shares of the Warrants had been outstanding with a fair value of $1.94 per share, and aggregate fair value of $3.0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Company’s assumptions used in determining the fair value of convertible preferred stock warrants on December 31, 2020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99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0.5 - 1.5</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 – 0.12%</w:t>
            </w: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2021, all the outstanding warrants were settled in its entirety at an exercise price of $1.94 per share for an aggregate purchase price of $3.0 million. Upon final settlement, the Company converted the warrant into $12.9 million Series D convertible preferred stock, and recorded $7.0 million loss related to fair value remeasurements of the warrants in the condensed consolidated statements of operations for the nine months ended September 30, 2021. The Company recorded $0.1 million and $0.2 million loss related to fair value remeasurements of the warrants for the three and nine months ended September 30, 2020.</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of the Series D preferred stock that was converted from warrant liability at settlement was estimated using the PWERM framework and considered the same three scenarios and probability for each of the three scenarios used to value our common stock: OPM scenario (20%), as-converted SPAC scenario (70%), and as-converted IPO scenario (10%). Under the OPM scenario, the fair value of Series D convertible preferred stock was a direct output of the model used for the equity valuation of the Company and reflected the present value. Under the as-converted SPAC scenario, the present value of the Series D convertible preferred stock was estimated using the pre-money equity value. Under the as-converted IPO scenario, the Company applied the market-based approach and determined the fair value based on the average revenue multiples derived from our peer group.</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8 - COMMON STOCK WARRANT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44,350,000 private warrants to purchase shares of Lucid’s common stock. The private warrants were initially recognized as a liability with a fair value of $812.0 million. The private warrants remained unexercised and were remeasured to fair value as of September 30, 2021, resulting in a loss of $24.8 million for the three and nine months ended September 30, 2021, classified within change in fair value of common stock warrant liability in the condensed consolidated statements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44,350,000 private warrants include the 14,783,333 Sponsor Earnback Warrants subject to the contingent forfeiture provisions. The first earnback triggering event was satisfied on September 29, 2021. As a result, the first tranche of the Sponsor Earnback Warrants, or 4,927,778 private warrants, were vested and no longer subject to the transfer restrictions and contingent forfeiture provisions. See Note 11 - Earnback Shares and Warrants for more information.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the private warrants that are not subject to the contingent forfeiture provisions was estimated using a Black-Scholes option pricing model that takes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valuation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September 30, 2021</w:t>
            </w: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July 23, 2021</w:t>
            </w: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private warrants per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80.00%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Risk-free rate</w:t>
            </w:r>
          </w:p>
        </w:tc>
        <w:tc>
          <w:tcPr>
            <w:tcW w:w="12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0.94%</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private warrants that are subject to the contingent forfeiture provisions was estimated using a Monte-Carlo simulation, which involved random iterations of future stock-price paths over the contractual life of the private warrants, including the probability distribution of outcomes, the payoff to the holder was determined based on the achievement of the volume-weighted average trading sale price (the “VWAP”) thresholds within each simulation. The present value of the payoff in each simulation is calculated, and the fair value of the liability is determined by taking the average of all present values. The level 3 fair value inputs used in the valuation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September 30, 2021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July 23, 2021</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Tranche 1 with $20.00 VWAP threshold per share</w:t>
            </w:r>
          </w:p>
        </w:tc>
        <w:tc>
          <w:tcPr>
            <w:tcW w:w="1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Fair value of Tranche 2 with $25.00 VWAP threshold per share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18.78</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18.07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Tranche 3 with $30.00 VWAP threshold per share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17.92</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Volatility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80.00%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Risk-free rate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0.94%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Closing of the Merger, all 1,155,909,367 shares of issued and outstanding convertible preferred stock were cancelled and converted into 1,155,909,367 shares of Lucid common stock based upon the conversion rate as calculated pursuant to Legacy Lucid’s memorandum and articles of association at the date and time that the Merger became effective. As of September 30, 2021, there were no issued and outstanding shares of convertible preferred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In 2014 through April 2021, the Company had issued Series A, Series B, Series C, and Series D and Series E convertible preferred stock (“Series A,” “Series B,” “Series C,” “Series D,” “Series E,” respectively) (collectively, the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was carried at its issuance price, net of issuance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2018, concurrent with the execution of the Security Purchase Agreement with PIF, the Company entered into a Stock Repurchase Agreement (the “Repurchase Agreement”) with Blitz Technology Hong Kong Co. Limited and LeSoar Holdings, Limited (the “Sellers”) to repurchase Series C convertible preferred stock. From September 2018 to December 31, 2019, the Company repurchased in aggregate 11,331,430 shares of Series C convertible preferred stock with $60.0 million at a per share price of $5.30 from the first and second Company repurchase.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Company Repurchase (Series C - August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2020, the Company entered into a Stock Repurchase Agreement with the Sellers. Pursuant to the Stock Repurchase Agreement, the Company agreed to repurchase 9,656,589 shares of Series C convertible preferred stock owned by the Sellers in August 2020 at a price of $1.02 per share for total of $9.9 million. The carrying value of the repurchased Series C convertible preferred stock is $20.4 million. As such, the Company recognized $10.5 million in additional paid-in capital under stockholder’s equity in the consolidated balance sheet as of December 31, 2020 related to the difference in fair value and carrying value of the Series C stock repurchased.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Company Repurchase (Series C - December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2020, the Company entered into a Stock Repurchase Agreement with Blitz Technology Hong Kong Co. Limited (“Blitz”).</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agreed to repurchase 1,850,800 Series C convertible preferred stock from Blitz at a price of $1.21 per share, aggregating to $2.2 million. As the carrying amount of each share of Series C was $2.42 aggregating to $4.5 million in September 2020, the Company recognized $2.2 million as additional paid-in capital under stockholders’ deficit in the condensed consolidated balance sheet as of December 31, 2020, related to the difference in fair value and carrying value of the Series C shares repurchased.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Company Repurchase (Series B - December 2020)</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2020, the Company entered into an agreement with JAFCO Asia Technology Fund V (“JAFCO”) whereby the Company agreed to repurchase 3,525,332 Series B convertible preferred stock having a carrying value of $4.0 million, from JAFCO for a total consideration of $3.0 million. The agreement resulted in an extinguishment of the Series B convertible preferred stock and the Company recognized $1.0 million in additional paid-in capital being the difference in fair value of the consideration payable and the carrying value of the Series B convertible preferred stock. As of the date of extinguishment and as of December 31, 2020 the Series B convertible preferred stock subject to repurchase had been mandatorily redeemable within 45 days of the agreement and accordingly had been reclassified to other accrued liabilities on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Issuance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2018, the Security Purchase Agreement with PIF granted PIF rights to purchase the Company’s Series D convertible stock at various tranches. The first tranche of $200.0 million had been issuable upon the approval of the PIF’s equity investment into the Company by CFIUS (refer to Note 6 – Contingent Forward Contracts). The second and third tranches of $400.0 million each had been issuable upon the Company’s satisfaction of certain milestones related to further development and enhancement in marketing, product, and administrative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374,777,281 shares of Series D convertible preferred stock at a price of $2.33 per share, for net proceeds of approximately $872.0 million during the year ended December 31, 2019.</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82,496,121 shares of Series D convertible preferred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See activities related to the PIF Convertible Notes and Series D convertible preferred stock funding as below (in thousands):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Series D received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Series D received in October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D received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Series D received in 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Contingent forward contract liability reclassified to Series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Conversion of preferred stock warrant to Series D in February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 of preferred stock warrant liability to Series D in February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proceeds of Series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convertible preferred stock Issuance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637" w:hanging="637"/>
        <w:spacing w:after="0"/>
        <w:tabs>
          <w:tab w:leader="none" w:pos="6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271,985</w:t>
      </w:r>
    </w:p>
    <w:p>
      <w:pPr>
        <w:spacing w:after="0" w:line="46" w:lineRule="exact"/>
        <w:rPr>
          <w:rFonts w:ascii="Arial" w:cs="Arial" w:eastAsia="Arial" w:hAnsi="Arial"/>
          <w:sz w:val="16"/>
          <w:szCs w:val="16"/>
          <w:color w:val="auto"/>
        </w:rPr>
      </w:pPr>
    </w:p>
    <w:p>
      <w:pPr>
        <w:ind w:left="63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637"/>
        <w:spacing w:after="0"/>
        <w:rPr>
          <w:rFonts w:ascii="Arial" w:cs="Arial" w:eastAsia="Arial" w:hAnsi="Arial"/>
          <w:sz w:val="16"/>
          <w:szCs w:val="16"/>
          <w:color w:val="auto"/>
        </w:rPr>
      </w:pPr>
      <w:r>
        <w:rPr>
          <w:rFonts w:ascii="Arial" w:cs="Arial" w:eastAsia="Arial" w:hAnsi="Arial"/>
          <w:sz w:val="16"/>
          <w:szCs w:val="16"/>
          <w:color w:val="auto"/>
        </w:rPr>
        <w:t>400,000</w:t>
      </w:r>
    </w:p>
    <w:p>
      <w:pPr>
        <w:spacing w:after="0" w:line="32" w:lineRule="exact"/>
        <w:rPr>
          <w:rFonts w:ascii="Arial" w:cs="Arial" w:eastAsia="Arial" w:hAnsi="Arial"/>
          <w:sz w:val="16"/>
          <w:szCs w:val="16"/>
          <w:color w:val="auto"/>
        </w:rPr>
      </w:pPr>
    </w:p>
    <w:p>
      <w:pPr>
        <w:ind w:left="63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637"/>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737"/>
        <w:spacing w:after="0"/>
        <w:rPr>
          <w:rFonts w:ascii="Arial" w:cs="Arial" w:eastAsia="Arial" w:hAnsi="Arial"/>
          <w:sz w:val="16"/>
          <w:szCs w:val="16"/>
          <w:color w:val="auto"/>
        </w:rPr>
      </w:pPr>
      <w:r>
        <w:rPr>
          <w:rFonts w:ascii="Arial" w:cs="Arial" w:eastAsia="Arial" w:hAnsi="Arial"/>
          <w:sz w:val="16"/>
          <w:szCs w:val="16"/>
          <w:color w:val="auto"/>
        </w:rPr>
        <w:t>39,564</w:t>
      </w:r>
    </w:p>
    <w:p>
      <w:pPr>
        <w:spacing w:after="0" w:line="32" w:lineRule="exact"/>
        <w:rPr>
          <w:rFonts w:ascii="Arial" w:cs="Arial" w:eastAsia="Arial" w:hAnsi="Arial"/>
          <w:sz w:val="16"/>
          <w:szCs w:val="16"/>
          <w:color w:val="auto"/>
        </w:rPr>
      </w:pPr>
    </w:p>
    <w:p>
      <w:pPr>
        <w:ind w:left="817"/>
        <w:spacing w:after="0"/>
        <w:rPr>
          <w:rFonts w:ascii="Arial" w:cs="Arial" w:eastAsia="Arial" w:hAnsi="Arial"/>
          <w:sz w:val="16"/>
          <w:szCs w:val="16"/>
          <w:color w:val="auto"/>
        </w:rPr>
      </w:pPr>
      <w:r>
        <w:rPr>
          <w:rFonts w:ascii="Arial" w:cs="Arial" w:eastAsia="Arial" w:hAnsi="Arial"/>
          <w:sz w:val="16"/>
          <w:szCs w:val="16"/>
          <w:color w:val="auto"/>
        </w:rPr>
        <w:t>3,000</w:t>
      </w:r>
    </w:p>
    <w:p>
      <w:pPr>
        <w:spacing w:after="0" w:line="32" w:lineRule="exact"/>
        <w:rPr>
          <w:rFonts w:ascii="Arial" w:cs="Arial" w:eastAsia="Arial" w:hAnsi="Arial"/>
          <w:sz w:val="16"/>
          <w:szCs w:val="16"/>
          <w:color w:val="auto"/>
        </w:rPr>
      </w:pPr>
    </w:p>
    <w:p>
      <w:pPr>
        <w:ind w:left="817"/>
        <w:spacing w:after="0"/>
        <w:rPr>
          <w:rFonts w:ascii="Arial" w:cs="Arial" w:eastAsia="Arial" w:hAnsi="Arial"/>
          <w:sz w:val="16"/>
          <w:szCs w:val="16"/>
          <w:color w:val="auto"/>
        </w:rPr>
      </w:pPr>
      <w:r>
        <w:rPr>
          <w:rFonts w:ascii="Arial" w:cs="Arial" w:eastAsia="Arial" w:hAnsi="Arial"/>
          <w:sz w:val="16"/>
          <w:szCs w:val="16"/>
          <w:color w:val="auto"/>
        </w:rPr>
        <w:t>9,936</w:t>
      </w:r>
    </w:p>
    <w:p>
      <w:pPr>
        <w:spacing w:after="0" w:line="58" w:lineRule="exact"/>
        <w:rPr>
          <w:sz w:val="20"/>
          <w:szCs w:val="20"/>
          <w:color w:val="auto"/>
        </w:rPr>
      </w:pPr>
    </w:p>
    <w:p>
      <w:pPr>
        <w:ind w:left="517" w:hanging="517"/>
        <w:spacing w:after="0"/>
        <w:tabs>
          <w:tab w:leader="none" w:pos="5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79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183" w:space="720"/>
            <w:col w:w="1337"/>
          </w:cols>
          <w:pgMar w:left="320" w:top="908" w:right="339" w:bottom="1440" w:gutter="0" w:footer="0" w:header="0"/>
        </w:sectPr>
      </w:pP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167,273,525 Series E convertible preferred stock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133,818,821 shares as the final issuance of Series E convertible preferred stock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condensed consolidated statements of operations and reclassified the liability into convertible preferred stock on the Company’s consolidated balance sheets as of December 31, 2020.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2021, the Company issued 66,909,408 Series E convertible preferred stock from the fourth closing at $2.99 per share for cash consideration of $200.0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nine months ended September 30, 2021 was recorded as stock-based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6" w:name="page27"/>
    <w:bookmarkEnd w:id="26"/>
    <w:p>
      <w:pPr>
        <w:ind w:right="220"/>
        <w:spacing w:after="0" w:line="277" w:lineRule="auto"/>
        <w:rPr>
          <w:sz w:val="20"/>
          <w:szCs w:val="20"/>
          <w:color w:val="auto"/>
        </w:rPr>
      </w:pPr>
      <w:r>
        <w:rPr>
          <w:rFonts w:ascii="Arial" w:cs="Arial" w:eastAsia="Arial" w:hAnsi="Arial"/>
          <w:sz w:val="18"/>
          <w:szCs w:val="18"/>
          <w:color w:val="auto"/>
        </w:rPr>
        <w:t>Along with the execution of Amendment No. 1, the Company also increased the authorized number of common shares and convertible preferred stock to 1,316,758,889 and 1,155,909,398 stock, respectively.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2020, the Company had the following convertible preferred stock, par value of $0.0001 per share, authorized, and outstanding (in thousands, except share and per share amounts):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Conversion</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Per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gridSpan w:val="2"/>
          </w:tcPr>
          <w:p>
            <w:pPr>
              <w:ind w:left="1120"/>
              <w:spacing w:after="0"/>
              <w:rPr>
                <w:sz w:val="20"/>
                <w:szCs w:val="20"/>
                <w:color w:val="auto"/>
              </w:rPr>
            </w:pPr>
            <w:r>
              <w:rPr>
                <w:rFonts w:ascii="Arial" w:cs="Arial" w:eastAsia="Arial" w:hAnsi="Arial"/>
                <w:sz w:val="18"/>
                <w:szCs w:val="18"/>
                <w:b w:val="1"/>
                <w:bCs w:val="1"/>
                <w:color w:val="auto"/>
              </w:rPr>
              <w:t>Convertible</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Share to</w:t>
            </w: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Liquidation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gridSpan w:val="2"/>
          </w:tcPr>
          <w:p>
            <w:pPr>
              <w:ind w:left="1180"/>
              <w:spacing w:after="0"/>
              <w:rPr>
                <w:sz w:val="20"/>
                <w:szCs w:val="20"/>
                <w:color w:val="auto"/>
              </w:rPr>
            </w:pPr>
            <w:r>
              <w:rPr>
                <w:rFonts w:ascii="Arial" w:cs="Arial" w:eastAsia="Arial" w:hAnsi="Arial"/>
                <w:sz w:val="18"/>
                <w:szCs w:val="18"/>
                <w:b w:val="1"/>
                <w:bCs w:val="1"/>
                <w:color w:val="auto"/>
              </w:rPr>
              <w:t>Preferred</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Per Share</w:t>
            </w:r>
          </w:p>
        </w:tc>
        <w:tc>
          <w:tcPr>
            <w:tcW w:w="1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Liquidation</w:t>
            </w:r>
          </w:p>
        </w:tc>
      </w:tr>
      <w:tr>
        <w:trPr>
          <w:trHeight w:val="234"/>
        </w:trPr>
        <w:tc>
          <w:tcPr>
            <w:tcW w:w="3360" w:type="dxa"/>
            <w:vAlign w:val="bottom"/>
            <w:gridSpan w:val="2"/>
          </w:tcPr>
          <w:p>
            <w:pPr>
              <w:ind w:left="1360"/>
              <w:spacing w:after="0"/>
              <w:rPr>
                <w:sz w:val="20"/>
                <w:szCs w:val="20"/>
                <w:color w:val="auto"/>
              </w:rPr>
            </w:pPr>
            <w:r>
              <w:rPr>
                <w:rFonts w:ascii="Arial" w:cs="Arial" w:eastAsia="Arial" w:hAnsi="Arial"/>
                <w:sz w:val="18"/>
                <w:szCs w:val="18"/>
                <w:b w:val="1"/>
                <w:bCs w:val="1"/>
                <w:color w:val="auto"/>
              </w:rPr>
              <w:t>Stock</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Authorized</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Outstanding</w:t>
            </w:r>
          </w:p>
        </w:tc>
        <w:tc>
          <w:tcPr>
            <w:tcW w:w="12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Amount</w:t>
            </w:r>
          </w:p>
        </w:tc>
      </w:tr>
      <w:tr>
        <w:trPr>
          <w:trHeight w:val="209"/>
        </w:trPr>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32,045,280</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32,045,280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0.38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24,677,332</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24,677,332</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23,740</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28,000</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82,414,075</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59,575,253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137,475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144,432</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618,720,748</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539,769,493</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1,311,548</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1,963,912</w:t>
            </w:r>
          </w:p>
        </w:tc>
        <w:tc>
          <w:tcPr>
            <w:tcW w:w="80" w:type="dxa"/>
            <w:vAlign w:val="bottom"/>
          </w:tcPr>
          <w:p>
            <w:pPr>
              <w:spacing w:after="0"/>
              <w:rPr>
                <w:sz w:val="18"/>
                <w:szCs w:val="18"/>
                <w:color w:val="auto"/>
              </w:rPr>
            </w:pPr>
          </w:p>
        </w:tc>
      </w:tr>
      <w:tr>
        <w:trPr>
          <w:trHeight w:val="229"/>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301,092,345</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301,092,346</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1,009,388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1,349,449</w:t>
            </w:r>
          </w:p>
        </w:tc>
        <w:tc>
          <w:tcPr>
            <w:tcW w:w="80" w:type="dxa"/>
            <w:vAlign w:val="bottom"/>
            <w:shd w:val="clear" w:color="auto" w:fill="CCEEFF"/>
          </w:tcPr>
          <w:p>
            <w:pPr>
              <w:spacing w:after="0"/>
              <w:rPr>
                <w:sz w:val="19"/>
                <w:szCs w:val="19"/>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1,058,949,780</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957,159,704</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2,494,076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3,497,913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3,525,332 Series B convertible preferred stock at aggregate fair value of $3.0 million were extinguished and reclassified to other accrued liabilities, with cash settlement occurring in January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rights and preferences of the outstanding convertible preferred stock through the Closing of the Merger are as follows: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—Through the Closing Date, Holders of Series A, Series B, and Series C had been entitled to receive noncumulative dividends at an annual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$0.03, $0.09, $0.19 per share, respectively. Holders of Series D and Series E had been entitled to receive noncumulative dividends at the rate of 8% of the Series D and Series E Original Issue Price (as adjusted for any Stock Split Change) per annum on each outstanding share of Series D and Series E through the Closing Date. Such dividends had been payable when and if declared by the Company’s board of directors (the “Board of Directors”). No other dividends would have been paid on any common or convertible preferred stock until such dividends on Series A, Series B, Series C, Series D and Series E had been paid or declared by the Board of Directors. Through the Closing Date, no dividends had been declared.</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Liquidation Preference</w:t>
      </w:r>
      <w:r>
        <w:rPr>
          <w:rFonts w:ascii="Arial" w:cs="Arial" w:eastAsia="Arial" w:hAnsi="Arial"/>
          <w:sz w:val="17"/>
          <w:szCs w:val="17"/>
          <w:color w:val="auto"/>
        </w:rPr>
        <w:t>—Until the Closing Date, in the event of any liquidation, dissolution, or winding-up of the Company, whether voluntary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involuntary (a Liquidation Event), before any distribution or payment would have been made to holders of common stock, each holder of convertible preferred stock then outstanding would have been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 time (1x), one time (1x) of the Series E, Series D, Series C, Series B, and Series A original issue price per share (as adjusted for Share Split Changes), plus all declared and unpaid distributions thereon.</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—Until the Closing Date, the holders of Series A, Series B, Series C, Series D and Series E convertible preferred stock had been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number of votes equal to the number of common stock into which such convertible preferred stock had been convertible, and with respect to such vote, such holder had been to full voting rights and powers equal to the voting rights and powers of the holders of common stock, and had been entitled, notwithstanding any provision hereof, to notice of any shareholders’ meeting in accordance with our bylaws. The holders of convertible preferred stock and the holders of common stock had been entitled to vote together and not as separate classes.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Conversion</w:t>
      </w:r>
      <w:r>
        <w:rPr>
          <w:rFonts w:ascii="Arial" w:cs="Arial" w:eastAsia="Arial" w:hAnsi="Arial"/>
          <w:sz w:val="17"/>
          <w:szCs w:val="17"/>
          <w:color w:val="auto"/>
        </w:rPr>
        <w:t>—Until the Closing Date, each Series A, Series B, Series C, Series D and Series E convertible preferred stock had been convertible, 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of the holder, into one fully paid nonassessable common stock. The conversion formula had been adjusted for such events as dilutive issuances, stock splits, or business combinations. Each share of Series A, Series B, Series C, Series D and Series E convertible preferred stock had been automatically converted into one share of common stock at the applicable conversion price upon the earlier of (1) vote or written consent of the holders of at least 66.67% of the outstanding Series A, Series B, Series C, Series D or 50% for Series E convertible preferred stock, as applicable (each calculated on an as-converted basis), voting as a class, or (2) immediately before the closing of the Company’s sale of its common stock in a firm commitment underwritten public offering on a U.S. national securities exchange or other internationally recognized securities exchange, which had been reflected a pre-offering market capitalization in excess of $2.5 billion and which had resulted in gross proceeds to the Company of at least $200.0 million (before payment of underwriters’ discounts, commissions and offering expenses) (such transaction, a “Qualified IPO”).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271" w:lineRule="auto"/>
        <w:rPr>
          <w:sz w:val="20"/>
          <w:szCs w:val="20"/>
          <w:color w:val="auto"/>
        </w:rPr>
      </w:pPr>
      <w:r>
        <w:rPr>
          <w:rFonts w:ascii="Arial" w:cs="Arial" w:eastAsia="Arial" w:hAnsi="Arial"/>
          <w:sz w:val="17"/>
          <w:szCs w:val="17"/>
          <w:b w:val="1"/>
          <w:bCs w:val="1"/>
          <w:i w:val="1"/>
          <w:iCs w:val="1"/>
          <w:color w:val="auto"/>
        </w:rPr>
        <w:t>Antidilution Adjustment</w:t>
      </w:r>
      <w:r>
        <w:rPr>
          <w:rFonts w:ascii="Arial" w:cs="Arial" w:eastAsia="Arial" w:hAnsi="Arial"/>
          <w:sz w:val="17"/>
          <w:szCs w:val="17"/>
          <w:color w:val="auto"/>
        </w:rPr>
        <w:t>—Until the Closing Date, subject to certain exceptions, if the Company had issued additional common stock without consideration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for a consideration per share, less than the conversion price with respect to such series of the convertible preferred stock in effect immediately before the issuance of such additional shares, the conversion price of such series of convertible preferred stock in effect immediately before each such issuance had been automatically adjusted. The new conversion price for such series of convertible preferred stock had been determined by multiplying the conversion price for such series of convertible preferred stock then in effect by a fraction, the numerator of which had been the number of common stock outstanding immediately before such issuance, plus the number of shares that the aggregate consideration received by the Company for such issuance would purchase at such conversion price then in effect, and the denominator of which had been the number of common stock outstanding immediately before such issuance, plus the number of such additional common stock to be issued.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authorized the issuance of 10,000,000 shares of undesignated preferred stock with a par value of $0.0001 per share with rights and preferences, including voting rights, designated from time to time by the board of directors. As of September 30, 2021, there were no issued and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41,400,000 publicly-traded warrants to purchase shares of its common stock. Each whole warrant entitles the holder to purchase one share of the Company’s common stock at a price of $11.50 per share. The public warrants were exercisable as of August 22, 2021 and expire on July 23, 2026, if not yet exercised by the holder or redeemed by the Company.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2021, an aggregate of 32,082,532 public warrants were exercised, of which 17,015,311 were exercised on a cashless basis. The aggregate cash proceeds received from the exercise of these public warrants were $173.3 million. A summary of activity of the Company’s issued and outstanding public warrants is as follows: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Public warrants issued in connection with Merger on July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Number of public warrants exercised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Issued and outstanding public warrants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September 30,</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2021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41,400,000</w:t>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(32,082,532)</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9,317,468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39370</wp:posOffset>
            </wp:positionV>
            <wp:extent cx="779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40" w:space="720"/>
            <w:col w:w="1280"/>
          </w:cols>
          <w:pgMar w:left="320" w:top="908" w:right="339" w:bottom="1440" w:gutter="0" w:footer="0" w:header="0"/>
          <w:type w:val="continuous"/>
        </w:sectPr>
      </w:pP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8, 2021 the Company issued a redemption notice to the holders of the public warrants pursuant to which the Company would redeem any remaining issued and outstanding warrants at a price of $0.01 per warrant at the scheduled redemption date. Upon the redemption notification, holders of the public warrants only had the right to exercise their outstanding warrants prior to the scheduled redemption date on a cashless basis. On October 14, 2021, the Company extended the redemption date to October 29, 2021. Subsequent to September 30, 2021 and prior to the conclusion of the redemption notice period on October 29, 2021, an aggregate of 8,951,665 public warrants were exercised on a cashless basis. At the conclusion of the redemption notice period on October 29, 2021, the remaining 365,803 public warrants issued and outstanding were redeemed at price of $0.01 per warrant.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Common Stock Reserved for Issuance</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900" w:type="dxa"/>
            <w:vAlign w:val="bottom"/>
            <w:gridSpan w:val="3"/>
          </w:tcPr>
          <w:p>
            <w:pPr>
              <w:spacing w:after="0"/>
              <w:rPr>
                <w:sz w:val="20"/>
                <w:szCs w:val="20"/>
                <w:color w:val="auto"/>
              </w:rPr>
            </w:pPr>
            <w:r>
              <w:rPr>
                <w:rFonts w:ascii="Arial" w:cs="Arial" w:eastAsia="Arial" w:hAnsi="Arial"/>
                <w:sz w:val="18"/>
                <w:szCs w:val="18"/>
                <w:color w:val="auto"/>
                <w:w w:val="96"/>
              </w:rPr>
              <w:t>The Company’s common stock reserved for future issuances as of September 30, 2021 and December 31, 2020, are as follows: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34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957,159,704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Convertible preferred stock warrant (on an as-converted basis)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1,546,799</w:t>
            </w:r>
          </w:p>
        </w:tc>
        <w:tc>
          <w:tcPr>
            <w:tcW w:w="8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 to purchase common stock</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44,350,000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Public warrants to purchase common stock</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9,317,468</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67,013,622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70,675,318</w:t>
            </w: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43,183,277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grants under equity plans</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12,894,374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10,526,235</w:t>
            </w:r>
          </w:p>
        </w:tc>
        <w:tc>
          <w:tcPr>
            <w:tcW w:w="80" w:type="dxa"/>
            <w:vAlign w:val="bottom"/>
            <w:shd w:val="clear" w:color="auto" w:fill="CCEEFF"/>
          </w:tcPr>
          <w:p>
            <w:pPr>
              <w:spacing w:after="0"/>
              <w:rPr>
                <w:sz w:val="19"/>
                <w:szCs w:val="19"/>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Total shares of common stock reserved</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176,758,741</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1,039,908,056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EARNBACK SHARES AND WARRANTS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period between the Closing and the five-year anniversary of the Closing, the Churchill Sponsor has subjected the 17,250,000 Sponsor Earnback Shares of issued and outstanding common stock and 14,783,333 Sponsor Earnback Warrants of issued and outstanding private warrants to potential forfeiture to Lucid for no consideration until the occurrence of each tranche’s respective earnback triggering event. The 17,250,000 Sponsor Earnback Shares are comprised of three separate tranches of 5,750,000 shares per tranche. The 14,783,333 Sponsor Earnback Warrants are comprised of three separate tranches of (i) 4,927,778 warrants, (ii) 4,927,778 warrants, and (iii) 4,927,777 warrants. The earnback triggering events for the three respective tranches of the Sponsor Earnback Shares and Sponsor Earnback Warrants will be met upon the earlier of (i) the date on which the volume-weighted average trading sale price of one share of our common stock quoted on Nasdaq is greater than or equal to $20.00, $25.00, and $30.00, respectively, for any 40 trading days within any 60 consecutive trading day period or (ii) a change in control of Lucid pursuant to which stockholders of Lucid have the right to receive consideration implying a value per share greater than or equal to $20.00, $25.00, and $30.00, respectively.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earnback triggering events were determined to be indexed to the Company’s common stock as the earnback triggering events are measured on a dilutive basis.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first earnback triggering event related to achieving a volume-weighted average trading sale price greater than or equal to $20.00 for any 40 trading days within any 60 consecutive trading day period was satisfied on September 29, 2021. As a result, the first tranche of the Sponsor Earnback Shares and Sponsor Earnback Warrants, or 5,750,000 shares of common stock and 4,927,778 private warrants respectively, were vested and no longer subject to the transfer restrictions and contingent forfeiture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Lucid 2021 Stock Incentive Plan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2021, the Company’s board of directors adopted and the stockholders approved the 2021 Stock Incentive Plan (the “2021 Plan”). The 2021 Plan replaced the Company’s 2014 Plan. The 10,526,235 shares reserved for future issuance under the 2014 Plan were removed and added to the share reserve under the 2021 Plan. The 2021 Plan provided for the grant of incentive stock options, non-statutory stock options, restricted shares, restricted stock units (“RSU”), share appreciation rights, performance based awards and cash based awards to the Company’s employees, directors, and consultants.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Lucid 2021 Stock Incentive Plan and ESPP Addendum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2021, the Company’s board of directors adopted and the stockholders approved the 2021 Incentive Plan (the “2021 Incentive Plan”), which includes an employee stock purchase plan as an addendum (the “</w:t>
      </w:r>
      <w:r>
        <w:rPr>
          <w:rFonts w:ascii="Arial" w:cs="Arial" w:eastAsia="Arial" w:hAnsi="Arial"/>
          <w:sz w:val="18"/>
          <w:szCs w:val="18"/>
          <w:i w:val="1"/>
          <w:iCs w:val="1"/>
          <w:color w:val="auto"/>
        </w:rPr>
        <w:t>ESPP Addendum</w:t>
      </w:r>
      <w:r>
        <w:rPr>
          <w:rFonts w:ascii="Arial" w:cs="Arial" w:eastAsia="Arial" w:hAnsi="Arial"/>
          <w:sz w:val="18"/>
          <w:szCs w:val="18"/>
          <w:color w:val="auto"/>
        </w:rPr>
        <w:t>”). The 2021 Incentive Plan replaced the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ESPP Addendum authorizes the issuance of shares of common stock pursuant to purchase rights granted to employees. The purchase price for each share purchased during an offering period will be the lesser of 85% of the fair market value of the share on the purchase date or 85% of the fair market value of the share on the offering date. The offering dates and purchase dates for the ESPP Addendum are determined at the discretion of the Company’s board of directors. As of September 30, 2021, the Company had not yet launched its ESPP Addendum.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shares of common stock that remain available for issuance under the 2021 Incentive Plan, including the ESPP Addendum, was 12,894,374 as of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outstanding stock options generally expire 10 years from the date of grant and are exercisable when the options vest. Incentive stock options and non-statutory options generally vest over four years, the majority of which vest at a rate of 25% on the first anniversary of the grant date, with the remainder vesting ratably each month over the next three years. A summary of stock option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401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8"/>
                <w:szCs w:val="18"/>
                <w:b w:val="1"/>
                <w:bCs w:val="1"/>
                <w:color w:val="auto"/>
              </w:rPr>
              <w:t>Outstanding Options</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Exercise</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4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Term</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70,675,318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8,402,925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(8,966,272)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Options canceled</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(3,098,349)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67,013,622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2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1,628,923</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Options vested and exercisable September 30, 2021</w:t>
            </w: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0.75</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1,032,660</w:t>
            </w: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41,932,824</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fair value of common shares. The aggregate intrinsic value of options exercised was approximately $152.8 million for the nine months ended September 30, 2021, and $3.4 million for the nine months ended September 30,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fair value of stock options granted during the nine months ended September 30, 2021 and 2020, was approximately $24.0 million and $16.1 million, respectively, which is recognized over the respective vesting periods. The total fair value of stock options vested during the nine months ended September 30, 2021 and 2020, was approximately $4.7 million and $3.1 million, respectively.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estimates the fair value of the options utilizing the Black-Scholes option pricing model, which is dependent upon several variables, including expected option term, expected volatility of the Company’s share price over the expected term, expected risk-free interest rate over the expected option term, and expected dividend yield rate over the expected option term, and actual forfeiture rates. A summary of the assumptions the Company utilized to record compensation expense for stock options granted during the three and nine months ended September 30, 2021 and 2020,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2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3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54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160" w:type="dxa"/>
            <w:vAlign w:val="bottom"/>
            <w:tcBorders>
              <w:bottom w:val="single" w:sz="8" w:color="CCEEFF"/>
            </w:tcBorders>
          </w:tcPr>
          <w:p>
            <w:pPr>
              <w:spacing w:after="0"/>
              <w:rPr>
                <w:sz w:val="18"/>
                <w:szCs w:val="18"/>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Expected dividends</w:t>
            </w:r>
          </w:p>
        </w:tc>
        <w:tc>
          <w:tcPr>
            <w:tcW w:w="23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634"/>
        </w:trPr>
        <w:tc>
          <w:tcPr>
            <w:tcW w:w="35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A summary of RSU award activity is as follows: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5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rPr>
              <w:t>Restricted Stock Units</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5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Performance-</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gridSpan w:val="2"/>
          </w:tcPr>
          <w:p>
            <w:pPr>
              <w:spacing w:after="0"/>
              <w:rPr>
                <w:sz w:val="16"/>
                <w:szCs w:val="16"/>
                <w:color w:val="auto"/>
              </w:rPr>
            </w:pPr>
          </w:p>
        </w:tc>
      </w:tr>
      <w:tr>
        <w:trPr>
          <w:trHeight w:val="216"/>
        </w:trPr>
        <w:tc>
          <w:tcPr>
            <w:tcW w:w="55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Time-Based</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Based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Grant-Date Fair</w:t>
            </w:r>
          </w:p>
        </w:tc>
      </w:tr>
      <w:tr>
        <w:trPr>
          <w:trHeight w:val="234"/>
        </w:trPr>
        <w:tc>
          <w:tcPr>
            <w:tcW w:w="556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Total Shares</w:t>
            </w:r>
          </w:p>
        </w:tc>
        <w:tc>
          <w:tcPr>
            <w:tcW w:w="120" w:type="dxa"/>
            <w:vAlign w:val="bottom"/>
          </w:tcPr>
          <w:p>
            <w:pPr>
              <w:spacing w:after="0"/>
              <w:rPr>
                <w:sz w:val="20"/>
                <w:szCs w:val="20"/>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as of December 31,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27,500,001</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16,024,411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43,524,412</w:t>
            </w: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Cancelled/Forfeited</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(341,135)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(341,135)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22.79</w:t>
            </w:r>
          </w:p>
        </w:tc>
        <w:tc>
          <w:tcPr>
            <w:tcW w:w="80" w:type="dxa"/>
            <w:vAlign w:val="bottom"/>
            <w:shd w:val="clear" w:color="auto" w:fill="CCEEFF"/>
          </w:tcPr>
          <w:p>
            <w:pPr>
              <w:spacing w:after="0"/>
              <w:rPr>
                <w:sz w:val="18"/>
                <w:szCs w:val="18"/>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Nonvested balance as of September 30, 2021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27,158,866</w:t>
            </w: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16,024,411</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43,183,277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Time-based RSUs vest based on a performance condition and a service condition. The performance condition was satisfied upon the Closing of the Merger, and the service condition will be met generally over 4.0 years. The Company granted 13,834,748 shares of the time-based RSUs to the CEO that will vest in sixteen equal quarterly installments beginning on December 5, 2021, subject to continuous employment. The service condition for 25% of the Company’s non-CEO RSUs will be satisfied 375 days after the Closing. The remaining RSUs will be satisfied in equal quarterly installments thereafter, subject to continuous employment. The fair value of these time-based RSUs was measured using the fair value of the Company’s common stock on the date of the grant, as based on the market price of Churchill’s stock adjusted for the expected exchange ratio at the time, and discounted for lack of marketability.</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performance-based RSUs are granted to the CEO. The CEO performance RSUs will vest subject to the performance and market conditions. The performance condition was satisfied upon the Closing. The market conditions will be satisfied and vest in five tranches based on the achievement of market capitalization goals applicable to each tranche over a six-month period subject to the CEO’s continuous employment through the applicable vesting date. Any CEO performance RSUs that have not vested within five years after the Closing will be forfeited. As of September 30, 2021, none of the market capitalization goals had been achieved. The fair value of these performance-based RSUs was measured on the grant date, March 27, 2021, using a Monte Carlo simulation model, with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860" w:type="dxa"/>
            <w:vAlign w:val="bottom"/>
          </w:tcPr>
          <w:p>
            <w:pPr>
              <w:jc w:val="right"/>
              <w:ind w:right="70"/>
              <w:spacing w:after="0"/>
              <w:rPr>
                <w:sz w:val="20"/>
                <w:szCs w:val="20"/>
                <w:color w:val="auto"/>
              </w:rPr>
            </w:pPr>
            <w:r>
              <w:rPr>
                <w:rFonts w:ascii="Arial" w:cs="Arial" w:eastAsia="Arial" w:hAnsi="Arial"/>
                <w:sz w:val="18"/>
                <w:szCs w:val="18"/>
                <w:color w:val="auto"/>
              </w:rPr>
              <w:t>5.0</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Expected dividends</w:t>
            </w:r>
          </w:p>
        </w:tc>
        <w:tc>
          <w:tcPr>
            <w:tcW w:w="4860" w:type="dxa"/>
            <w:vAlign w:val="bottom"/>
          </w:tcPr>
          <w:p>
            <w:pPr>
              <w:jc w:val="right"/>
              <w:ind w:right="7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compensation expense on a graded vesting schedule over the requisite vesting period for the time-based awards and over the derived service period for the CEO performance RSUs. Stock-based compensation expense is recognized when the relevant performance condition is considered probable of achievement for the performance-based award.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employee and nonemployee stock-based compensation expense for the three and nine months ended September 30, 2021 and 2020, is classified in the consolidated statements of operations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4"/>
          </w:tcPr>
          <w:p>
            <w:pPr>
              <w:jc w:val="right"/>
              <w:ind w:right="47"/>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4"/>
          </w:tcPr>
          <w:p>
            <w:pPr>
              <w:jc w:val="right"/>
              <w:ind w:right="307"/>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5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177,760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280,301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r>
      <w:tr>
        <w:trPr>
          <w:trHeight w:val="210"/>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stock-based compensation expense for the three and nine months ended September 30, 2021 includes $235.6 million stock-based compensation expense related to the RSUs. The nine months ended September 30, 2021 also includes $123.6 million stock-based compensation expense related to the Series E convertible preferred stock issuances in March 2021 and April 2021. Refer to Note 6 “Contingent Forward Contracts” and Note 9 “Convertible Preferred Stock” for more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ind w:right="460"/>
        <w:spacing w:after="0" w:line="277" w:lineRule="auto"/>
        <w:rPr>
          <w:sz w:val="20"/>
          <w:szCs w:val="20"/>
          <w:color w:val="auto"/>
        </w:rPr>
      </w:pPr>
      <w:r>
        <w:rPr>
          <w:rFonts w:ascii="Arial" w:cs="Arial" w:eastAsia="Arial" w:hAnsi="Arial"/>
          <w:sz w:val="18"/>
          <w:szCs w:val="18"/>
          <w:color w:val="auto"/>
        </w:rPr>
        <w:t>The unamortized share-based compensation related to awards that are not vested was $732.2 million as of September 30, 2021, and weighted average remaining amortization period as of September 30, 2021 was 2.7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entered into various non-cancellable operating and finance lease agreements for certain of the Company’s offices, manufacturing and warehouse facilities, retail and service locations, equipment, vehicles, and solar energy systems, worldwide. The Company has determined if an arrangement is a lease, or contains a lease, including embedded leases, at inception and records the leases in the Company’s financial statements upon later of ASC 842 adoption date of January 1, 2021, or lease commencement, which is the date when the underlying asset is made available for use by the lessor.</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Lease expense for operating lease payments is recognized on a straight-line basis over the lease term. Our assessed lease terms may include options to extend or terminate the lease when it is reasonably certain that we will exercise that option. Certain operating leases provide for annual increases to lease payments based on an index or rate. The Company estimates the annual increase in lease payments based on the index or rate at the lease commencement date, for both the Company’s historical leases and for new leases commencing after January 1, 2021.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consolidated balance sheet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60" w:type="dxa"/>
            <w:vAlign w:val="bottom"/>
            <w:gridSpan w:val="5"/>
          </w:tcPr>
          <w:p>
            <w:pPr>
              <w:ind w:left="260"/>
              <w:spacing w:after="0"/>
              <w:rPr>
                <w:sz w:val="20"/>
                <w:szCs w:val="20"/>
                <w:color w:val="auto"/>
              </w:rPr>
            </w:pPr>
            <w:r>
              <w:rPr>
                <w:rFonts w:ascii="Arial" w:cs="Arial" w:eastAsia="Arial" w:hAnsi="Arial"/>
                <w:sz w:val="18"/>
                <w:szCs w:val="18"/>
                <w:b w:val="1"/>
                <w:bCs w:val="1"/>
                <w:color w:val="auto"/>
                <w:w w:val="99"/>
              </w:rPr>
              <w:t>As of September 30, 2021</w:t>
            </w: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1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143,782</w:t>
            </w:r>
          </w:p>
        </w:tc>
      </w:tr>
      <w:tr>
        <w:trPr>
          <w:trHeight w:val="216"/>
        </w:trPr>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14,611</w:t>
            </w: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169,433</w:t>
            </w:r>
          </w:p>
        </w:tc>
      </w:tr>
      <w:tr>
        <w:trPr>
          <w:trHeight w:val="250"/>
        </w:trPr>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lease liabilities</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184,044</w:t>
            </w:r>
          </w:p>
        </w:tc>
        <w:tc>
          <w:tcPr>
            <w:tcW w:w="100" w:type="dxa"/>
            <w:vAlign w:val="bottom"/>
            <w:tcBorders>
              <w:bottom w:val="single" w:sz="8" w:color="CCEEFF"/>
            </w:tcBorders>
          </w:tcPr>
          <w:p>
            <w:pPr>
              <w:spacing w:after="0"/>
              <w:rPr>
                <w:sz w:val="21"/>
                <w:szCs w:val="21"/>
                <w:color w:val="auto"/>
              </w:rPr>
            </w:pPr>
          </w:p>
        </w:tc>
      </w:tr>
      <w:tr>
        <w:trPr>
          <w:trHeight w:val="196"/>
        </w:trPr>
        <w:tc>
          <w:tcPr>
            <w:tcW w:w="7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7,825</w:t>
            </w:r>
          </w:p>
        </w:tc>
      </w:tr>
      <w:tr>
        <w:trPr>
          <w:trHeight w:val="250"/>
        </w:trPr>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finance lease assets</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7,825</w:t>
            </w:r>
          </w:p>
        </w:tc>
        <w:tc>
          <w:tcPr>
            <w:tcW w:w="100" w:type="dxa"/>
            <w:vAlign w:val="bottom"/>
            <w:tcBorders>
              <w:bottom w:val="single" w:sz="8" w:color="CCEEFF"/>
            </w:tcBorders>
          </w:tcPr>
          <w:p>
            <w:pPr>
              <w:spacing w:after="0"/>
              <w:rPr>
                <w:sz w:val="21"/>
                <w:szCs w:val="21"/>
                <w:color w:val="auto"/>
              </w:rPr>
            </w:pPr>
          </w:p>
        </w:tc>
      </w:tr>
      <w:tr>
        <w:trPr>
          <w:trHeight w:val="196"/>
        </w:trPr>
        <w:tc>
          <w:tcPr>
            <w:tcW w:w="7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100" w:type="dxa"/>
            <w:vAlign w:val="bottom"/>
          </w:tcPr>
          <w:p>
            <w:pPr>
              <w:spacing w:after="0"/>
              <w:rPr>
                <w:sz w:val="18"/>
                <w:szCs w:val="18"/>
                <w:color w:val="auto"/>
              </w:rPr>
            </w:pPr>
          </w:p>
        </w:tc>
        <w:tc>
          <w:tcPr>
            <w:tcW w:w="1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3,268</w:t>
            </w: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liabilities, net of current portion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4,687</w:t>
            </w:r>
          </w:p>
        </w:tc>
      </w:tr>
      <w:tr>
        <w:trPr>
          <w:trHeight w:val="210"/>
        </w:trPr>
        <w:tc>
          <w:tcPr>
            <w:tcW w:w="7360" w:type="dxa"/>
            <w:vAlign w:val="bottom"/>
          </w:tcPr>
          <w:p>
            <w:pPr>
              <w:ind w:left="180"/>
              <w:spacing w:after="0"/>
              <w:rPr>
                <w:sz w:val="20"/>
                <w:szCs w:val="20"/>
                <w:color w:val="auto"/>
              </w:rPr>
            </w:pPr>
            <w:r>
              <w:rPr>
                <w:rFonts w:ascii="Arial" w:cs="Arial" w:eastAsia="Arial" w:hAnsi="Arial"/>
                <w:sz w:val="18"/>
                <w:szCs w:val="18"/>
                <w:color w:val="auto"/>
              </w:rPr>
              <w:t>Total finance lease liabilities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18"/>
                <w:szCs w:val="18"/>
                <w:color w:val="auto"/>
              </w:rPr>
            </w:pPr>
          </w:p>
        </w:tc>
      </w:tr>
      <w:tr>
        <w:trPr>
          <w:trHeight w:val="20"/>
        </w:trPr>
        <w:tc>
          <w:tcPr>
            <w:tcW w:w="878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340" w:type="dxa"/>
            <w:vAlign w:val="bottom"/>
            <w:gridSpan w:val="5"/>
          </w:tcPr>
          <w:p>
            <w:pPr>
              <w:spacing w:after="0"/>
              <w:rPr>
                <w:sz w:val="20"/>
                <w:szCs w:val="20"/>
                <w:color w:val="auto"/>
              </w:rPr>
            </w:pPr>
            <w:r>
              <w:rPr>
                <w:rFonts w:ascii="Arial" w:cs="Arial" w:eastAsia="Arial" w:hAnsi="Arial"/>
                <w:sz w:val="18"/>
                <w:szCs w:val="18"/>
                <w:color w:val="auto"/>
                <w:w w:val="94"/>
              </w:rPr>
              <w:t>The components of lease expense are as follows within the Company’s consolidated statement of operations (in thousands):</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60" w:type="dxa"/>
            <w:vAlign w:val="bottom"/>
          </w:tcPr>
          <w:p>
            <w:pPr>
              <w:spacing w:after="0"/>
              <w:rPr>
                <w:sz w:val="24"/>
                <w:szCs w:val="2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September 30, 2021</w:t>
            </w:r>
          </w:p>
        </w:tc>
        <w:tc>
          <w:tcPr>
            <w:tcW w:w="12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2021</w:t>
            </w: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lease expense:</w:t>
            </w: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7360" w:type="dxa"/>
            <w:vAlign w:val="bottom"/>
          </w:tcPr>
          <w:p>
            <w:pPr>
              <w:ind w:left="180"/>
              <w:spacing w:after="0" w:line="256" w:lineRule="exact"/>
              <w:rPr>
                <w:sz w:val="20"/>
                <w:szCs w:val="20"/>
                <w:color w:val="auto"/>
              </w:rPr>
            </w:pPr>
            <w:r>
              <w:rPr>
                <w:rFonts w:ascii="Arial" w:cs="Arial" w:eastAsia="Arial" w:hAnsi="Arial"/>
                <w:sz w:val="18"/>
                <w:szCs w:val="18"/>
                <w:color w:val="auto"/>
              </w:rPr>
              <w:t>Operating lease expense</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3"/>
          </w:tcPr>
          <w:p>
            <w:pPr>
              <w:jc w:val="right"/>
              <w:ind w:right="200"/>
              <w:spacing w:after="0"/>
              <w:rPr>
                <w:sz w:val="20"/>
                <w:szCs w:val="20"/>
                <w:color w:val="auto"/>
              </w:rPr>
            </w:pPr>
            <w:r>
              <w:rPr>
                <w:rFonts w:ascii="Arial" w:cs="Arial" w:eastAsia="Arial" w:hAnsi="Arial"/>
                <w:sz w:val="18"/>
                <w:szCs w:val="18"/>
                <w:color w:val="auto"/>
              </w:rPr>
              <w:t>8,261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21,811</w:t>
            </w: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Variable lease expense</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r>
      <w:tr>
        <w:trPr>
          <w:trHeight w:val="216"/>
        </w:trPr>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 expense: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Amortization of leased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3"/>
          </w:tcPr>
          <w:p>
            <w:pPr>
              <w:jc w:val="right"/>
              <w:ind w:right="200"/>
              <w:spacing w:after="0"/>
              <w:rPr>
                <w:sz w:val="20"/>
                <w:szCs w:val="20"/>
                <w:color w:val="auto"/>
              </w:rPr>
            </w:pPr>
            <w:r>
              <w:rPr>
                <w:rFonts w:ascii="Arial" w:cs="Arial" w:eastAsia="Arial" w:hAnsi="Arial"/>
                <w:sz w:val="18"/>
                <w:szCs w:val="18"/>
                <w:color w:val="auto"/>
              </w:rPr>
              <w:t>800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10"/>
        </w:trPr>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finance lease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915</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tcPr>
          <w:p>
            <w:pPr>
              <w:spacing w:after="0"/>
              <w:rPr>
                <w:sz w:val="18"/>
                <w:szCs w:val="18"/>
                <w:color w:val="auto"/>
              </w:rPr>
            </w:pPr>
          </w:p>
        </w:tc>
      </w:tr>
      <w:tr>
        <w:trPr>
          <w:trHeight w:val="209"/>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short-term leases, which are immaterial.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Other information related to leases where the Company is the lessee is as follows: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4"/>
          </w:tcPr>
          <w:p>
            <w:pPr>
              <w:ind w:left="20"/>
              <w:spacing w:after="0"/>
              <w:rPr>
                <w:sz w:val="20"/>
                <w:szCs w:val="20"/>
                <w:color w:val="auto"/>
              </w:rPr>
            </w:pPr>
            <w:r>
              <w:rPr>
                <w:rFonts w:ascii="Arial" w:cs="Arial" w:eastAsia="Arial" w:hAnsi="Arial"/>
                <w:sz w:val="18"/>
                <w:szCs w:val="18"/>
                <w:b w:val="1"/>
                <w:bCs w:val="1"/>
                <w:color w:val="auto"/>
              </w:rPr>
              <w:t>As of September 30,</w:t>
            </w:r>
          </w:p>
        </w:tc>
      </w:tr>
      <w:tr>
        <w:trPr>
          <w:trHeight w:val="234"/>
        </w:trPr>
        <w:tc>
          <w:tcPr>
            <w:tcW w:w="9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16"/>
        </w:trPr>
        <w:tc>
          <w:tcPr>
            <w:tcW w:w="9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discount rate: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11.20%</w:t>
            </w:r>
          </w:p>
        </w:tc>
      </w:tr>
      <w:tr>
        <w:trPr>
          <w:trHeight w:val="216"/>
        </w:trPr>
        <w:tc>
          <w:tcPr>
            <w:tcW w:w="9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6.10%</w:t>
            </w: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9"/>
              </w:rPr>
              <w:t>Supplemental cash flow information related to leases where the Company is the lessee is as follows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9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September 30, 2021</w:t>
            </w:r>
          </w:p>
        </w:tc>
      </w:tr>
      <w:tr>
        <w:trPr>
          <w:trHeight w:val="209"/>
        </w:trPr>
        <w:tc>
          <w:tcPr>
            <w:tcW w:w="9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4,516</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finance leases (interest payments)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1,915</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61,497</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70,756</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 maturities of the Company’s operating and finance lease liabilities (excluding short-term leases)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5"/>
              </w:rPr>
              <w:t>Operating Leases</w:t>
            </w:r>
          </w:p>
        </w:tc>
        <w:tc>
          <w:tcPr>
            <w:tcW w:w="8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7"/>
              </w:rPr>
              <w:t>Finance Leases</w:t>
            </w: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ending September 30, 2021</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35,539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3,586</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35,043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35,400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34,484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132,938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Less: Interest</w:t>
            </w:r>
          </w:p>
        </w:tc>
        <w:tc>
          <w:tcPr>
            <w:tcW w:w="4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(98,329)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Less: Current portion</w:t>
            </w:r>
          </w:p>
        </w:tc>
        <w:tc>
          <w:tcPr>
            <w:tcW w:w="4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14,611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3,268</w:t>
            </w: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previously reported in the Company’s audited financial statements for the year ended December 31, 2020 and under legacy lease accounting (ASC 840), future minimum lease payments under non-cancellable leases as of December 31, 2020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Operating Leases</w:t>
            </w:r>
          </w:p>
        </w:tc>
        <w:tc>
          <w:tcPr>
            <w:tcW w:w="18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Finance Leases</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2022</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28,837</w:t>
            </w: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27,633</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2024</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28,207</w:t>
            </w: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27,474</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Thereafter</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116,155</w:t>
            </w: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Less: Interest</w:t>
            </w:r>
          </w:p>
        </w:tc>
        <w:tc>
          <w:tcPr>
            <w:tcW w:w="3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line="20" w:lineRule="exact"/>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3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Less: Current portion</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400" w:type="dxa"/>
            <w:vAlign w:val="bottom"/>
            <w:vMerge w:val="restart"/>
          </w:tcPr>
          <w:p>
            <w:pPr>
              <w:jc w:val="right"/>
              <w:ind w:right="175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and December 31, 2020, the Company had $363.0 million and $406.1 million in commitments related to the Arizona manufacturing plant and equipment. This represents future expected payments on open purchase orders entered into as of September 30, 2021, and December 31,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entered into a non-cancellable purchase commitment to purchase battery cells over the next 3 years with various vendors. Battery cell costs can fluctuate from time to time based on, among other things, supply and demand, costs of raw materials, and purchase volumes. The estimated purchase commitment as of September 30, 2021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6"/>
              </w:rPr>
              <w:t>Minimum</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Purchase</w:t>
            </w:r>
          </w:p>
        </w:tc>
      </w:tr>
      <w:tr>
        <w:trPr>
          <w:trHeight w:val="234"/>
        </w:trPr>
        <w:tc>
          <w:tcPr>
            <w:tcW w:w="9900" w:type="dxa"/>
            <w:vAlign w:val="bottom"/>
            <w:gridSpan w:val="2"/>
          </w:tcPr>
          <w:p>
            <w:pPr>
              <w:spacing w:after="0"/>
              <w:rPr>
                <w:sz w:val="20"/>
                <w:szCs w:val="20"/>
                <w:color w:val="auto"/>
              </w:rPr>
            </w:pPr>
            <w:r>
              <w:rPr>
                <w:rFonts w:ascii="Arial" w:cs="Arial" w:eastAsia="Arial" w:hAnsi="Arial"/>
                <w:sz w:val="18"/>
                <w:szCs w:val="18"/>
                <w:color w:val="auto"/>
              </w:rPr>
              <w:t>Years ended December 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Commitment</w:t>
            </w:r>
          </w:p>
        </w:tc>
      </w:tr>
      <w:tr>
        <w:trPr>
          <w:trHeight w:val="210"/>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 (remainder of the year)</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202,400</w:t>
            </w:r>
          </w:p>
        </w:tc>
        <w:tc>
          <w:tcPr>
            <w:tcW w:w="80" w:type="dxa"/>
            <w:vAlign w:val="bottom"/>
          </w:tcPr>
          <w:p>
            <w:pPr>
              <w:spacing w:after="0"/>
              <w:rPr>
                <w:sz w:val="18"/>
                <w:szCs w:val="18"/>
                <w:color w:val="auto"/>
              </w:rPr>
            </w:pPr>
          </w:p>
        </w:tc>
      </w:tr>
      <w:tr>
        <w:trPr>
          <w:trHeight w:val="229"/>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202,400</w:t>
            </w:r>
          </w:p>
        </w:tc>
        <w:tc>
          <w:tcPr>
            <w:tcW w:w="80" w:type="dxa"/>
            <w:vAlign w:val="bottom"/>
            <w:shd w:val="clear" w:color="auto" w:fill="CCEEFF"/>
          </w:tcPr>
          <w:p>
            <w:pPr>
              <w:spacing w:after="0"/>
              <w:rPr>
                <w:sz w:val="19"/>
                <w:szCs w:val="19"/>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509,170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recognition of the CEO’s efforts on the Merger, the board of directors approved a $2 million transaction bonus payable to the CEO subject to certain conditions. The transaction bonus was paid to the CEO during the three months ended September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 There is no material pending or threatened litigation against the Company that remains outstanding as of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$29.9 million and $15.5 million as of September 30, 2021 and December 31, 2020, respectively, for which no liabilities are recorded on the condensed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 xml:space="preserve">The Company's provision from income taxes for interim periods is determined using an estimate of its annual effective tax rate, adjusted for discrete items, if any, </w:t>
      </w:r>
      <w:r>
        <w:rPr>
          <w:rFonts w:ascii="Arial" w:cs="Arial" w:eastAsia="Arial" w:hAnsi="Arial"/>
          <w:sz w:val="18"/>
          <w:szCs w:val="18"/>
          <w:color w:val="000000"/>
        </w:rPr>
        <w:t>that arise during the period. Each quarter, the Company updates its estimate of the annual effective tax rate, and if the estimated annual effective tax</w:t>
      </w:r>
      <w:r>
        <w:rPr>
          <w:rFonts w:ascii="Arial" w:cs="Arial" w:eastAsia="Arial" w:hAnsi="Arial"/>
          <w:sz w:val="18"/>
          <w:szCs w:val="18"/>
          <w:color w:val="231F20"/>
        </w:rPr>
        <w:t xml:space="preserve"> </w:t>
      </w:r>
      <w:r>
        <w:rPr>
          <w:rFonts w:ascii="Arial" w:cs="Arial" w:eastAsia="Arial" w:hAnsi="Arial"/>
          <w:sz w:val="18"/>
          <w:szCs w:val="18"/>
          <w:color w:val="000000"/>
        </w:rPr>
        <w:t>rate changes, the Company makes a cumulative adjustment in such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because the entity is in a year-to-date and forecasted loss position; therefore, any taxes reported are due to foreign income taxes and state minimum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The Company recorded an income tax provision of $0.0 million for the three and nine months ended September 30, 2021, as compared to an income tax benefit of $0.1 million and $0.2 million for the same periods in the prior year. This resulted in an effective tax rate of 0.0% for the three and nine months ended September 30, 2021, and the same periods prior year.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31F20"/>
        </w:rPr>
        <w:t xml:space="preserve">As of September 30, 2021, and December 31, 2020, the Company had unrecognized tax benefits of $65.6 million and $42.9 million, of which $2.6 million, if recognized for both periods, would </w:t>
      </w:r>
      <w:r>
        <w:rPr>
          <w:rFonts w:ascii="Arial" w:cs="Arial" w:eastAsia="Arial" w:hAnsi="Arial"/>
          <w:sz w:val="18"/>
          <w:szCs w:val="18"/>
          <w:color w:val="000000"/>
        </w:rPr>
        <w:t>favorably impact the Company's effective tax rate. The Company does not anticipate a material change in its</w:t>
      </w:r>
      <w:r>
        <w:rPr>
          <w:rFonts w:ascii="Arial" w:cs="Arial" w:eastAsia="Arial" w:hAnsi="Arial"/>
          <w:sz w:val="18"/>
          <w:szCs w:val="18"/>
          <w:color w:val="231F20"/>
        </w:rPr>
        <w:t xml:space="preserve"> </w:t>
      </w:r>
      <w:r>
        <w:rPr>
          <w:rFonts w:ascii="Arial" w:cs="Arial" w:eastAsia="Arial" w:hAnsi="Arial"/>
          <w:sz w:val="18"/>
          <w:szCs w:val="18"/>
          <w:color w:val="000000"/>
        </w:rPr>
        <w:t>unrecognized tax benefits in the next 12 months.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29, 2020, the California governor signed into law the 2020 Budget Act, which temporarily suspends the utilization of net operating losses and limits the utilization of the research credit to $5.0 million annually for 2020, 2021 and 2022. The Company is continuing to assess the 2020 Budget Act, but currently does not expect any material impact to the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NET LOSS PER SHARE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per share attributable to common stockholders are calculated as follows (in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58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(408,105)</w:t>
            </w:r>
          </w:p>
        </w:tc>
        <w:tc>
          <w:tcPr>
            <w:tcW w:w="100" w:type="dxa"/>
            <w:vAlign w:val="bottom"/>
            <w:gridSpan w:val="2"/>
            <w:shd w:val="clear" w:color="auto" w:fill="CCEEFF"/>
          </w:tcPr>
          <w:p>
            <w:pPr>
              <w:spacing w:after="0"/>
              <w:rPr>
                <w:sz w:val="18"/>
                <w:szCs w:val="18"/>
                <w:color w:val="auto"/>
              </w:rPr>
            </w:pP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color w:val="auto"/>
                <w:w w:val="91"/>
              </w:rPr>
              <w:t>Deemed dividend related to the issuance of Series E convertible preferred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4"/>
        </w:trPr>
        <w:tc>
          <w:tcPr>
            <w:tcW w:w="5420" w:type="dxa"/>
            <w:vAlign w:val="bottom"/>
          </w:tcPr>
          <w:p>
            <w:pPr>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(2,167,332)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(524,403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(3,701,413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(408,105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outstanding—basic and diluted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1,217,032,285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6"/>
              </w:rPr>
              <w:t>24,279,817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432,654,607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20,889,062</w:t>
            </w:r>
          </w:p>
        </w:tc>
      </w:t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Basic and diluted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(0.43)</w:t>
            </w:r>
          </w:p>
        </w:tc>
        <w:tc>
          <w:tcPr>
            <w:tcW w:w="5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(6.64)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(8.56)</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(19.54)</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Excluded Securities</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w w:val="93"/>
              </w:rPr>
              <w:t>September 30, 2021</w:t>
            </w:r>
          </w:p>
        </w:tc>
        <w:tc>
          <w:tcPr>
            <w:tcW w:w="1720" w:type="dxa"/>
            <w:vAlign w:val="bottom"/>
            <w:gridSpan w:val="3"/>
          </w:tcPr>
          <w:p>
            <w:pPr>
              <w:ind w:left="120"/>
              <w:spacing w:after="0"/>
              <w:rPr>
                <w:sz w:val="20"/>
                <w:szCs w:val="20"/>
                <w:color w:val="auto"/>
              </w:rPr>
            </w:pPr>
            <w:r>
              <w:rPr>
                <w:rFonts w:ascii="Arial" w:cs="Arial" w:eastAsia="Arial" w:hAnsi="Arial"/>
                <w:sz w:val="18"/>
                <w:szCs w:val="18"/>
                <w:b w:val="1"/>
                <w:bCs w:val="1"/>
                <w:color w:val="auto"/>
                <w:w w:val="93"/>
              </w:rPr>
              <w:t>September 30, 2020</w:t>
            </w:r>
          </w:p>
        </w:tc>
        <w:tc>
          <w:tcPr>
            <w:tcW w:w="0" w:type="dxa"/>
            <w:vAlign w:val="bottom"/>
          </w:tcPr>
          <w:p>
            <w:pPr>
              <w:spacing w:after="0"/>
              <w:rPr>
                <w:sz w:val="1"/>
                <w:szCs w:val="1"/>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preferred stock (on an as-converted basis)</w:t>
            </w:r>
          </w:p>
        </w:tc>
        <w:tc>
          <w:tcPr>
            <w:tcW w:w="2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825,191,683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w w:val="99"/>
              </w:rPr>
              <w:t>Convertible preferred stock warrants (on an as-converted basis)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1,546,799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 to purchase common stock</w:t>
            </w:r>
          </w:p>
        </w:tc>
        <w:tc>
          <w:tcPr>
            <w:tcW w:w="4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34,494,445</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Public warrants to purchase common stock</w:t>
            </w:r>
          </w:p>
        </w:tc>
        <w:tc>
          <w:tcPr>
            <w:tcW w:w="4460" w:type="dxa"/>
            <w:vAlign w:val="bottom"/>
            <w:gridSpan w:val="4"/>
          </w:tcPr>
          <w:p>
            <w:pPr>
              <w:jc w:val="right"/>
              <w:ind w:right="100"/>
              <w:spacing w:after="0"/>
              <w:rPr>
                <w:sz w:val="20"/>
                <w:szCs w:val="20"/>
                <w:color w:val="auto"/>
              </w:rPr>
            </w:pPr>
            <w:r>
              <w:rPr>
                <w:rFonts w:ascii="Arial" w:cs="Arial" w:eastAsia="Arial" w:hAnsi="Arial"/>
                <w:sz w:val="18"/>
                <w:szCs w:val="18"/>
                <w:color w:val="auto"/>
              </w:rPr>
              <w:t>9,317,468</w:t>
            </w: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to purchase common stock</w:t>
            </w:r>
          </w:p>
        </w:tc>
        <w:tc>
          <w:tcPr>
            <w:tcW w:w="4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67,013,622</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65,641,710</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RSUs outstanding</w:t>
            </w:r>
          </w:p>
        </w:tc>
        <w:tc>
          <w:tcPr>
            <w:tcW w:w="4460" w:type="dxa"/>
            <w:vAlign w:val="bottom"/>
            <w:gridSpan w:val="4"/>
          </w:tcPr>
          <w:p>
            <w:pPr>
              <w:jc w:val="right"/>
              <w:ind w:right="100"/>
              <w:spacing w:after="0"/>
              <w:rPr>
                <w:sz w:val="20"/>
                <w:szCs w:val="20"/>
                <w:color w:val="auto"/>
              </w:rPr>
            </w:pPr>
            <w:r>
              <w:rPr>
                <w:rFonts w:ascii="Arial" w:cs="Arial" w:eastAsia="Arial" w:hAnsi="Arial"/>
                <w:sz w:val="18"/>
                <w:szCs w:val="18"/>
                <w:color w:val="auto"/>
              </w:rPr>
              <w:t>27,158,866</w:t>
            </w:r>
          </w:p>
        </w:tc>
        <w:tc>
          <w:tcPr>
            <w:tcW w:w="1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137,984,401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892,380,192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760" w:type="dxa"/>
            <w:vAlign w:val="bottom"/>
            <w:vMerge w:val="restart"/>
          </w:tcPr>
          <w:p>
            <w:pPr>
              <w:jc w:val="right"/>
              <w:ind w:right="20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4" w:right="3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color w:val="auto"/>
        </w:rPr>
        <w:t>The 11,500,000 shares and 9,855,555 shares of common stock equivalents subject to the remaining Sponsor Earnback Shares and Sponsor Earnback Warrants, respectively, are excluded from the anti-dilutive table above as of September 30, 2021 as the underlying shares remain contingently issuable as the earnback triggering events have not been satisfied. The 16,024,411 shares of common stock equivalents subject to RSUs are also excluded from the anti-dilutive table above as of September 30, 2021 as the underlying shares also remain contingently issuable since the market conditions have not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EMPLOYEE BENEFIT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nine months ended September 30,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Investment Fund Internship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2021, we entered into an agreement with PIF, the parent entity of Ayar, our majority stockholder,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expect to be reimbursed by PIF in an aggregate of $1 million in 2022 for such expenses. No reimbursement was received through September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preparation of the condensed consolidated financial statements for the three and nine months ended September 30, 2021, the Company evaluated subsequent events and concluded there were no subsequent events that required recognition in the condensed consolidated financial statements.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8, 2021, the Company announced that it would redeem (the “Redemption”) all of its public warrants that remained outstanding on October 8, 2021 (the “Initial Redemption Date”), for a redemption price of $0.01 per public warrant (the “Redemption Price”). In connection with the Redemption, the Company elected to require that any exercises of public warrants be made on a “cashless” basis, entitling each warrant holder to receive 0.4458 of a share of the Company’s common stock for each public warrant surrendered for exercise. Pursuant to the terms of the public warrants, any public warrants that were not exercised prior to the Initial Redemption Date were reduced to the right to receive the Redemption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On October 13, 2021, the public warrants were delisted from The Nasdaq Stock Market (“Nasdaq”).</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14, 2021, the Company extended the redemption date of its public warrants to October 29, 2021. Subsequent to September 30, 2021 and prior to the conclusion of the redemption notice period on October 29, 2021, an aggregate of 8,951,665 public warrants were exercised on a cashless basis. At the conclusion of the redemption notice period on October 29, 2021, the remaining 365,803 public warrants issued and outstanding were redeemed at price of $0.01 per warrant.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2021, the Company repurchased an aggregate of 857,825 shares of its common stock from certain individuals (the “Individual Sellers”) who were directors and employees of the Company’s predecessor, Atieva, Inc. (“Atieva”) (such transactions, the “Repurchases”). The repurchase price was $24.15 per share, which was equal to the average closing price of the Company’s common stock on the Nasdaq Global Select Market for the three trading day period ending on and including October 6, 2021, the second trading day prior to the date of the Repurchases. The Repurchases were effected solely to allow the Individual Sellers to satisfy certain tax obligations (including tax withholding obligations of the Company) incurred in connection with such Individual Sellers’ purchase of shares of Series E Preferred Stock from Atieva on April 2, 2021. The Company applied the proceeds received from the repurchases to the applicable U.S. tax authorities to satisfy tax obligations. The Company is accounting for the repurchased shares as treasury stock.</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Individual Sellers include Peter Rawlinson, a director of the Company and the Company’s Chief Executive Officer and Chief Technology Officer, from whom the Company repurchased 178,796 shares; Eric Bach, the Company’s Senior Vice President, Product and Chief Engineer, from whom the Company repurchased 195,557 shares; Michael Bell, the Company’s Senior Vice President, Digital, from whom the Company repurchased 33,526 shares; and Tony Posawatz, a director of the Company, from whom the Company repurchased 14,511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In October 2021, the Company entered into a purchase commitment with a vendor to purchase battery cells over the next 8 years pursuant to which the Company will need to make non-cancellable prepayments in five installments for a total aggregate amount of $148.0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2021, the Company entered into new retail lease agreements for various locations. The leases commenced in October 2021 and will expire on or before May 2029. Under the lease agreements, the Company will pay base rent from $0.3 million to $0.6 million annually.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late October 2021, reservation holders of Lucid Air Dream Edition models began receiving their vehicles, with customer deliveries ramping up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early November 2021, enrollment began in the Lucid Group, Inc. 2021 Employee Stock Purchase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2021, our compensation committee approved the payment of annual cash bonuses for 2021 to certain executive officers in view of the successful achievement of the start of production and start of customer deliveries of the Lucid Air, as well as their respective contributions to the Company’s overall success in 2021, as follows: Mr. Rawlinson will receive $400,000, Mr. Bach will receive $282,000, Ms. House will receive $166,000 Mr. Bell will receive $268,000, and Mr. Smuts will receive $81,000.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The following discussion and analysis provides information that Lucid management believes is relevant to an assessment and understanding of Lucid’s consolidated results of operations and financial condition as of September 30, 2021 and for the three and nine months ended September 30, 2021. The discussion should be read together with the consolidated financial statements for the three and nine months ended September 30, 2021 and 2020, the related notes that are included elsewhere in this quarterly report on Form 10-Q (this “Quarterly Report”), and the final prospectus and definitive proxy statement (the “Proxy Statement/Prospectus”) filed on June 25, 2021 with the U.S. Securities and Exchange Commission (the “SEC”) pursuant to Rule 424(b) under the Securities Act of 1933 (the “Securities Act”), as amended. This discussion may contain forward-looking statements based upon Lucid’s current expectations,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technology and automotive company with a mission to inspire the adoption of sustainable transportation by creating the most captivating luxury electric vehicles centered around human experience. Our focus on in-house technological innovation and a “clean sheet” approach to engineering and design have led to the development of our groundbreaking electric vehicle, the Lucid Air, which has gone into production.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Lucid Air is a luxury electric sedan that redefines both the luxury car segment and the electric vehicle space. Through miniaturization of the key drive-train components, the Lucid Air is designed to deliver compelling performance and interior space with an exterior that is reminiscent of a high-performance sports car. We believe our drivetrain and battery pack technologies are significant differentiators and our battery technology has been driven more than twenty million real-world miles since Lucid’s inception. With our 900V+ electrical architecture, we expect that some variants of the Lucid Air will be able to achieve sufficient charge in approximately 20 minutes to travel 300 miles and have travel range in excess of 500 miles on a single charge. The Lucid Air is expected to be available in a variant with over 1,000 horsepower and the ability to travel from zero to 60 miles per hour in less than 2.5 seconds. We are also the supplier of battery technology for the premier EV racing series. We believe the Lucid Air will establish the bar for excellence across future Lucid products and experiences by fusing art and science to capture the potential of electrification.</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Lucid Air is manufactured in-house at our greenfield purpose-built electric vehicle manufacturing facilities in Casa Grande, Arizona, named Advanced Manufacturing Plant-1 (“</w:t>
      </w:r>
      <w:r>
        <w:rPr>
          <w:rFonts w:ascii="Arial" w:cs="Arial" w:eastAsia="Arial" w:hAnsi="Arial"/>
          <w:sz w:val="17"/>
          <w:szCs w:val="17"/>
          <w:i w:val="1"/>
          <w:iCs w:val="1"/>
          <w:color w:val="auto"/>
        </w:rPr>
        <w:t>AMP-1</w:t>
      </w:r>
      <w:r>
        <w:rPr>
          <w:rFonts w:ascii="Arial" w:cs="Arial" w:eastAsia="Arial" w:hAnsi="Arial"/>
          <w:sz w:val="17"/>
          <w:szCs w:val="17"/>
          <w:color w:val="auto"/>
        </w:rPr>
        <w:t>”) and Lucid Powertrain Manufacturing Plant (“</w:t>
      </w:r>
      <w:r>
        <w:rPr>
          <w:rFonts w:ascii="Arial" w:cs="Arial" w:eastAsia="Arial" w:hAnsi="Arial"/>
          <w:sz w:val="17"/>
          <w:szCs w:val="17"/>
          <w:i w:val="1"/>
          <w:iCs w:val="1"/>
          <w:color w:val="auto"/>
        </w:rPr>
        <w:t>LPM-1</w:t>
      </w:r>
      <w:r>
        <w:rPr>
          <w:rFonts w:ascii="Arial" w:cs="Arial" w:eastAsia="Arial" w:hAnsi="Arial"/>
          <w:sz w:val="17"/>
          <w:szCs w:val="17"/>
          <w:color w:val="auto"/>
        </w:rPr>
        <w:t>”). Upon completion of our facilities, our manufacturing footprint in Casa Grande is expected to exceed 5 million square feet on 495 acres. Our AMP-1 facility is designed with an initial output capacity to produce up to 34,000 vehicles annually. We started our production of the Lucid Air utilizing our AMP-1 facility in September. In late October 2021, reservation holders of Lucid Air Dream Edition models began receiving their vehicles, with customer deliveries ramping up thereafter.</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launch additional vehicles over the coming decade. We have already commenced engineering and design work for Project Gravity, a luxury SUV that is expected to leverage the same platform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Arial" w:cs="Arial" w:eastAsia="Arial" w:hAnsi="Arial"/>
          <w:sz w:val="16"/>
          <w:szCs w:val="16"/>
          <w:i w:val="1"/>
          <w:iCs w:val="1"/>
          <w:color w:val="auto"/>
        </w:rPr>
        <w:t>ESS</w:t>
      </w:r>
      <w:r>
        <w:rPr>
          <w:rFonts w:ascii="Arial" w:cs="Arial" w:eastAsia="Arial" w:hAnsi="Arial"/>
          <w:sz w:val="16"/>
          <w:szCs w:val="16"/>
          <w:color w:val="auto"/>
        </w:rPr>
        <w:t>”) products. ESS is a technologically adjacent opportunity which can leverage the modular design of our battery packs and our extensive experience with battery pack and battery management systems.</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plan to sell our vehicles directly to consumers through both our retail store or gallery locations, which we refer to as “Studios,” and our online purchasing platform as we believe the direct-to-consumer sales model reflects today’s changing customer preferences. We believe that our direct-to-consumer sales model, combined with a digitally enhanced luxury experience through our website and a refined in-store experience, creates opportunities to tailor to each customer’s purchase and ownership preferences. As of September 30, 2021, we have opened nine retail stores and expect additional stores and service centers to open in North America throughout 2021. We believe in owning our sales and service network in order to control our customers’ experience throughout their journey with us. We are also in the process of establishing an in-house service footprint through brick-and-mortar service centers in various geographies and a planned mobile service fleet. In order to deliver excellent in-house and mobile services to our customers, we also plan to have an approved list of vetted and specially trained body shop technicians.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54" w:lineRule="auto"/>
        <w:rPr>
          <w:sz w:val="20"/>
          <w:szCs w:val="20"/>
          <w:color w:val="auto"/>
        </w:rPr>
      </w:pPr>
      <w:r>
        <w:rPr>
          <w:rFonts w:ascii="Arial" w:cs="Arial" w:eastAsia="Arial" w:hAnsi="Arial"/>
          <w:sz w:val="18"/>
          <w:szCs w:val="18"/>
          <w:color w:val="auto"/>
        </w:rPr>
        <w:t>Our revenue to date has been generated primarily from the sales of battery pack systems, supplies and related services. Through September 30, 2021, we had not sold any vehicles. We began commercial sales of Lucid Air Dream Edition in late October 2021. We incurred net losses of $524.4 million and $161.2 million for the three months ended September 30, 2021 and 2020, respectively, $1.5 billion and $408.1 million for the nine months ended September 30, 2021 and 2020, respectively, and $719.4 million and $277.4 million for the years ended December 31, 2020 and 2019, respectively. We expect to incur significant net losses for the foreseeable future. We plan to make significant investments in capital expenditures to build and expand our manufacturing, sales and service facilities, hire a commercial sales team, and continue to invest in research and development. We expect that our existing cash and cash equivalents will be sufficient to meet our capital expenditure and working capital requirements for a period of at least twelve months from the date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the Merger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the Closing Date, Churchill and Lucid consummated the Merger. Pursuant to the Merger Agreement, Lucid became a wholly owned subsidiary of Churchill and Churchill was immediately renamed “Lucid Group, Inc.” Upon the consummation of the Merger in connection with the Merger Agreement,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periods prior to the Merger have been retrospectively adjusted using the Exchange Ratio for the equivalent number of shares outstanding immediately after the Closing to effect the reverse recapitalization.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Closing,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the condensed consolidated statements of operations. The total net cash proceeds to the Company were $4,400.3 million. We intend to use the net proceeds for future capacity expansion, general corporate purposes and to meet our working capital needs.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 Description of Business and Note 3 - Reverse Recapitalization in our unaudited interim condensed consolidated financial statements included elsewhere in this Quarterly Report for more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We believe that our future success and financial performance depend on a number of factors that present significant opportunities for our business, but also pose risks and challenges, including those discussed below and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II, Item 1A of this Quarterly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Through September 30, 2021, we have refundable reservations that reflect potential sales greater than $1,300.0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plan to operate a direct-to-consumer sales and service model, which we believe will allow us to offer a personalized experience for our customers based on their purchase and ownership preferences. We expect to incur significant expenses in our sales and marketing operations as we prepare for commercialization of the Lucid Air, including to open Studios, hire a sales force, invest in marketing and brand awareness, and stand up a service center operation. As of September 30, 2021, we had opened nine Studios, four locations in California, two locations in Florida, one location in New York, one location in Illinois and one location in Arizona. By the end of 2021, we expect to open additional Studios and service centers in North America. We also intend to hire additional sales, customer service, and service centers personnel. We believe that investing in our direct-to-consumer sales and service model will be critical to deliver and service the Lucid electric vehicles we plan to manufacture and sell.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each year through 2023 as we continue our phased construction of our AMP-1 and LPM-1 facilities and international expansion and then to decrease in the subsequent years.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our results of operations for the periods presented (in thousands):</w:t>
      </w:r>
    </w:p>
    <w:p>
      <w:pPr>
        <w:spacing w:after="0" w:line="161" w:lineRule="exact"/>
        <w:rPr>
          <w:sz w:val="20"/>
          <w:szCs w:val="20"/>
          <w:color w:val="auto"/>
        </w:rPr>
      </w:pPr>
    </w:p>
    <w:p>
      <w:pPr>
        <w:jc w:val="center"/>
        <w:ind w:left="1200"/>
        <w:spacing w:after="0"/>
        <w:rPr>
          <w:sz w:val="20"/>
          <w:szCs w:val="20"/>
          <w:color w:val="auto"/>
        </w:rPr>
      </w:pPr>
      <w:r>
        <w:rPr>
          <w:rFonts w:ascii="Arial" w:cs="Arial" w:eastAsia="Arial" w:hAnsi="Arial"/>
          <w:sz w:val="14"/>
          <w:szCs w:val="14"/>
          <w:b w:val="1"/>
          <w:bCs w:val="1"/>
          <w:color w:val="auto"/>
        </w:rPr>
        <w:t>Three Months Ended</w:t>
      </w:r>
    </w:p>
    <w:p>
      <w:pPr>
        <w:jc w:val="center"/>
        <w:ind w:left="12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328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88"/>
              </w:rPr>
              <w:t>$ change</w:t>
            </w:r>
          </w:p>
        </w:tc>
        <w:tc>
          <w:tcPr>
            <w:tcW w:w="7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3"/>
        </w:trPr>
        <w:tc>
          <w:tcPr>
            <w:tcW w:w="3280" w:type="dxa"/>
            <w:vAlign w:val="bottom"/>
            <w:vMerge w:val="continue"/>
          </w:tcPr>
          <w:p>
            <w:pPr>
              <w:spacing w:after="0"/>
              <w:rPr>
                <w:sz w:val="10"/>
                <w:szCs w:val="10"/>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232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334</w:t>
            </w:r>
          </w:p>
        </w:tc>
        <w:tc>
          <w:tcPr>
            <w:tcW w:w="24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(102)</w:t>
            </w:r>
          </w:p>
        </w:tc>
        <w:tc>
          <w:tcPr>
            <w:tcW w:w="240" w:type="dxa"/>
            <w:vAlign w:val="bottom"/>
            <w:gridSpan w:val="2"/>
          </w:tcPr>
          <w:p>
            <w:pPr>
              <w:spacing w:after="0"/>
              <w:rPr>
                <w:sz w:val="10"/>
                <w:szCs w:val="10"/>
                <w:color w:val="auto"/>
              </w:rPr>
            </w:pPr>
          </w:p>
        </w:tc>
        <w:tc>
          <w:tcPr>
            <w:tcW w:w="780" w:type="dxa"/>
            <w:vAlign w:val="bottom"/>
            <w:tcBorders>
              <w:top w:val="single" w:sz="8" w:color="auto"/>
            </w:tcBorders>
          </w:tcPr>
          <w:p>
            <w:pPr>
              <w:jc w:val="center"/>
              <w:ind w:left="62"/>
              <w:spacing w:after="0" w:line="123" w:lineRule="exact"/>
              <w:rPr>
                <w:sz w:val="20"/>
                <w:szCs w:val="20"/>
                <w:color w:val="auto"/>
              </w:rPr>
            </w:pPr>
            <w:r>
              <w:rPr>
                <w:rFonts w:ascii="Arial" w:cs="Arial" w:eastAsia="Arial" w:hAnsi="Arial"/>
                <w:sz w:val="14"/>
                <w:szCs w:val="14"/>
                <w:color w:val="auto"/>
                <w:w w:val="96"/>
              </w:rPr>
              <w:t>(31)%</w:t>
            </w:r>
          </w:p>
        </w:tc>
        <w:tc>
          <w:tcPr>
            <w:tcW w:w="0" w:type="dxa"/>
            <w:vAlign w:val="bottom"/>
          </w:tcPr>
          <w:p>
            <w:pPr>
              <w:spacing w:after="0"/>
              <w:rPr>
                <w:sz w:val="1"/>
                <w:szCs w:val="1"/>
                <w:color w:val="auto"/>
              </w:rPr>
            </w:pPr>
          </w:p>
        </w:tc>
      </w:tr>
      <w:tr>
        <w:trPr>
          <w:trHeight w:val="167"/>
        </w:trPr>
        <w:tc>
          <w:tcPr>
            <w:tcW w:w="3280" w:type="dxa"/>
            <w:vAlign w:val="bottom"/>
          </w:tcPr>
          <w:p>
            <w:pPr>
              <w:spacing w:after="0"/>
              <w:rPr>
                <w:sz w:val="20"/>
                <w:szCs w:val="20"/>
                <w:color w:val="auto"/>
              </w:rPr>
            </w:pPr>
            <w:r>
              <w:rPr>
                <w:rFonts w:ascii="Arial" w:cs="Arial" w:eastAsia="Arial" w:hAnsi="Arial"/>
                <w:sz w:val="14"/>
                <w:szCs w:val="14"/>
                <w:color w:val="auto"/>
              </w:rPr>
              <w:t>Cost of revenue</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2,711</w:t>
            </w:r>
          </w:p>
        </w:tc>
        <w:tc>
          <w:tcPr>
            <w:tcW w:w="220" w:type="dxa"/>
            <w:vAlign w:val="bottom"/>
          </w:tcPr>
          <w:p>
            <w:pPr>
              <w:spacing w:after="0"/>
              <w:rPr>
                <w:sz w:val="14"/>
                <w:szCs w:val="14"/>
                <w:color w:val="auto"/>
              </w:rPr>
            </w:pPr>
          </w:p>
        </w:tc>
        <w:tc>
          <w:tcPr>
            <w:tcW w:w="780" w:type="dxa"/>
            <w:vAlign w:val="bottom"/>
          </w:tcPr>
          <w:p>
            <w:pPr>
              <w:jc w:val="center"/>
              <w:ind w:left="42"/>
              <w:spacing w:after="0"/>
              <w:rPr>
                <w:sz w:val="20"/>
                <w:szCs w:val="20"/>
                <w:color w:val="auto"/>
              </w:rPr>
            </w:pPr>
            <w:r>
              <w:rPr>
                <w:rFonts w:ascii="Arial" w:cs="Arial" w:eastAsia="Arial" w:hAnsi="Arial"/>
                <w:sz w:val="14"/>
                <w:szCs w:val="14"/>
                <w:color w:val="auto"/>
                <w:w w:val="94"/>
              </w:rPr>
              <w:t>445%</w:t>
            </w:r>
          </w:p>
        </w:tc>
        <w:tc>
          <w:tcPr>
            <w:tcW w:w="0" w:type="dxa"/>
            <w:vAlign w:val="bottom"/>
          </w:tcPr>
          <w:p>
            <w:pPr>
              <w:spacing w:after="0"/>
              <w:rPr>
                <w:sz w:val="1"/>
                <w:szCs w:val="1"/>
                <w:color w:val="auto"/>
              </w:rPr>
            </w:pPr>
          </w:p>
        </w:tc>
      </w:tr>
      <w:tr>
        <w:trPr>
          <w:trHeight w:val="177"/>
        </w:trPr>
        <w:tc>
          <w:tcPr>
            <w:tcW w:w="3280" w:type="dxa"/>
            <w:vAlign w:val="bottom"/>
          </w:tcPr>
          <w:p>
            <w:pPr>
              <w:ind w:left="340"/>
              <w:spacing w:after="0"/>
              <w:rPr>
                <w:sz w:val="20"/>
                <w:szCs w:val="20"/>
                <w:color w:val="auto"/>
              </w:rPr>
            </w:pPr>
            <w:r>
              <w:rPr>
                <w:rFonts w:ascii="Arial" w:cs="Arial" w:eastAsia="Arial" w:hAnsi="Arial"/>
                <w:sz w:val="14"/>
                <w:szCs w:val="14"/>
                <w:color w:val="auto"/>
              </w:rPr>
              <w:t>Gross loss</w:t>
            </w: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(3,088)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(2,813)</w:t>
            </w:r>
          </w:p>
        </w:tc>
        <w:tc>
          <w:tcPr>
            <w:tcW w:w="780" w:type="dxa"/>
            <w:vAlign w:val="bottom"/>
          </w:tcPr>
          <w:p>
            <w:pPr>
              <w:ind w:left="300"/>
              <w:spacing w:after="0" w:line="177" w:lineRule="exact"/>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Arial" w:cs="Arial" w:eastAsia="Arial" w:hAnsi="Arial"/>
                <w:sz w:val="14"/>
                <w:szCs w:val="14"/>
                <w:color w:val="auto"/>
              </w:rPr>
              <w:t>Research and development(1)</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242,408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133,890</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108,518</w:t>
            </w:r>
          </w:p>
        </w:tc>
        <w:tc>
          <w:tcPr>
            <w:tcW w:w="220" w:type="dxa"/>
            <w:vAlign w:val="bottom"/>
          </w:tcPr>
          <w:p>
            <w:pPr>
              <w:spacing w:after="0"/>
              <w:rPr>
                <w:sz w:val="12"/>
                <w:szCs w:val="12"/>
                <w:color w:val="auto"/>
              </w:rPr>
            </w:pPr>
          </w:p>
        </w:tc>
        <w:tc>
          <w:tcPr>
            <w:tcW w:w="780" w:type="dxa"/>
            <w:vAlign w:val="bottom"/>
          </w:tcPr>
          <w:p>
            <w:pPr>
              <w:jc w:val="center"/>
              <w:ind w:left="42"/>
              <w:spacing w:after="0" w:line="149" w:lineRule="exact"/>
              <w:rPr>
                <w:sz w:val="20"/>
                <w:szCs w:val="20"/>
                <w:color w:val="auto"/>
              </w:rPr>
            </w:pPr>
            <w:r>
              <w:rPr>
                <w:rFonts w:ascii="Arial" w:cs="Arial" w:eastAsia="Arial" w:hAnsi="Arial"/>
                <w:sz w:val="14"/>
                <w:szCs w:val="14"/>
                <w:color w:val="auto"/>
                <w:w w:val="92"/>
              </w:rPr>
              <w:t>81%</w:t>
            </w:r>
          </w:p>
        </w:tc>
        <w:tc>
          <w:tcPr>
            <w:tcW w:w="0" w:type="dxa"/>
            <w:vAlign w:val="bottom"/>
          </w:tcPr>
          <w:p>
            <w:pPr>
              <w:spacing w:after="0"/>
              <w:rPr>
                <w:sz w:val="1"/>
                <w:szCs w:val="1"/>
                <w:color w:val="auto"/>
              </w:rPr>
            </w:pPr>
          </w:p>
        </w:tc>
      </w:tr>
      <w:tr>
        <w:trPr>
          <w:trHeight w:val="167"/>
        </w:trPr>
        <w:tc>
          <w:tcPr>
            <w:tcW w:w="3280" w:type="dxa"/>
            <w:vAlign w:val="bottom"/>
          </w:tcPr>
          <w:p>
            <w:pPr>
              <w:ind w:left="180"/>
              <w:spacing w:after="0"/>
              <w:rPr>
                <w:sz w:val="20"/>
                <w:szCs w:val="20"/>
                <w:color w:val="auto"/>
              </w:rPr>
            </w:pPr>
            <w:r>
              <w:rPr>
                <w:rFonts w:ascii="Arial" w:cs="Arial" w:eastAsia="Arial" w:hAnsi="Arial"/>
                <w:sz w:val="14"/>
                <w:szCs w:val="14"/>
                <w:color w:val="auto"/>
              </w:rPr>
              <w:t>Selling, general and administrative(1)</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251,554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27,935</w:t>
            </w: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223,619</w:t>
            </w:r>
          </w:p>
        </w:tc>
        <w:tc>
          <w:tcPr>
            <w:tcW w:w="220" w:type="dxa"/>
            <w:vAlign w:val="bottom"/>
          </w:tcPr>
          <w:p>
            <w:pPr>
              <w:spacing w:after="0"/>
              <w:rPr>
                <w:sz w:val="14"/>
                <w:szCs w:val="14"/>
                <w:color w:val="auto"/>
              </w:rPr>
            </w:pPr>
          </w:p>
        </w:tc>
        <w:tc>
          <w:tcPr>
            <w:tcW w:w="780" w:type="dxa"/>
            <w:vAlign w:val="bottom"/>
          </w:tcPr>
          <w:p>
            <w:pPr>
              <w:jc w:val="center"/>
              <w:ind w:left="42"/>
              <w:spacing w:after="0"/>
              <w:rPr>
                <w:sz w:val="20"/>
                <w:szCs w:val="20"/>
                <w:color w:val="auto"/>
              </w:rPr>
            </w:pPr>
            <w:r>
              <w:rPr>
                <w:rFonts w:ascii="Arial" w:cs="Arial" w:eastAsia="Arial" w:hAnsi="Arial"/>
                <w:sz w:val="14"/>
                <w:szCs w:val="14"/>
                <w:color w:val="auto"/>
                <w:w w:val="94"/>
              </w:rPr>
              <w:t>800%</w:t>
            </w:r>
          </w:p>
        </w:tc>
        <w:tc>
          <w:tcPr>
            <w:tcW w:w="0" w:type="dxa"/>
            <w:vAlign w:val="bottom"/>
          </w:tcPr>
          <w:p>
            <w:pPr>
              <w:spacing w:after="0"/>
              <w:rPr>
                <w:sz w:val="1"/>
                <w:szCs w:val="1"/>
                <w:color w:val="auto"/>
              </w:rPr>
            </w:pPr>
          </w:p>
        </w:tc>
      </w:tr>
      <w:tr>
        <w:trPr>
          <w:trHeight w:val="142"/>
        </w:trPr>
        <w:tc>
          <w:tcPr>
            <w:tcW w:w="3280" w:type="dxa"/>
            <w:vAlign w:val="bottom"/>
          </w:tcPr>
          <w:p>
            <w:pPr>
              <w:ind w:left="340"/>
              <w:spacing w:after="0" w:line="142" w:lineRule="exact"/>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493,962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161,825</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332,137</w:t>
            </w:r>
          </w:p>
        </w:tc>
        <w:tc>
          <w:tcPr>
            <w:tcW w:w="220" w:type="dxa"/>
            <w:vAlign w:val="bottom"/>
          </w:tcPr>
          <w:p>
            <w:pPr>
              <w:spacing w:after="0"/>
              <w:rPr>
                <w:sz w:val="12"/>
                <w:szCs w:val="12"/>
                <w:color w:val="auto"/>
              </w:rPr>
            </w:pPr>
          </w:p>
        </w:tc>
        <w:tc>
          <w:tcPr>
            <w:tcW w:w="780" w:type="dxa"/>
            <w:vAlign w:val="bottom"/>
          </w:tcPr>
          <w:p>
            <w:pPr>
              <w:jc w:val="center"/>
              <w:ind w:left="42"/>
              <w:spacing w:after="0" w:line="142" w:lineRule="exact"/>
              <w:rPr>
                <w:sz w:val="20"/>
                <w:szCs w:val="20"/>
                <w:color w:val="auto"/>
              </w:rPr>
            </w:pPr>
            <w:r>
              <w:rPr>
                <w:rFonts w:ascii="Arial" w:cs="Arial" w:eastAsia="Arial" w:hAnsi="Arial"/>
                <w:sz w:val="14"/>
                <w:szCs w:val="14"/>
                <w:color w:val="auto"/>
                <w:w w:val="94"/>
              </w:rPr>
              <w:t>205%</w:t>
            </w:r>
          </w:p>
        </w:tc>
        <w:tc>
          <w:tcPr>
            <w:tcW w:w="0" w:type="dxa"/>
            <w:vAlign w:val="bottom"/>
          </w:tcPr>
          <w:p>
            <w:pPr>
              <w:spacing w:after="0"/>
              <w:rPr>
                <w:sz w:val="1"/>
                <w:szCs w:val="1"/>
                <w:color w:val="auto"/>
              </w:rPr>
            </w:pPr>
          </w:p>
        </w:tc>
      </w:tr>
      <w:tr>
        <w:trPr>
          <w:trHeight w:val="123"/>
        </w:trPr>
        <w:tc>
          <w:tcPr>
            <w:tcW w:w="3280" w:type="dxa"/>
            <w:vAlign w:val="bottom"/>
          </w:tcPr>
          <w:p>
            <w:pPr>
              <w:spacing w:after="0" w:line="123" w:lineRule="exact"/>
              <w:rPr>
                <w:sz w:val="20"/>
                <w:szCs w:val="20"/>
                <w:color w:val="auto"/>
              </w:rPr>
            </w:pPr>
            <w:r>
              <w:rPr>
                <w:rFonts w:ascii="Arial" w:cs="Arial" w:eastAsia="Arial" w:hAnsi="Arial"/>
                <w:sz w:val="14"/>
                <w:szCs w:val="14"/>
                <w:color w:val="auto"/>
              </w:rPr>
              <w:t>Loss from operations</w:t>
            </w:r>
          </w:p>
        </w:tc>
        <w:tc>
          <w:tcPr>
            <w:tcW w:w="1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(497,050)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(162,100)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0"/>
              <w:spacing w:after="0" w:line="123" w:lineRule="exact"/>
              <w:rPr>
                <w:sz w:val="20"/>
                <w:szCs w:val="20"/>
                <w:color w:val="auto"/>
              </w:rPr>
            </w:pPr>
            <w:r>
              <w:rPr>
                <w:rFonts w:ascii="Arial" w:cs="Arial" w:eastAsia="Arial" w:hAnsi="Arial"/>
                <w:sz w:val="14"/>
                <w:szCs w:val="14"/>
                <w:color w:val="auto"/>
              </w:rPr>
              <w:t>(334,950)</w:t>
            </w:r>
          </w:p>
        </w:tc>
        <w:tc>
          <w:tcPr>
            <w:tcW w:w="220" w:type="dxa"/>
            <w:vAlign w:val="bottom"/>
          </w:tcPr>
          <w:p>
            <w:pPr>
              <w:spacing w:after="0"/>
              <w:rPr>
                <w:sz w:val="10"/>
                <w:szCs w:val="10"/>
                <w:color w:val="auto"/>
              </w:rPr>
            </w:pPr>
          </w:p>
        </w:tc>
        <w:tc>
          <w:tcPr>
            <w:tcW w:w="780" w:type="dxa"/>
            <w:vAlign w:val="bottom"/>
          </w:tcPr>
          <w:p>
            <w:pPr>
              <w:jc w:val="center"/>
              <w:ind w:left="42"/>
              <w:spacing w:after="0" w:line="123" w:lineRule="exact"/>
              <w:rPr>
                <w:sz w:val="20"/>
                <w:szCs w:val="20"/>
                <w:color w:val="auto"/>
              </w:rPr>
            </w:pPr>
            <w:r>
              <w:rPr>
                <w:rFonts w:ascii="Arial" w:cs="Arial" w:eastAsia="Arial" w:hAnsi="Arial"/>
                <w:sz w:val="14"/>
                <w:szCs w:val="14"/>
                <w:color w:val="auto"/>
                <w:w w:val="94"/>
              </w:rPr>
              <w:t>207%</w:t>
            </w:r>
          </w:p>
        </w:tc>
        <w:tc>
          <w:tcPr>
            <w:tcW w:w="0" w:type="dxa"/>
            <w:vAlign w:val="bottom"/>
          </w:tcPr>
          <w:p>
            <w:pPr>
              <w:spacing w:after="0"/>
              <w:rPr>
                <w:sz w:val="1"/>
                <w:szCs w:val="1"/>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182"/>
        </w:trPr>
        <w:tc>
          <w:tcPr>
            <w:tcW w:w="3280" w:type="dxa"/>
            <w:vAlign w:val="bottom"/>
          </w:tcPr>
          <w:p>
            <w:pPr>
              <w:ind w:left="180"/>
              <w:spacing w:after="0"/>
              <w:rPr>
                <w:sz w:val="20"/>
                <w:szCs w:val="20"/>
                <w:color w:val="auto"/>
              </w:rPr>
            </w:pPr>
            <w:r>
              <w:rPr>
                <w:rFonts w:ascii="Arial" w:cs="Arial" w:eastAsia="Arial" w:hAnsi="Arial"/>
                <w:sz w:val="14"/>
                <w:szCs w:val="14"/>
                <w:color w:val="auto"/>
              </w:rPr>
              <w:t>Change in fair value of forward contracts</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Arial" w:cs="Arial" w:eastAsia="Arial" w:hAnsi="Arial"/>
                <w:sz w:val="14"/>
                <w:szCs w:val="14"/>
                <w:color w:val="auto"/>
                <w:w w:val="99"/>
              </w:rPr>
              <w:t>Change in fair value of convertible preferred stock</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Arial" w:cs="Arial" w:eastAsia="Arial" w:hAnsi="Arial"/>
                <w:sz w:val="14"/>
                <w:szCs w:val="14"/>
                <w:color w:val="auto"/>
              </w:rPr>
              <w:t>warrant liability</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Arial" w:cs="Arial" w:eastAsia="Arial" w:hAnsi="Arial"/>
                <w:sz w:val="14"/>
                <w:szCs w:val="14"/>
                <w:color w:val="auto"/>
              </w:rPr>
              <w:t>Change in fair value of common stock warrant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153"/>
        </w:trPr>
        <w:tc>
          <w:tcPr>
            <w:tcW w:w="3280" w:type="dxa"/>
            <w:vAlign w:val="bottom"/>
          </w:tcPr>
          <w:p>
            <w:pPr>
              <w:ind w:left="180"/>
              <w:spacing w:after="0" w:line="153" w:lineRule="exact"/>
              <w:rPr>
                <w:sz w:val="20"/>
                <w:szCs w:val="20"/>
                <w:color w:val="auto"/>
              </w:rPr>
            </w:pPr>
            <w:r>
              <w:rPr>
                <w:rFonts w:ascii="Arial" w:cs="Arial" w:eastAsia="Arial" w:hAnsi="Arial"/>
                <w:sz w:val="14"/>
                <w:szCs w:val="14"/>
                <w:color w:val="auto"/>
              </w:rPr>
              <w:t>liability</w:t>
            </w:r>
          </w:p>
        </w:tc>
        <w:tc>
          <w:tcPr>
            <w:tcW w:w="160" w:type="dxa"/>
            <w:vAlign w:val="bottom"/>
          </w:tcPr>
          <w:p>
            <w:pPr>
              <w:spacing w:after="0"/>
              <w:rPr>
                <w:sz w:val="13"/>
                <w:szCs w:val="13"/>
                <w:color w:val="auto"/>
              </w:rPr>
            </w:pPr>
          </w:p>
        </w:tc>
        <w:tc>
          <w:tcPr>
            <w:tcW w:w="78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(24,787)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3"/>
          </w:tcPr>
          <w:p>
            <w:pPr>
              <w:jc w:val="right"/>
              <w:ind w:right="200"/>
              <w:spacing w:after="0" w:line="153" w:lineRule="exact"/>
              <w:rPr>
                <w:sz w:val="20"/>
                <w:szCs w:val="20"/>
                <w:color w:val="auto"/>
              </w:rPr>
            </w:pPr>
            <w:r>
              <w:rPr>
                <w:rFonts w:ascii="Arial" w:cs="Arial" w:eastAsia="Arial" w:hAnsi="Arial"/>
                <w:sz w:val="14"/>
                <w:szCs w:val="14"/>
                <w:color w:val="auto"/>
              </w:rPr>
              <w:t>(24,787)</w:t>
            </w: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Arial" w:cs="Arial" w:eastAsia="Arial" w:hAnsi="Arial"/>
                <w:sz w:val="14"/>
                <w:szCs w:val="14"/>
                <w:color w:val="auto"/>
              </w:rPr>
              <w:t>Transaction costs expensed</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(2,717)</w:t>
            </w:r>
          </w:p>
        </w:tc>
        <w:tc>
          <w:tcPr>
            <w:tcW w:w="780" w:type="dxa"/>
            <w:vAlign w:val="bottom"/>
          </w:tcPr>
          <w:p>
            <w:pPr>
              <w:ind w:left="30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780" w:type="dxa"/>
            <w:vAlign w:val="bottom"/>
          </w:tcPr>
          <w:p>
            <w:pPr>
              <w:jc w:val="center"/>
              <w:ind w:left="42"/>
              <w:spacing w:after="0" w:line="149" w:lineRule="exact"/>
              <w:rPr>
                <w:sz w:val="20"/>
                <w:szCs w:val="20"/>
                <w:color w:val="auto"/>
              </w:rPr>
            </w:pPr>
            <w:r>
              <w:rPr>
                <w:rFonts w:ascii="Arial" w:cs="Arial" w:eastAsia="Arial" w:hAnsi="Arial"/>
                <w:sz w:val="14"/>
                <w:szCs w:val="14"/>
                <w:color w:val="auto"/>
                <w:w w:val="94"/>
              </w:rPr>
              <w:t>660%</w:t>
            </w:r>
          </w:p>
        </w:tc>
        <w:tc>
          <w:tcPr>
            <w:tcW w:w="0" w:type="dxa"/>
            <w:vAlign w:val="bottom"/>
          </w:tcPr>
          <w:p>
            <w:pPr>
              <w:spacing w:after="0"/>
              <w:rPr>
                <w:sz w:val="1"/>
                <w:szCs w:val="1"/>
                <w:color w:val="auto"/>
              </w:rPr>
            </w:pPr>
          </w:p>
        </w:tc>
      </w:tr>
      <w:tr>
        <w:trPr>
          <w:trHeight w:val="167"/>
        </w:trPr>
        <w:tc>
          <w:tcPr>
            <w:tcW w:w="3280" w:type="dxa"/>
            <w:vAlign w:val="bottom"/>
          </w:tcPr>
          <w:p>
            <w:pPr>
              <w:ind w:left="180"/>
              <w:spacing w:after="0"/>
              <w:rPr>
                <w:sz w:val="20"/>
                <w:szCs w:val="20"/>
                <w:color w:val="auto"/>
              </w:rPr>
            </w:pPr>
            <w:r>
              <w:rPr>
                <w:rFonts w:ascii="Arial" w:cs="Arial" w:eastAsia="Arial" w:hAnsi="Arial"/>
                <w:sz w:val="14"/>
                <w:szCs w:val="14"/>
                <w:color w:val="auto"/>
              </w:rPr>
              <w:t>Other (expense) income, net</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4"/>
                <w:szCs w:val="14"/>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(536)</w:t>
            </w:r>
          </w:p>
        </w:tc>
        <w:tc>
          <w:tcPr>
            <w:tcW w:w="780" w:type="dxa"/>
            <w:vAlign w:val="bottom"/>
          </w:tcPr>
          <w:p>
            <w:pPr>
              <w:jc w:val="center"/>
              <w:ind w:left="62"/>
              <w:spacing w:after="0"/>
              <w:rPr>
                <w:sz w:val="20"/>
                <w:szCs w:val="20"/>
                <w:color w:val="auto"/>
              </w:rPr>
            </w:pPr>
            <w:r>
              <w:rPr>
                <w:rFonts w:ascii="Arial" w:cs="Arial" w:eastAsia="Arial" w:hAnsi="Arial"/>
                <w:sz w:val="14"/>
                <w:szCs w:val="14"/>
                <w:color w:val="auto"/>
                <w:w w:val="96"/>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80"/>
        <w:spacing w:after="0"/>
        <w:rPr>
          <w:sz w:val="20"/>
          <w:szCs w:val="20"/>
          <w:color w:val="auto"/>
        </w:rPr>
      </w:pPr>
      <w:r>
        <w:rPr>
          <w:rFonts w:ascii="Arial" w:cs="Arial" w:eastAsia="Arial" w:hAnsi="Arial"/>
          <w:sz w:val="14"/>
          <w:szCs w:val="14"/>
          <w:b w:val="1"/>
          <w:bCs w:val="1"/>
          <w:color w:val="auto"/>
        </w:rPr>
        <w:t>Nine Months Ended</w:t>
      </w:r>
    </w:p>
    <w:p>
      <w:pPr>
        <w:jc w:val="center"/>
        <w:ind w:right="20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8"/>
              </w:rPr>
              <w:t>$ change</w:t>
            </w:r>
          </w:p>
        </w:tc>
        <w:tc>
          <w:tcPr>
            <w:tcW w:w="7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3"/>
        </w:trPr>
        <w:tc>
          <w:tcPr>
            <w:tcW w:w="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342</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377</w:t>
            </w:r>
          </w:p>
        </w:tc>
        <w:tc>
          <w:tcPr>
            <w:tcW w:w="200" w:type="dxa"/>
            <w:vAlign w:val="bottom"/>
          </w:tcPr>
          <w:p>
            <w:pPr>
              <w:spacing w:after="0"/>
              <w:rPr>
                <w:sz w:val="10"/>
                <w:szCs w:val="10"/>
                <w:color w:val="auto"/>
              </w:rPr>
            </w:pPr>
          </w:p>
        </w:tc>
        <w:tc>
          <w:tcPr>
            <w:tcW w:w="780" w:type="dxa"/>
            <w:vAlign w:val="bottom"/>
            <w:tcBorders>
              <w:top w:val="single" w:sz="8" w:color="auto"/>
            </w:tcBorders>
          </w:tcPr>
          <w:p>
            <w:pPr>
              <w:jc w:val="center"/>
              <w:ind w:left="22"/>
              <w:spacing w:after="0" w:line="123" w:lineRule="exact"/>
              <w:rPr>
                <w:sz w:val="20"/>
                <w:szCs w:val="20"/>
                <w:color w:val="auto"/>
              </w:rPr>
            </w:pPr>
            <w:r>
              <w:rPr>
                <w:rFonts w:ascii="Arial" w:cs="Arial" w:eastAsia="Arial" w:hAnsi="Arial"/>
                <w:sz w:val="14"/>
                <w:szCs w:val="14"/>
                <w:color w:val="auto"/>
                <w:w w:val="89"/>
              </w:rPr>
              <w:t>110%</w:t>
            </w: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2,874</w:t>
            </w:r>
          </w:p>
        </w:tc>
        <w:tc>
          <w:tcPr>
            <w:tcW w:w="200" w:type="dxa"/>
            <w:vAlign w:val="bottom"/>
          </w:tcPr>
          <w:p>
            <w:pPr>
              <w:spacing w:after="0"/>
              <w:rPr>
                <w:sz w:val="14"/>
                <w:szCs w:val="14"/>
                <w:color w:val="auto"/>
              </w:rPr>
            </w:pPr>
          </w:p>
        </w:tc>
        <w:tc>
          <w:tcPr>
            <w:tcW w:w="780" w:type="dxa"/>
            <w:vAlign w:val="bottom"/>
          </w:tcPr>
          <w:p>
            <w:pPr>
              <w:jc w:val="center"/>
              <w:ind w:left="22"/>
              <w:spacing w:after="0"/>
              <w:rPr>
                <w:sz w:val="20"/>
                <w:szCs w:val="20"/>
                <w:color w:val="auto"/>
              </w:rPr>
            </w:pPr>
            <w:r>
              <w:rPr>
                <w:rFonts w:ascii="Arial" w:cs="Arial" w:eastAsia="Arial" w:hAnsi="Arial"/>
                <w:sz w:val="14"/>
                <w:szCs w:val="14"/>
                <w:color w:val="auto"/>
                <w:w w:val="89"/>
              </w:rPr>
              <w:t>523%</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vMerge w:val="restart"/>
          </w:tcPr>
          <w:p>
            <w:pPr>
              <w:ind w:left="28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line="20" w:lineRule="exact"/>
              <w:rPr>
                <w:sz w:val="1"/>
                <w:szCs w:val="1"/>
                <w:color w:val="auto"/>
              </w:rPr>
            </w:pPr>
          </w:p>
        </w:tc>
      </w:tr>
      <w:tr>
        <w:trPr>
          <w:trHeight w:val="211"/>
        </w:trPr>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(2,705)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(2,497)</w:t>
            </w: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586,579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341,589</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244,990</w:t>
            </w:r>
          </w:p>
        </w:tc>
        <w:tc>
          <w:tcPr>
            <w:tcW w:w="200" w:type="dxa"/>
            <w:vAlign w:val="bottom"/>
          </w:tcPr>
          <w:p>
            <w:pPr>
              <w:spacing w:after="0"/>
              <w:rPr>
                <w:sz w:val="22"/>
                <w:szCs w:val="22"/>
                <w:color w:val="auto"/>
              </w:rPr>
            </w:pPr>
          </w:p>
        </w:tc>
        <w:tc>
          <w:tcPr>
            <w:tcW w:w="780" w:type="dxa"/>
            <w:vAlign w:val="bottom"/>
          </w:tcPr>
          <w:p>
            <w:pPr>
              <w:jc w:val="center"/>
              <w:ind w:left="22"/>
              <w:spacing w:after="0"/>
              <w:rPr>
                <w:sz w:val="20"/>
                <w:szCs w:val="20"/>
                <w:color w:val="auto"/>
              </w:rPr>
            </w:pPr>
            <w:r>
              <w:rPr>
                <w:rFonts w:ascii="Arial" w:cs="Arial" w:eastAsia="Arial" w:hAnsi="Arial"/>
                <w:sz w:val="14"/>
                <w:szCs w:val="14"/>
                <w:color w:val="auto"/>
                <w:w w:val="99"/>
              </w:rPr>
              <w:t>72%</w:t>
            </w: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455,478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57,719</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397,759</w:t>
            </w:r>
          </w:p>
        </w:tc>
        <w:tc>
          <w:tcPr>
            <w:tcW w:w="200" w:type="dxa"/>
            <w:vAlign w:val="bottom"/>
          </w:tcPr>
          <w:p>
            <w:pPr>
              <w:spacing w:after="0"/>
              <w:rPr>
                <w:sz w:val="14"/>
                <w:szCs w:val="14"/>
                <w:color w:val="auto"/>
              </w:rPr>
            </w:pPr>
          </w:p>
        </w:tc>
        <w:tc>
          <w:tcPr>
            <w:tcW w:w="780" w:type="dxa"/>
            <w:vAlign w:val="bottom"/>
          </w:tcPr>
          <w:p>
            <w:pPr>
              <w:jc w:val="center"/>
              <w:ind w:left="22"/>
              <w:spacing w:after="0"/>
              <w:rPr>
                <w:sz w:val="20"/>
                <w:szCs w:val="20"/>
                <w:color w:val="auto"/>
              </w:rPr>
            </w:pPr>
            <w:r>
              <w:rPr>
                <w:rFonts w:ascii="Arial" w:cs="Arial" w:eastAsia="Arial" w:hAnsi="Arial"/>
                <w:sz w:val="14"/>
                <w:szCs w:val="14"/>
                <w:color w:val="auto"/>
                <w:w w:val="89"/>
              </w:rPr>
              <w:t>689%</w:t>
            </w:r>
          </w:p>
        </w:tc>
        <w:tc>
          <w:tcPr>
            <w:tcW w:w="0" w:type="dxa"/>
            <w:vAlign w:val="bottom"/>
          </w:tcPr>
          <w:p>
            <w:pPr>
              <w:spacing w:after="0"/>
              <w:rPr>
                <w:sz w:val="1"/>
                <w:szCs w:val="1"/>
                <w:color w:val="auto"/>
              </w:rPr>
            </w:pPr>
          </w:p>
        </w:tc>
      </w:tr>
      <w:tr>
        <w:trPr>
          <w:trHeight w:val="142"/>
        </w:trPr>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1,042,057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399,308</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642,749</w:t>
            </w:r>
          </w:p>
        </w:tc>
        <w:tc>
          <w:tcPr>
            <w:tcW w:w="200" w:type="dxa"/>
            <w:vAlign w:val="bottom"/>
          </w:tcPr>
          <w:p>
            <w:pPr>
              <w:spacing w:after="0"/>
              <w:rPr>
                <w:sz w:val="12"/>
                <w:szCs w:val="12"/>
                <w:color w:val="auto"/>
              </w:rPr>
            </w:pPr>
          </w:p>
        </w:tc>
        <w:tc>
          <w:tcPr>
            <w:tcW w:w="780" w:type="dxa"/>
            <w:vAlign w:val="bottom"/>
          </w:tcPr>
          <w:p>
            <w:pPr>
              <w:jc w:val="center"/>
              <w:ind w:left="22"/>
              <w:spacing w:after="0" w:line="142" w:lineRule="exact"/>
              <w:rPr>
                <w:sz w:val="20"/>
                <w:szCs w:val="20"/>
                <w:color w:val="auto"/>
              </w:rPr>
            </w:pPr>
            <w:r>
              <w:rPr>
                <w:rFonts w:ascii="Arial" w:cs="Arial" w:eastAsia="Arial" w:hAnsi="Arial"/>
                <w:sz w:val="14"/>
                <w:szCs w:val="14"/>
                <w:color w:val="auto"/>
                <w:w w:val="89"/>
              </w:rPr>
              <w:t>161%</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9"/>
              </w:rPr>
              <w:t>(1,044,762)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(399,516)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(645,246)</w:t>
            </w:r>
          </w:p>
        </w:tc>
        <w:tc>
          <w:tcPr>
            <w:tcW w:w="200" w:type="dxa"/>
            <w:vAlign w:val="bottom"/>
          </w:tcPr>
          <w:p>
            <w:pPr>
              <w:spacing w:after="0"/>
              <w:rPr>
                <w:sz w:val="15"/>
                <w:szCs w:val="15"/>
                <w:color w:val="auto"/>
              </w:rPr>
            </w:pPr>
          </w:p>
        </w:tc>
        <w:tc>
          <w:tcPr>
            <w:tcW w:w="780" w:type="dxa"/>
            <w:vAlign w:val="bottom"/>
          </w:tcPr>
          <w:p>
            <w:pPr>
              <w:jc w:val="center"/>
              <w:ind w:left="22"/>
              <w:spacing w:after="0"/>
              <w:rPr>
                <w:sz w:val="20"/>
                <w:szCs w:val="20"/>
                <w:color w:val="auto"/>
              </w:rPr>
            </w:pPr>
            <w:r>
              <w:rPr>
                <w:rFonts w:ascii="Arial" w:cs="Arial" w:eastAsia="Arial" w:hAnsi="Arial"/>
                <w:sz w:val="14"/>
                <w:szCs w:val="14"/>
                <w:color w:val="auto"/>
                <w:w w:val="89"/>
              </w:rPr>
              <w:t>162%</w:t>
            </w:r>
          </w:p>
        </w:tc>
        <w:tc>
          <w:tcPr>
            <w:tcW w:w="0" w:type="dxa"/>
            <w:vAlign w:val="bottom"/>
          </w:tcPr>
          <w:p>
            <w:pPr>
              <w:spacing w:after="0"/>
              <w:rPr>
                <w:sz w:val="1"/>
                <w:szCs w:val="1"/>
                <w:color w:val="auto"/>
              </w:rPr>
            </w:pPr>
          </w:p>
        </w:tc>
      </w:tr>
      <w:tr>
        <w:trPr>
          <w:trHeight w:val="346"/>
        </w:trPr>
        <w:tc>
          <w:tcPr>
            <w:tcW w:w="1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(454,546)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(8,719)</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(445,827)</w:t>
            </w:r>
          </w:p>
        </w:tc>
        <w:tc>
          <w:tcPr>
            <w:tcW w:w="780" w:type="dxa"/>
            <w:vAlign w:val="bottom"/>
          </w:tcPr>
          <w:p>
            <w:pPr>
              <w:ind w:left="28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(6,976)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(6,805)</w:t>
            </w:r>
          </w:p>
        </w:tc>
        <w:tc>
          <w:tcPr>
            <w:tcW w:w="780" w:type="dxa"/>
            <w:vAlign w:val="bottom"/>
          </w:tcPr>
          <w:p>
            <w:pPr>
              <w:ind w:left="28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(24,787)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(24,787)</w:t>
            </w:r>
          </w:p>
        </w:tc>
        <w:tc>
          <w:tcPr>
            <w:tcW w:w="780" w:type="dxa"/>
            <w:vAlign w:val="bottom"/>
          </w:tcPr>
          <w:p>
            <w:pPr>
              <w:ind w:left="28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(2,717)</w:t>
            </w:r>
          </w:p>
        </w:tc>
        <w:tc>
          <w:tcPr>
            <w:tcW w:w="780" w:type="dxa"/>
            <w:vAlign w:val="bottom"/>
          </w:tcPr>
          <w:p>
            <w:pPr>
              <w:ind w:left="28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w:t>
            </w:r>
          </w:p>
        </w:tc>
        <w:tc>
          <w:tcPr>
            <w:tcW w:w="780" w:type="dxa"/>
            <w:vAlign w:val="bottom"/>
          </w:tcPr>
          <w:p>
            <w:pPr>
              <w:jc w:val="center"/>
              <w:ind w:left="22"/>
              <w:spacing w:after="0" w:line="149" w:lineRule="exact"/>
              <w:rPr>
                <w:sz w:val="20"/>
                <w:szCs w:val="20"/>
                <w:color w:val="auto"/>
              </w:rPr>
            </w:pPr>
            <w:r>
              <w:rPr>
                <w:rFonts w:ascii="Arial" w:cs="Arial" w:eastAsia="Arial" w:hAnsi="Arial"/>
                <w:sz w:val="14"/>
                <w:szCs w:val="14"/>
                <w:color w:val="auto"/>
                <w:w w:val="89"/>
              </w:rPr>
              <w:t>455%</w:t>
            </w: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(227)</w:t>
            </w:r>
          </w:p>
        </w:tc>
        <w:tc>
          <w:tcPr>
            <w:tcW w:w="780" w:type="dxa"/>
            <w:vAlign w:val="bottom"/>
          </w:tcPr>
          <w:p>
            <w:pPr>
              <w:jc w:val="center"/>
              <w:ind w:left="22"/>
              <w:spacing w:after="0"/>
              <w:rPr>
                <w:sz w:val="20"/>
                <w:szCs w:val="20"/>
                <w:color w:val="auto"/>
              </w:rPr>
            </w:pPr>
            <w:r>
              <w:rPr>
                <w:rFonts w:ascii="Arial" w:cs="Arial" w:eastAsia="Arial" w:hAnsi="Arial"/>
                <w:sz w:val="14"/>
                <w:szCs w:val="14"/>
                <w:color w:val="auto"/>
                <w:w w:val="97"/>
              </w:rPr>
              <w:t>(299)%</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7180" w:space="220"/>
            <w:col w:w="384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31"/>
        </w:trPr>
        <w:tc>
          <w:tcPr>
            <w:tcW w:w="3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*nm</w:t>
            </w: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line="20" w:lineRule="exact"/>
              <w:rPr>
                <w:sz w:val="1"/>
                <w:szCs w:val="1"/>
                <w:color w:val="auto"/>
              </w:rPr>
            </w:pPr>
          </w:p>
        </w:tc>
      </w:tr>
      <w:tr>
        <w:trPr>
          <w:trHeight w:val="176"/>
        </w:trPr>
        <w:tc>
          <w:tcPr>
            <w:tcW w:w="3280" w:type="dxa"/>
            <w:vAlign w:val="bottom"/>
          </w:tcPr>
          <w:p>
            <w:pPr>
              <w:ind w:left="340"/>
              <w:spacing w:after="0"/>
              <w:rPr>
                <w:sz w:val="20"/>
                <w:szCs w:val="20"/>
                <w:color w:val="auto"/>
              </w:rPr>
            </w:pPr>
            <w:r>
              <w:rPr>
                <w:rFonts w:ascii="Arial" w:cs="Arial" w:eastAsia="Arial" w:hAnsi="Arial"/>
                <w:sz w:val="14"/>
                <w:szCs w:val="14"/>
                <w:color w:val="auto"/>
              </w:rPr>
              <w:t>Total other (expense) income, net</w:t>
            </w:r>
          </w:p>
        </w:tc>
        <w:tc>
          <w:tcPr>
            <w:tcW w:w="1040" w:type="dxa"/>
            <w:vAlign w:val="bottom"/>
            <w:gridSpan w:val="2"/>
          </w:tcPr>
          <w:p>
            <w:pPr>
              <w:jc w:val="right"/>
              <w:ind w:right="159"/>
              <w:spacing w:after="0"/>
              <w:rPr>
                <w:sz w:val="20"/>
                <w:szCs w:val="20"/>
                <w:color w:val="auto"/>
              </w:rPr>
            </w:pPr>
            <w:r>
              <w:rPr>
                <w:rFonts w:ascii="Arial" w:cs="Arial" w:eastAsia="Arial" w:hAnsi="Arial"/>
                <w:sz w:val="14"/>
                <w:szCs w:val="14"/>
                <w:color w:val="auto"/>
              </w:rPr>
              <w:t>(27,331)</w:t>
            </w:r>
          </w:p>
        </w:tc>
        <w:tc>
          <w:tcPr>
            <w:tcW w:w="180" w:type="dxa"/>
            <w:vAlign w:val="bottom"/>
          </w:tcPr>
          <w:p>
            <w:pPr>
              <w:spacing w:after="0"/>
              <w:rPr>
                <w:sz w:val="15"/>
                <w:szCs w:val="15"/>
                <w:color w:val="auto"/>
              </w:rPr>
            </w:pPr>
          </w:p>
        </w:tc>
        <w:tc>
          <w:tcPr>
            <w:tcW w:w="860" w:type="dxa"/>
            <w:vAlign w:val="bottom"/>
            <w:gridSpan w:val="2"/>
          </w:tcPr>
          <w:p>
            <w:pPr>
              <w:jc w:val="right"/>
              <w:ind w:right="199"/>
              <w:spacing w:after="0"/>
              <w:rPr>
                <w:sz w:val="20"/>
                <w:szCs w:val="20"/>
                <w:color w:val="auto"/>
              </w:rPr>
            </w:pPr>
            <w:r>
              <w:rPr>
                <w:rFonts w:ascii="Arial" w:cs="Arial" w:eastAsia="Arial" w:hAnsi="Arial"/>
                <w:sz w:val="14"/>
                <w:szCs w:val="14"/>
                <w:color w:val="auto"/>
              </w:rPr>
              <w:t>718</w:t>
            </w:r>
          </w:p>
        </w:tc>
        <w:tc>
          <w:tcPr>
            <w:tcW w:w="180" w:type="dxa"/>
            <w:vAlign w:val="bottom"/>
          </w:tcPr>
          <w:p>
            <w:pPr>
              <w:spacing w:after="0"/>
              <w:rPr>
                <w:sz w:val="15"/>
                <w:szCs w:val="15"/>
                <w:color w:val="auto"/>
              </w:rPr>
            </w:pPr>
          </w:p>
        </w:tc>
        <w:tc>
          <w:tcPr>
            <w:tcW w:w="900" w:type="dxa"/>
            <w:vAlign w:val="bottom"/>
            <w:gridSpan w:val="2"/>
          </w:tcPr>
          <w:p>
            <w:pPr>
              <w:jc w:val="right"/>
              <w:ind w:right="199"/>
              <w:spacing w:after="0"/>
              <w:rPr>
                <w:sz w:val="20"/>
                <w:szCs w:val="20"/>
                <w:color w:val="auto"/>
              </w:rPr>
            </w:pPr>
            <w:r>
              <w:rPr>
                <w:rFonts w:ascii="Arial" w:cs="Arial" w:eastAsia="Arial" w:hAnsi="Arial"/>
                <w:sz w:val="14"/>
                <w:szCs w:val="14"/>
                <w:color w:val="auto"/>
              </w:rPr>
              <w:t>(28,049)</w:t>
            </w:r>
          </w:p>
        </w:tc>
        <w:tc>
          <w:tcPr>
            <w:tcW w:w="960" w:type="dxa"/>
            <w:vAlign w:val="bottom"/>
            <w:vMerge w:val="continue"/>
          </w:tcPr>
          <w:p>
            <w:pPr>
              <w:spacing w:after="0"/>
              <w:rPr>
                <w:sz w:val="15"/>
                <w:szCs w:val="15"/>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(489,288)</w:t>
            </w:r>
          </w:p>
        </w:tc>
        <w:tc>
          <w:tcPr>
            <w:tcW w:w="160" w:type="dxa"/>
            <w:vAlign w:val="bottom"/>
          </w:tcPr>
          <w:p>
            <w:pPr>
              <w:spacing w:after="0"/>
              <w:rPr>
                <w:sz w:val="15"/>
                <w:szCs w:val="15"/>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4"/>
                <w:szCs w:val="14"/>
                <w:color w:val="auto"/>
              </w:rPr>
              <w:t>(8,834)</w:t>
            </w:r>
          </w:p>
        </w:tc>
        <w:tc>
          <w:tcPr>
            <w:tcW w:w="1040" w:type="dxa"/>
            <w:vAlign w:val="bottom"/>
            <w:gridSpan w:val="2"/>
          </w:tcPr>
          <w:p>
            <w:pPr>
              <w:jc w:val="right"/>
              <w:ind w:right="148"/>
              <w:spacing w:after="0"/>
              <w:rPr>
                <w:sz w:val="20"/>
                <w:szCs w:val="20"/>
                <w:color w:val="auto"/>
              </w:rPr>
            </w:pPr>
            <w:r>
              <w:rPr>
                <w:rFonts w:ascii="Arial" w:cs="Arial" w:eastAsia="Arial" w:hAnsi="Arial"/>
                <w:sz w:val="14"/>
                <w:szCs w:val="14"/>
                <w:color w:val="auto"/>
              </w:rPr>
              <w:t>(480,454)</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99"/>
              </w:rPr>
              <w:t>Loss before provision for (benefit from) income taxes</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(524,381)</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(161,382)</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(362,999)</w:t>
            </w:r>
          </w:p>
        </w:tc>
        <w:tc>
          <w:tcPr>
            <w:tcW w:w="2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225%</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(1,534,050)</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(408,350)</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(1,125,700)</w:t>
            </w:r>
          </w:p>
        </w:tc>
        <w:tc>
          <w:tcPr>
            <w:tcW w:w="2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1040" w:type="dxa"/>
            <w:vAlign w:val="bottom"/>
            <w:gridSpan w:val="2"/>
          </w:tcPr>
          <w:p>
            <w:pPr>
              <w:jc w:val="right"/>
              <w:ind w:right="199"/>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8"/>
                <w:szCs w:val="18"/>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(145)</w:t>
            </w:r>
          </w:p>
        </w:tc>
        <w:tc>
          <w:tcPr>
            <w:tcW w:w="180" w:type="dxa"/>
            <w:vAlign w:val="bottom"/>
          </w:tcPr>
          <w:p>
            <w:pPr>
              <w:spacing w:after="0"/>
              <w:rPr>
                <w:sz w:val="18"/>
                <w:szCs w:val="18"/>
                <w:color w:val="auto"/>
              </w:rPr>
            </w:pPr>
          </w:p>
        </w:tc>
        <w:tc>
          <w:tcPr>
            <w:tcW w:w="900" w:type="dxa"/>
            <w:vAlign w:val="bottom"/>
            <w:gridSpan w:val="2"/>
          </w:tcPr>
          <w:p>
            <w:pPr>
              <w:jc w:val="right"/>
              <w:ind w:right="239"/>
              <w:spacing w:after="0"/>
              <w:rPr>
                <w:sz w:val="20"/>
                <w:szCs w:val="20"/>
                <w:color w:val="auto"/>
              </w:rPr>
            </w:pPr>
            <w:r>
              <w:rPr>
                <w:rFonts w:ascii="Arial" w:cs="Arial" w:eastAsia="Arial" w:hAnsi="Arial"/>
                <w:sz w:val="14"/>
                <w:szCs w:val="14"/>
                <w:color w:val="auto"/>
              </w:rPr>
              <w:t>167</w:t>
            </w:r>
          </w:p>
        </w:tc>
        <w:tc>
          <w:tcPr>
            <w:tcW w:w="960" w:type="dxa"/>
            <w:vAlign w:val="bottom"/>
          </w:tcPr>
          <w:p>
            <w:pPr>
              <w:ind w:left="260"/>
              <w:spacing w:after="0"/>
              <w:rPr>
                <w:sz w:val="20"/>
                <w:szCs w:val="20"/>
                <w:color w:val="auto"/>
              </w:rPr>
            </w:pPr>
            <w:r>
              <w:rPr>
                <w:rFonts w:ascii="Arial" w:cs="Arial" w:eastAsia="Arial" w:hAnsi="Arial"/>
                <w:sz w:val="18"/>
                <w:szCs w:val="18"/>
                <w:i w:val="1"/>
                <w:iCs w:val="1"/>
                <w:color w:val="auto"/>
              </w:rPr>
              <w:t>*nm</w:t>
            </w:r>
          </w:p>
        </w:tc>
        <w:tc>
          <w:tcPr>
            <w:tcW w:w="1000" w:type="dxa"/>
            <w:vAlign w:val="bottom"/>
            <w:gridSpan w:val="2"/>
          </w:tcPr>
          <w:p>
            <w:pPr>
              <w:jc w:val="right"/>
              <w:ind w:right="179"/>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8"/>
                <w:szCs w:val="18"/>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4"/>
                <w:szCs w:val="14"/>
                <w:color w:val="auto"/>
              </w:rPr>
              <w:t>(245)</w:t>
            </w:r>
          </w:p>
        </w:tc>
        <w:tc>
          <w:tcPr>
            <w:tcW w:w="1040" w:type="dxa"/>
            <w:vAlign w:val="bottom"/>
            <w:gridSpan w:val="2"/>
          </w:tcPr>
          <w:p>
            <w:pPr>
              <w:jc w:val="right"/>
              <w:ind w:right="208"/>
              <w:spacing w:after="0"/>
              <w:rPr>
                <w:sz w:val="20"/>
                <w:szCs w:val="20"/>
                <w:color w:val="auto"/>
              </w:rPr>
            </w:pPr>
            <w:r>
              <w:rPr>
                <w:rFonts w:ascii="Arial" w:cs="Arial" w:eastAsia="Arial" w:hAnsi="Arial"/>
                <w:sz w:val="14"/>
                <w:szCs w:val="14"/>
                <w:color w:val="auto"/>
              </w:rPr>
              <w:t>276</w:t>
            </w:r>
          </w:p>
        </w:tc>
        <w:tc>
          <w:tcPr>
            <w:tcW w:w="820" w:type="dxa"/>
            <w:vAlign w:val="bottom"/>
          </w:tcPr>
          <w:p>
            <w:pPr>
              <w:ind w:left="22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loss and comprehensive loss</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(524,403</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(161,237</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(363,166</w:t>
            </w:r>
          </w:p>
        </w:tc>
        <w:tc>
          <w:tcPr>
            <w:tcW w:w="280" w:type="dxa"/>
            <w:vAlign w:val="bottom"/>
            <w:tcBorders>
              <w:top w:val="single" w:sz="8" w:color="CCEEFF"/>
              <w:bottom w:val="single" w:sz="8" w:color="CCEEFF"/>
            </w:tcBorders>
            <w:shd w:val="clear" w:color="auto" w:fill="CCEEFF"/>
          </w:tcPr>
          <w:p>
            <w:pPr>
              <w:jc w:val="right"/>
              <w:ind w:right="199"/>
              <w:spacing w:after="0"/>
              <w:rPr>
                <w:sz w:val="20"/>
                <w:szCs w:val="20"/>
                <w:color w:val="auto"/>
              </w:rPr>
            </w:pPr>
            <w:r>
              <w:rPr>
                <w:rFonts w:ascii="Arial" w:cs="Arial" w:eastAsia="Arial" w:hAnsi="Arial"/>
                <w:sz w:val="8"/>
                <w:szCs w:val="8"/>
                <w:color w:val="auto"/>
                <w:w w:val="73"/>
              </w:rPr>
              <w:t>)</w:t>
            </w:r>
          </w:p>
        </w:tc>
        <w:tc>
          <w:tcPr>
            <w:tcW w:w="960" w:type="dxa"/>
            <w:vAlign w:val="bottom"/>
            <w:tcBorders>
              <w:top w:val="single" w:sz="8" w:color="CCEEFF"/>
              <w:bottom w:val="single" w:sz="8" w:color="CCEEFF"/>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225%</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 (1,534,081</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(408,105</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(1,125,976</w:t>
            </w:r>
          </w:p>
        </w:tc>
        <w:tc>
          <w:tcPr>
            <w:tcW w:w="280" w:type="dxa"/>
            <w:vAlign w:val="bottom"/>
            <w:tcBorders>
              <w:top w:val="single" w:sz="8" w:color="CCEEFF"/>
              <w:bottom w:val="single" w:sz="8" w:color="CCEEF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84"/>
              </w:rPr>
              <w:t>)</w:t>
            </w:r>
          </w:p>
        </w:tc>
        <w:tc>
          <w:tcPr>
            <w:tcW w:w="820" w:type="dxa"/>
            <w:vAlign w:val="bottom"/>
            <w:tcBorders>
              <w:top w:val="single" w:sz="8" w:color="CCEEFF"/>
              <w:bottom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197"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Includes stock-based compensation expense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59,196</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679</w:t>
            </w: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58,517</w:t>
            </w:r>
          </w:p>
        </w:tc>
        <w:tc>
          <w:tcPr>
            <w:tcW w:w="0" w:type="dxa"/>
            <w:vAlign w:val="bottom"/>
          </w:tcPr>
          <w:p>
            <w:pPr>
              <w:spacing w:after="0"/>
              <w:rPr>
                <w:sz w:val="1"/>
                <w:szCs w:val="1"/>
                <w:color w:val="auto"/>
              </w:rPr>
            </w:pPr>
          </w:p>
        </w:tc>
      </w:tr>
      <w:tr>
        <w:trPr>
          <w:trHeight w:val="201"/>
        </w:trPr>
        <w:tc>
          <w:tcPr>
            <w:tcW w:w="328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177,163</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236,956</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1,276</w:t>
            </w: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235,680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80"/>
        <w:spacing w:after="0"/>
        <w:rPr>
          <w:sz w:val="20"/>
          <w:szCs w:val="20"/>
          <w:color w:val="auto"/>
        </w:rPr>
      </w:pPr>
      <w:r>
        <w:rPr>
          <w:rFonts w:ascii="Arial" w:cs="Arial" w:eastAsia="Arial" w:hAnsi="Arial"/>
          <w:sz w:val="14"/>
          <w:szCs w:val="14"/>
          <w:b w:val="1"/>
          <w:bCs w:val="1"/>
          <w:color w:val="auto"/>
        </w:rPr>
        <w:t>Nine Months Ended</w:t>
      </w:r>
    </w:p>
    <w:p>
      <w:pPr>
        <w:jc w:val="center"/>
        <w:ind w:right="10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780" w:type="dxa"/>
            <w:vAlign w:val="bottom"/>
          </w:tcPr>
          <w:p>
            <w:pPr>
              <w:ind w:left="300"/>
              <w:spacing w:after="0" w:line="195" w:lineRule="exact"/>
              <w:rPr>
                <w:sz w:val="20"/>
                <w:szCs w:val="20"/>
                <w:color w:val="auto"/>
              </w:rPr>
            </w:pPr>
            <w:r>
              <w:rPr>
                <w:rFonts w:ascii="Arial" w:cs="Arial" w:eastAsia="Arial" w:hAnsi="Arial"/>
                <w:sz w:val="18"/>
                <w:szCs w:val="18"/>
                <w:i w:val="1"/>
                <w:iCs w:val="1"/>
                <w:color w:val="auto"/>
              </w:rPr>
              <w:t>*nm</w:t>
            </w:r>
          </w:p>
        </w:tc>
        <w:tc>
          <w:tcPr>
            <w:tcW w:w="2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85,899</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2,072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83,827</w:t>
            </w:r>
          </w:p>
        </w:tc>
        <w:tc>
          <w:tcPr>
            <w:tcW w:w="220" w:type="dxa"/>
            <w:vAlign w:val="bottom"/>
          </w:tcPr>
          <w:p>
            <w:pPr>
              <w:spacing w:after="0"/>
              <w:rPr>
                <w:sz w:val="16"/>
                <w:szCs w:val="16"/>
                <w:color w:val="auto"/>
              </w:rPr>
            </w:pPr>
          </w:p>
        </w:tc>
        <w:tc>
          <w:tcPr>
            <w:tcW w:w="780" w:type="dxa"/>
            <w:vAlign w:val="bottom"/>
          </w:tcPr>
          <w:p>
            <w:pPr>
              <w:ind w:left="280"/>
              <w:spacing w:after="0" w:line="195" w:lineRule="exact"/>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1000" w:type="dxa"/>
            <w:vAlign w:val="bottom"/>
            <w:gridSpan w:val="2"/>
          </w:tcPr>
          <w:p>
            <w:pPr>
              <w:ind w:left="300"/>
              <w:spacing w:after="0"/>
              <w:rPr>
                <w:sz w:val="20"/>
                <w:szCs w:val="20"/>
                <w:color w:val="auto"/>
              </w:rPr>
            </w:pPr>
            <w:r>
              <w:rPr>
                <w:rFonts w:ascii="Arial" w:cs="Arial" w:eastAsia="Arial" w:hAnsi="Arial"/>
                <w:sz w:val="18"/>
                <w:szCs w:val="18"/>
                <w:i w:val="1"/>
                <w:iCs w:val="1"/>
                <w:color w:val="auto"/>
              </w:rPr>
              <w:t>*nm</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280,301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279,116</w:t>
            </w:r>
          </w:p>
        </w:tc>
        <w:tc>
          <w:tcPr>
            <w:tcW w:w="220" w:type="dxa"/>
            <w:vAlign w:val="bottom"/>
          </w:tcPr>
          <w:p>
            <w:pPr>
              <w:spacing w:after="0"/>
              <w:rPr>
                <w:sz w:val="20"/>
                <w:szCs w:val="20"/>
                <w:color w:val="auto"/>
              </w:rPr>
            </w:pPr>
          </w:p>
        </w:tc>
        <w:tc>
          <w:tcPr>
            <w:tcW w:w="780" w:type="dxa"/>
            <w:vAlign w:val="bottom"/>
          </w:tcPr>
          <w:p>
            <w:pPr>
              <w:ind w:left="28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
        </w:trPr>
        <w:tc>
          <w:tcPr>
            <w:tcW w:w="1000" w:type="dxa"/>
            <w:vAlign w:val="bottom"/>
            <w:gridSpan w:val="2"/>
            <w:vMerge w:val="restart"/>
          </w:tcPr>
          <w:p>
            <w:pPr>
              <w:ind w:left="300"/>
              <w:spacing w:after="0" w:line="202" w:lineRule="exact"/>
              <w:rPr>
                <w:sz w:val="20"/>
                <w:szCs w:val="20"/>
                <w:color w:val="auto"/>
              </w:rPr>
            </w:pPr>
            <w:r>
              <w:rPr>
                <w:rFonts w:ascii="Arial" w:cs="Arial" w:eastAsia="Arial" w:hAnsi="Arial"/>
                <w:sz w:val="18"/>
                <w:szCs w:val="18"/>
                <w:i w:val="1"/>
                <w:iCs w:val="1"/>
                <w:color w:val="auto"/>
              </w:rPr>
              <w:t>*nm</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vMerge w:val="restart"/>
          </w:tcPr>
          <w:p>
            <w:pPr>
              <w:ind w:left="280"/>
              <w:spacing w:after="0" w:line="202" w:lineRule="exact"/>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line="20" w:lineRule="exact"/>
              <w:rPr>
                <w:sz w:val="1"/>
                <w:szCs w:val="1"/>
                <w:color w:val="auto"/>
              </w:rPr>
            </w:pPr>
          </w:p>
        </w:tc>
      </w:tr>
      <w:tr>
        <w:trPr>
          <w:trHeight w:val="183"/>
        </w:trPr>
        <w:tc>
          <w:tcPr>
            <w:tcW w:w="1000" w:type="dxa"/>
            <w:vAlign w:val="bottom"/>
            <w:gridSpan w:val="2"/>
            <w:vMerge w:val="continue"/>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366,200</w:t>
            </w:r>
          </w:p>
        </w:tc>
        <w:tc>
          <w:tcPr>
            <w:tcW w:w="10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3,257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362,943</w:t>
            </w:r>
          </w:p>
        </w:tc>
        <w:tc>
          <w:tcPr>
            <w:tcW w:w="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0" w:lineRule="exact"/>
        <w:rPr>
          <w:sz w:val="20"/>
          <w:szCs w:val="20"/>
          <w:color w:val="auto"/>
        </w:rPr>
      </w:pPr>
    </w:p>
    <w:p>
      <w:pPr>
        <w:sectPr>
          <w:pgSz w:w="11900" w:h="16838" w:orient="portrait"/>
          <w:cols w:equalWidth="0" w:num="2">
            <w:col w:w="6160" w:space="240"/>
            <w:col w:w="4840"/>
          </w:cols>
          <w:pgMar w:left="320" w:top="904" w:right="339" w:bottom="1440" w:gutter="0" w:footer="0" w:header="0"/>
          <w:type w:val="continuous"/>
        </w:sectPr>
      </w:pP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we have primarily generated revenue from the sales of battery pack systems, supplies and related services for vehicles to a single customer. We have identified the sale of battery pack systems and the related supplies as a performance obligation to be recognized at the point in time when control is transferred to the customer. While our customer generally has the right to return defective or non-conforming products, product returns have been immaterial in past periods. We do not expect the sales from the battery pack systems for the world’s premier electric racing series to be material for the go-forward commercialized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decreased by $0.1 million, or 31%, for the three months ended September 30, 2021 as compared to the same period in the prior year. The decrease is attributable to a decrease in sales of our battery pack systems and supplies for vehicles.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by $0.4 million, or over 100%, for the nine months ended September 30, 2021 as compared to the same period in the prior year. The increase is attributable to an increase in sales of our battery pack systems and supplies for vehicles.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revenue related to battery pack systems, supplies and related services for electric vehicles primarily consists of direct parts and materials, shipping and handling costs, headcount related costs, such as salaries and related personnel expenses, including stock-based compensation, and estimated warranty expenses related to battery pack systems. Cost of revenue also includes allocated overhead costs such as depreciation of manufacturing related equipment and facilities, amortization of capitalized internal-use software, facilities, and information technology costs.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commenced commercial production of the Lucid Air, and we expect to capitalize the cost to manufacture vehicles and expense these capitalized inventory costs in the fourth quarter of 2021 when the vehicles are sold within cost of revenue. We have not capitalized any vehicle manufacturing costs to date.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increased by $2.7 million, or over 100% for the three months ended September 30, 2021 as compared to the same period in the prior year. The increase was due to cost incurred during the early stage of production that began during the quarter. Gross loss increased by $2.8 million, or over 100%, and gross margin decreased by over 100% primarily due to an increase in cost of revenue in the current period.</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increased by $2.9 million, or over 100%, for the nine months ended September 30, 2021 as compared to the same period in the prior year. The increase was due to cost incurred during the early stage of production that began during the quarter. Gross loss increased by $2.5 million, or over 100%, and gross margin decreased by over 100% primarily due to an increase in cost of revenue for the nine months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consist of research and development and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professional services fees, allocated facilities costs, such as office and rent expense and depreciation expense, and other engineering, designing, and testing expenses.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by $108.5 million, or 81%, for the three months ended September 30, 2021 as compared to the same period in the prior year. The increase was primarily attributable to increases in personnel-related expenses of $100.4 million due to growth in headcount and stock-based compensation expense of $58.5 million recognized in relation to the RSUs. Additionally, we incurred increase in other allocated overhead expense of $8.6 million primarily related to additional facilities needed to scale our business.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 increased by $245.0 million, or 72%, for the nine months ended September 30, 2021 as compared to the same period in the prior year. The increase was primarily attributable to increases in personnel-related expenses of $194.4 due to growth in headcount and stock-based compensation expense of $83.8 million recognized in relation to the RSUs and the fourth closing of the Legacy Lucid Series E preferred stock issuance. Additionally, we incurred increases in office and rent expense of $21.5 million and other allocated overhead expenses of $18.3 million primarily related to additional facilities needed to scale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consist primarily of personnel-related expenses for employees involved in general corporate, selling and marketing functions, including executive management and administration, legal, human resources, accounting, finance, tax, and information technology. Personnel-related expenses primarily include salaries, benefits and share-based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286" w:lineRule="auto"/>
        <w:rPr>
          <w:sz w:val="20"/>
          <w:szCs w:val="20"/>
          <w:color w:val="auto"/>
        </w:rPr>
      </w:pPr>
      <w:r>
        <w:rPr>
          <w:rFonts w:ascii="Arial" w:cs="Arial" w:eastAsia="Arial" w:hAnsi="Arial"/>
          <w:sz w:val="17"/>
          <w:szCs w:val="17"/>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Selling, general, and administrative expense increased by $223.6 million, or over 100%, for the three months ended September 30, 2021 as compared to the same period in the prior year. The increase was primarily attributable to increases in share-based compensation expense of $177.2 million related to RSUs. The increase was also attributable to personnel-related expenses of $26.6 million due to growth in headcount and other compensation related charges as we grew our sales force and expanded general and administrative functions needed to scale our business. Additionally, we incurred increase in other allocated overhead costs of $9.1 million primarily related to additional facilities to support the growing operations of our business.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expense increased by $397.8 million, or over 100%, for the nine months ended September 30, 2021 as compared to the same period in the prior year. The increase was primarily attributable to increases in share-based compensation expense of $279.1 million related to RSUs and the fourth closing of the Legacy Lucid Series E preferred stock issuance. The increase was also attributable to personnel-related expenses of $59.1 million due to growth in headcount and other compensation related charges as we grew our sales force and expanded general and administrative functions needed to scale our business. Additionally, we incurred increases in other allocated overhead costs of $23.7 million primarily related to additional facilities to support the growing operations of our business and increases in professional service fees of $16.4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condensed consolidated statements of operations and comprehensive loss.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Change in contingent forward contracts liability increased by $445.8 million, or over 100%, for the nine months ended September 30, 2021 as compared to the same period in the prior year primarily due to the change in fair value of the Legacy Lucid Series E contingent forward contracts. The Legacy Lucid Series E contingent forward contracts were settled during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Preferred Stock Warrant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convertible preferred share warrant liability related to the warrants to purchase shares of Legacy Lucid Series D preferred stock was subject to remeasurement to fair value at each balance sheet date. Changes in the fair value of our convertible preferred share warrant liability were recognized in the condensed consolidated statements of operations and comprehensive loss. All issued and outstanding shares of Legacy Lucid Series D preferred stock were settled in March 2021 and there will no longer be future earnings adjustments pertaining to the convertible preferred share warrant liability related to Legacy Lucid Series D preferred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loss of $7.0 million for the nine months ended September 30, 2021 due to the changes in fair value of the convertible preferred stock warrant liability related to Legacy Lucid Series D preferred stock upon the exercise and settlement of all outstanding warrants to purchase Legacy Lucid Series D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23, 2021, in connection with the reverse recapitalization treatment of the Merger, the Company effectively issued 44,350,000 private warrants to purchase shares of Lucid’s common stock. The private warrants were initially recognized as a liability on July 23, 2021, at a fair value of $812.0 million. The private warrants remained unexercised as of September 30, 2021 and the liability was remeasured to fair value as of September 30, 2021, resulting in a loss of $24.8 million for the three and nine months ended September 30, 2021, classified within change in fair value of common stock warrant liabilities in the condensed consolidated statements of operations. See Note 8 - Common Stock Warrant Liability in our unaudited interim condensed consolidated financial statements included elsewhere in this Quarterly Report for more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Transaction Costs Expensed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Merger, the Company incurred $38.9 million in one-time direct and incremental transaction costs, consisting of banking, legal, and other professional fees. Transaction costs incurred by Lucid were allocated on a relative fair value basis between equity and liability-classified instruments deemed to be issued for financial reporting purposes at the Closing by Lucid. The Company’s $36.2 million transaction costs allocable to equity-classified instruments, including the common stock and public warrants, were charged as a direct reduction to Lucid’s additional paid-in capital of the gross proceeds remitted to Lucid from Churchill. The Company’s $2.7 million transaction costs allocable to liability-classified instruments measured at fair value, including the private warrants, were charged to the condensed consolidated statement of operations upon the Closing for the three and nine months ended September 30,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primarily of the interest incurred on our capital 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did not significantly fluctuate during the three and nine months ended September 30, 2021 as compared to the same period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 net consists primarily of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Other expense did not significantly fluctuate during the three and nine months ended September 30, 2021 as compared to the same period in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provision for (benefit from) income taxes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it is more likely than not that the recoverability of these deferred tax assets will not be realized.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(benefit from) income taxes did not significantly fluctuate during the three and nine months ended September 30, 2021 as compared to the same period in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inception, we have financed our operations primarily from the issuances of equity securities, including convertible preferred stock and the proceeds of the Merger, and convertible notes. As of September 30, 2021, we had $4.8 billion of cash and cash equivalents and short-term investments.</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an early stage growth company, we have incurred substantial net losses since inception. We expect to continue to incur net losses in accordance with our operating plan as we continue to expand our research and development activities to complete the development of vehicles, establish our consumer base and scale our operations to meet anticipated demand. We anticipate to continue spend on capital expenditures to support our commercialization and growth as we continue our phased construction of our AMP-1, LPM-1 and international manufacturing facilities, purchase infrastructure for our vehicle production and launch our retail studios to support our direct-to-consumer model. As of December 31, 2020, our non-cancellable commitments, as disclosed below in “— Contractual Obligations and Commitments,” do not include any commitments related to these capital expenditures as we do not have any commitments related to these capital expenditures that we cannot cancel without a significant penalty. In addition to our capital expenditures, we expect our operating expenses to increase as we hire a commercial sales and service team and continue to invest in research and development. We expect these investments to be a key driver of our long-term growth and competitiveness, but will negatively impact our free cash flow. We have based these estimates on assumptions that may prove to be wrong, and we could utilize our available capital resources sooner than we currently anticipate. We believe that our cash on hand following the consummation of the Merger, including the proceeds from the PIPE Investment, will be sufficient to meet our capital expenditure and working capital requirements for a period of at least twelve months from the date of this Report. We expect to require additional capital to finance our operations, which may include seeking additional capital through equity offerings or debt financings. The amount and timing of our future funding and our commercialization requirements, if any, will depend on many factors, including the pace and results of our research and development efforts and our commercialization efforts. We may be unable to obtain any such additional financing on reasonable terms or at all.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 Part II, Item 1A.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rPr>
              <w:t>The following table summarizes our cash flows for the periods presented (in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8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(377,407)</w:t>
            </w:r>
          </w:p>
        </w:tc>
        <w:tc>
          <w:tcPr>
            <w:tcW w:w="10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(299,294)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(355,860)</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5,236,843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892,575</w:t>
            </w:r>
          </w:p>
        </w:tc>
        <w:tc>
          <w:tcPr>
            <w:tcW w:w="80" w:type="dxa"/>
            <w:vAlign w:val="bottom"/>
            <w:shd w:val="clear" w:color="auto" w:fill="CCEEFF"/>
          </w:tcPr>
          <w:p>
            <w:pPr>
              <w:spacing w:after="0"/>
              <w:rPr>
                <w:sz w:val="19"/>
                <w:szCs w:val="19"/>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4,192,148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flows used in operating activities to date have been primarily comprised of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Net cash used in operating activities of $745.4 million for the nine months ended September 30, 2021 primarily consisted of $1,534.1 million of net loss, adjusted for $895.0 million </w:t>
      </w:r>
      <w:r>
        <w:rPr>
          <w:rFonts w:ascii="Arial" w:cs="Arial" w:eastAsia="Arial" w:hAnsi="Arial"/>
          <w:sz w:val="18"/>
          <w:szCs w:val="18"/>
          <w:color w:val="231F20"/>
        </w:rPr>
        <w:t>of non-cash charges and a decrease in net operating assets of $106.3 million. The non-cash charges primarily included losses</w:t>
      </w:r>
      <w:r>
        <w:rPr>
          <w:rFonts w:ascii="Arial" w:cs="Arial" w:eastAsia="Arial" w:hAnsi="Arial"/>
          <w:sz w:val="18"/>
          <w:szCs w:val="18"/>
          <w:color w:val="auto"/>
        </w:rPr>
        <w:t xml:space="preserve"> </w:t>
      </w:r>
      <w:r>
        <w:rPr>
          <w:rFonts w:ascii="Arial" w:cs="Arial" w:eastAsia="Arial" w:hAnsi="Arial"/>
          <w:sz w:val="18"/>
          <w:szCs w:val="18"/>
          <w:color w:val="231F20"/>
        </w:rPr>
        <w:t xml:space="preserve">for changes in fair value of contingent forward contracts and warrant liabilities of $486.3 million, share-based compensation expense of $366.2 million, non-cash operating lease cost of $8.6 million, depreciation and amortization of property and equipment of $26.6 million and amortization of insurance premium of $7.2 million. The increase in net operating assets is primarily due to an increase in operating assets of $123.4 million </w:t>
      </w:r>
      <w:r>
        <w:rPr>
          <w:rFonts w:ascii="Arial" w:cs="Arial" w:eastAsia="Arial" w:hAnsi="Arial"/>
          <w:sz w:val="18"/>
          <w:szCs w:val="18"/>
          <w:color w:val="000000"/>
        </w:rPr>
        <w:t>offset by an increase in</w:t>
      </w:r>
      <w:r>
        <w:rPr>
          <w:rFonts w:ascii="Arial" w:cs="Arial" w:eastAsia="Arial" w:hAnsi="Arial"/>
          <w:sz w:val="18"/>
          <w:szCs w:val="18"/>
          <w:color w:val="231F20"/>
        </w:rPr>
        <w:t xml:space="preserve"> operating liabilities of $17.1 million.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 xml:space="preserve">Net cash used in operating activities of $377.4 million for the </w:t>
      </w:r>
      <w:r>
        <w:rPr>
          <w:rFonts w:ascii="Arial" w:cs="Arial" w:eastAsia="Arial" w:hAnsi="Arial"/>
          <w:sz w:val="18"/>
          <w:szCs w:val="18"/>
          <w:color w:val="000000"/>
        </w:rPr>
        <w:t>nine</w:t>
      </w:r>
      <w:r>
        <w:rPr>
          <w:rFonts w:ascii="Arial" w:cs="Arial" w:eastAsia="Arial" w:hAnsi="Arial"/>
          <w:sz w:val="18"/>
          <w:szCs w:val="18"/>
          <w:color w:val="231F20"/>
        </w:rPr>
        <w:t xml:space="preserve"> months ended September 30, 2020 primarily consisted of $408.1 million of net loss, adjusted for $17.7 million of non-cash charges and an increase in net operating assets of $13.0 million. The non-cash charges primarily included the fair value of contingent forward contracts and warrant liabilities of $8.9 million, depreciation and amortization of $5.4 million, and stock-based compensation expense of $3.3 million. The increase in net operating assets and liabilities is primarily due to an increase in operating liabilities of $11.5 million </w:t>
      </w:r>
      <w:r>
        <w:rPr>
          <w:rFonts w:ascii="Arial" w:cs="Arial" w:eastAsia="Arial" w:hAnsi="Arial"/>
          <w:sz w:val="18"/>
          <w:szCs w:val="18"/>
          <w:color w:val="000000"/>
        </w:rPr>
        <w:t>and an</w:t>
      </w:r>
      <w:r>
        <w:rPr>
          <w:rFonts w:ascii="Arial" w:cs="Arial" w:eastAsia="Arial" w:hAnsi="Arial"/>
          <w:sz w:val="18"/>
          <w:szCs w:val="18"/>
          <w:color w:val="231F20"/>
        </w:rPr>
        <w:t xml:space="preserve"> </w:t>
      </w:r>
      <w:r>
        <w:rPr>
          <w:rFonts w:ascii="Arial" w:cs="Arial" w:eastAsia="Arial" w:hAnsi="Arial"/>
          <w:sz w:val="18"/>
          <w:szCs w:val="18"/>
          <w:color w:val="000000"/>
        </w:rPr>
        <w:t xml:space="preserve">increase in </w:t>
      </w:r>
      <w:r>
        <w:rPr>
          <w:rFonts w:ascii="Arial" w:cs="Arial" w:eastAsia="Arial" w:hAnsi="Arial"/>
          <w:sz w:val="18"/>
          <w:szCs w:val="18"/>
          <w:color w:val="231F20"/>
        </w:rPr>
        <w:t>operating assets of $1.5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of $299.3 million for the nine months ended September 30, 2021 was primarily attributable to capital expenditures.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Net cash used in investing activities of $355.9 million for the nine months ended </w:t>
      </w:r>
      <w:r>
        <w:rPr>
          <w:rFonts w:ascii="Arial" w:cs="Arial" w:eastAsia="Arial" w:hAnsi="Arial"/>
          <w:sz w:val="17"/>
          <w:szCs w:val="17"/>
          <w:color w:val="231F20"/>
        </w:rPr>
        <w:t>September 30, 2020</w:t>
      </w:r>
      <w:r>
        <w:rPr>
          <w:rFonts w:ascii="Arial" w:cs="Arial" w:eastAsia="Arial" w:hAnsi="Arial"/>
          <w:sz w:val="17"/>
          <w:szCs w:val="17"/>
          <w:color w:val="auto"/>
        </w:rPr>
        <w:t xml:space="preserve"> was entirely attributable to capital expenditures.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inception, we have financed our operations primarily from the issuances of equity securities, including convertible preferred stock and the proceeds of the Merger, and convertible notes.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Net cash provided by financing activities of $5,236.8 million during the nine months ended </w:t>
      </w:r>
      <w:r>
        <w:rPr>
          <w:rFonts w:ascii="Arial" w:cs="Arial" w:eastAsia="Arial" w:hAnsi="Arial"/>
          <w:sz w:val="18"/>
          <w:szCs w:val="18"/>
          <w:color w:val="231F20"/>
        </w:rPr>
        <w:t>September 30, 2020</w:t>
      </w:r>
      <w:r>
        <w:rPr>
          <w:rFonts w:ascii="Arial" w:cs="Arial" w:eastAsia="Arial" w:hAnsi="Arial"/>
          <w:sz w:val="18"/>
          <w:szCs w:val="18"/>
          <w:color w:val="auto"/>
        </w:rPr>
        <w:t xml:space="preserve"> was primarily attributable to gross proceeds of approximately $4,439.2 from the Merger, $600.0 million of proceeds from the issuance of Legacy Lucid Series E preferred stock, $173.3 million of proceeds from the exercises of public warrants, $41.9 million proceeds from short-term insurance financing note, $6.0 million of proceeds from the exercises of stock options, $3.0 million of proceeds from the issuance of Legacy Lucid Series D preferred stock, partially offset by $3.0 million cash paid for the repurchase of Legacy Lucid Series B preferred stock and $16.8 million cash paid for the short-term insurance financing note. Net cash provided by financing activities also reflects that the Company incurred $38.9 million of transaction costs related to the Merger, of which $34.1 million were not yet paid as of </w:t>
      </w:r>
      <w:r>
        <w:rPr>
          <w:rFonts w:ascii="Arial" w:cs="Arial" w:eastAsia="Arial" w:hAnsi="Arial"/>
          <w:sz w:val="18"/>
          <w:szCs w:val="18"/>
          <w:color w:val="231F20"/>
        </w:rPr>
        <w:t>September 30, 2020.</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Net cash provided by financing activities of $892.6 million during the nine months ended </w:t>
      </w:r>
      <w:r>
        <w:rPr>
          <w:rFonts w:ascii="Arial" w:cs="Arial" w:eastAsia="Arial" w:hAnsi="Arial"/>
          <w:sz w:val="18"/>
          <w:szCs w:val="18"/>
          <w:color w:val="231F20"/>
        </w:rPr>
        <w:t>September 30, 2020</w:t>
      </w:r>
      <w:r>
        <w:rPr>
          <w:rFonts w:ascii="Arial" w:cs="Arial" w:eastAsia="Arial" w:hAnsi="Arial"/>
          <w:sz w:val="18"/>
          <w:szCs w:val="18"/>
          <w:color w:val="auto"/>
        </w:rPr>
        <w:t xml:space="preserve"> was primarily attributable to $400.0 million of proceeds from the issuance of Legacy Lucid Series D preferred stock, $499.7 million of proceeds from the issuance of Legacy Lucid Series E preferred stock, and $2.9 million of proceeds from the exercises of stock options. Net cash provided by financing activities also reflects uses of cash of $9.9 million to repurchase Legacy Lucid Series C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Payments Due by Periods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&lt; 1 year</w:t>
            </w:r>
          </w:p>
        </w:tc>
        <w:tc>
          <w:tcPr>
            <w:tcW w:w="10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0"/>
              </w:rPr>
              <w:t>1 – 3 years</w:t>
            </w:r>
          </w:p>
        </w:tc>
        <w:tc>
          <w:tcPr>
            <w:tcW w:w="1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3 – 5 year</w:t>
            </w:r>
          </w:p>
        </w:tc>
        <w:tc>
          <w:tcPr>
            <w:tcW w:w="12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&gt; 5 years</w:t>
            </w:r>
          </w:p>
        </w:tc>
        <w:tc>
          <w:tcPr>
            <w:tcW w:w="100" w:type="dxa"/>
            <w:vAlign w:val="bottom"/>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(in thousands)</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253,796</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25,490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56,470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55,681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116,155</w:t>
            </w: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Non-cancellable purchase commitment</w:t>
            </w: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506,000</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101,200</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404,800</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commitments</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759,796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126,690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461,270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55,681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116,155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Operating lease obligations </w:t>
      </w:r>
      <w:r>
        <w:rPr>
          <w:rFonts w:ascii="Arial" w:cs="Arial" w:eastAsia="Arial" w:hAnsi="Arial"/>
          <w:sz w:val="16"/>
          <w:szCs w:val="16"/>
          <w:color w:val="auto"/>
        </w:rPr>
        <w:t>— Operating leases include nine lease agreements we entered into from January 2020 to December 31, 2020 for retail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locations in Arizona, California, Florida, New York, and Virginia, with lease expiration dates ranging from March 2025 through December 2032. Base rent for these leases ranges from $0.1 million to $0.4 million per annum, with certain leases having 3% annual base rent escalation clauses during the lease terms. As of December 31, 2020, the remaining operating lease commitments were $253.8 million. These commitments are reflected in the table above.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Non-cancellable purchase commitments </w:t>
      </w:r>
      <w:r>
        <w:rPr>
          <w:rFonts w:ascii="Arial" w:cs="Arial" w:eastAsia="Arial" w:hAnsi="Arial"/>
          <w:sz w:val="18"/>
          <w:szCs w:val="18"/>
          <w:color w:val="auto"/>
        </w:rPr>
        <w:t>— As of December 31, 2020, we are committed to purchase battery cells from a provider over the next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for a total estimated minimum of $506.0 million. Battery cell costs may fluctuate from time to time under the purchase commitment based on, among other things, supply and demand, costs of raw materials, and purchase volume. The table above does not include contracts that are not enforceable and legally binding and that do not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2021, there were no material changes in our contractual obligations as reported in the audited financial statements for the year ended December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consolidated financial statements and the related notes thereto included elsewhere in this Report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Other than the policies described in Note 2 - Summary of Significant Accounting Policies in the Company’s unaudited interim condensed consolidated financial statements included elsewhere in this Quarterly Report, there have been no material changes to its critical accounting policies and estimates as compared to those disclosed in its audited consolidated financial statements as of and for the years ended December 31, 2020 and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granted stock-based awards consisting primarily of incentive and non-qualified stock options and restricted stock units (“RSUs”) to employees, members of our board of directors, and non-employees.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Stock options generally vest over four years, and the majority of which vest at a rate of 25% on the first anniversary of the grant date, with the remainder vesting ratably each month over the next three years. </w:t>
      </w:r>
      <w:r>
        <w:rPr>
          <w:rFonts w:ascii="Arial" w:cs="Arial" w:eastAsia="Arial" w:hAnsi="Arial"/>
          <w:sz w:val="17"/>
          <w:szCs w:val="17"/>
          <w:color w:val="231F20"/>
        </w:rPr>
        <w:t>Stock options generally expire 10 years from the date of grant and are exercisable when the options</w:t>
      </w:r>
      <w:r>
        <w:rPr>
          <w:rFonts w:ascii="Arial" w:cs="Arial" w:eastAsia="Arial" w:hAnsi="Arial"/>
          <w:sz w:val="17"/>
          <w:szCs w:val="17"/>
          <w:color w:val="auto"/>
        </w:rPr>
        <w:t xml:space="preserve"> </w:t>
      </w:r>
      <w:r>
        <w:rPr>
          <w:rFonts w:ascii="Arial" w:cs="Arial" w:eastAsia="Arial" w:hAnsi="Arial"/>
          <w:sz w:val="17"/>
          <w:szCs w:val="17"/>
          <w:color w:val="231F20"/>
        </w:rPr>
        <w:t>vest. Stock-based compensation expense for stock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common stock, expected common stock price volatility, expected dividend yield of our common stock, risk-free interest rates, and the expected option term. The assumptions used in the Black-Scholes option-pricing model are estimated as follows:</w:t>
      </w:r>
    </w:p>
    <w:p>
      <w:pPr>
        <w:spacing w:after="0" w:line="17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231F20"/>
        </w:rPr>
        <w:t xml:space="preserve">Fair value of common stock </w:t>
      </w:r>
      <w:r>
        <w:rPr>
          <w:rFonts w:ascii="Arial" w:cs="Arial" w:eastAsia="Arial" w:hAnsi="Arial"/>
          <w:sz w:val="18"/>
          <w:szCs w:val="18"/>
          <w:color w:val="231F20"/>
        </w:rPr>
        <w:t>— The fair value of our common stock was estimated because our common stock had not yet been publicly traded</w:t>
      </w:r>
      <w:r>
        <w:rPr>
          <w:rFonts w:ascii="Arial" w:cs="Arial" w:eastAsia="Arial" w:hAnsi="Arial"/>
          <w:sz w:val="18"/>
          <w:szCs w:val="18"/>
          <w:i w:val="1"/>
          <w:iCs w:val="1"/>
          <w:color w:val="231F20"/>
        </w:rPr>
        <w:t xml:space="preserve"> </w:t>
      </w:r>
      <w:r>
        <w:rPr>
          <w:rFonts w:ascii="Arial" w:cs="Arial" w:eastAsia="Arial" w:hAnsi="Arial"/>
          <w:sz w:val="18"/>
          <w:szCs w:val="18"/>
          <w:color w:val="231F20"/>
        </w:rPr>
        <w:t>prior to the Merger.</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231F20"/>
        </w:rPr>
        <w:t xml:space="preserve">Expected Volatility </w:t>
      </w:r>
      <w:r>
        <w:rPr>
          <w:rFonts w:ascii="Arial" w:cs="Arial" w:eastAsia="Arial" w:hAnsi="Arial"/>
          <w:sz w:val="18"/>
          <w:szCs w:val="18"/>
          <w:color w:val="231F20"/>
        </w:rPr>
        <w:t>— The volatility rate was determined by using an average of historical volatilities of selected industry peers deemed to be</w:t>
      </w:r>
      <w:r>
        <w:rPr>
          <w:rFonts w:ascii="Arial" w:cs="Arial" w:eastAsia="Arial" w:hAnsi="Arial"/>
          <w:sz w:val="18"/>
          <w:szCs w:val="18"/>
          <w:i w:val="1"/>
          <w:iCs w:val="1"/>
          <w:color w:val="231F20"/>
        </w:rPr>
        <w:t xml:space="preserve"> </w:t>
      </w:r>
      <w:r>
        <w:rPr>
          <w:rFonts w:ascii="Arial" w:cs="Arial" w:eastAsia="Arial" w:hAnsi="Arial"/>
          <w:sz w:val="18"/>
          <w:szCs w:val="18"/>
          <w:color w:val="231F20"/>
        </w:rPr>
        <w:t>comparable to our business corresponding to the expected option term as we did not have sufficient history of trading in our common stock prior to the Merger.</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231F20"/>
        </w:rPr>
        <w:t xml:space="preserve">Dividend Yield </w:t>
      </w:r>
      <w:r>
        <w:rPr>
          <w:rFonts w:ascii="Arial" w:cs="Arial" w:eastAsia="Arial" w:hAnsi="Arial"/>
          <w:sz w:val="18"/>
          <w:szCs w:val="18"/>
          <w:color w:val="231F20"/>
        </w:rPr>
        <w:t>— The expected dividend yield was zero as we had never declared or paid cash dividends and have no current plans to do so in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foreseeable future.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231F20"/>
        </w:rPr>
        <w:t xml:space="preserve">Risk Free Interest Rate </w:t>
      </w:r>
      <w:r>
        <w:rPr>
          <w:rFonts w:ascii="Arial" w:cs="Arial" w:eastAsia="Arial" w:hAnsi="Arial"/>
          <w:sz w:val="16"/>
          <w:szCs w:val="16"/>
          <w:color w:val="231F20"/>
        </w:rPr>
        <w:t>— The risk-free interest rate was based on the U.S. Treasury yield curve in effect at the time of grant for zero-coupon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Treasury notes with maturities corresponding to the expected option term.</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231F20"/>
        </w:rPr>
        <w:t xml:space="preserve">Expected Option Term </w:t>
      </w:r>
      <w:r>
        <w:rPr>
          <w:rFonts w:ascii="Arial" w:cs="Arial" w:eastAsia="Arial" w:hAnsi="Arial"/>
          <w:sz w:val="18"/>
          <w:szCs w:val="18"/>
          <w:color w:val="231F20"/>
        </w:rPr>
        <w:t>— The expected option term represented the period that the Lucid Options were expected to be outstanding and is based on</w:t>
      </w:r>
      <w:r>
        <w:rPr>
          <w:rFonts w:ascii="Arial" w:cs="Arial" w:eastAsia="Arial" w:hAnsi="Arial"/>
          <w:sz w:val="18"/>
          <w:szCs w:val="18"/>
          <w:i w:val="1"/>
          <w:iCs w:val="1"/>
          <w:color w:val="231F20"/>
        </w:rPr>
        <w:t xml:space="preserve"> </w:t>
      </w:r>
      <w:r>
        <w:rPr>
          <w:rFonts w:ascii="Arial" w:cs="Arial" w:eastAsia="Arial" w:hAnsi="Arial"/>
          <w:sz w:val="18"/>
          <w:szCs w:val="18"/>
          <w:color w:val="231F20"/>
        </w:rPr>
        <w:t>historical experience of similar awards, giving consideration to the contractual terms, vesting schedules and expectations of future employee behavior.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jc w:val="both"/>
        <w:spacing w:after="0" w:line="311" w:lineRule="auto"/>
        <w:rPr>
          <w:sz w:val="20"/>
          <w:szCs w:val="20"/>
          <w:color w:val="auto"/>
        </w:rPr>
      </w:pPr>
      <w:r>
        <w:rPr>
          <w:rFonts w:ascii="Arial" w:cs="Arial" w:eastAsia="Arial" w:hAnsi="Arial"/>
          <w:sz w:val="16"/>
          <w:szCs w:val="16"/>
          <w:color w:val="231F20"/>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 based compensation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RSUs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 xml:space="preserve">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w:t>
      </w:r>
      <w:r>
        <w:rPr>
          <w:rFonts w:ascii="Arial" w:cs="Arial" w:eastAsia="Arial" w:hAnsi="Arial"/>
          <w:sz w:val="17"/>
          <w:szCs w:val="17"/>
          <w:color w:val="000000"/>
        </w:rPr>
        <w:t>of the Merger</w:t>
      </w:r>
      <w:r>
        <w:rPr>
          <w:rFonts w:ascii="Arial" w:cs="Arial" w:eastAsia="Arial" w:hAnsi="Arial"/>
          <w:sz w:val="17"/>
          <w:szCs w:val="17"/>
          <w:color w:val="231F20"/>
        </w:rPr>
        <w:t xml:space="preserve">. These qualifying liquidity events were not deemed probable until consummated, and therefore, stock-based compensation related to these RSUs remained unrecognized prior to the consummation of the </w:t>
      </w:r>
      <w:r>
        <w:rPr>
          <w:rFonts w:ascii="Arial" w:cs="Arial" w:eastAsia="Arial" w:hAnsi="Arial"/>
          <w:sz w:val="17"/>
          <w:szCs w:val="17"/>
          <w:color w:val="000000"/>
        </w:rPr>
        <w:t>Merger</w:t>
      </w:r>
      <w:r>
        <w:rPr>
          <w:rFonts w:ascii="Arial" w:cs="Arial" w:eastAsia="Arial" w:hAnsi="Arial"/>
          <w:sz w:val="17"/>
          <w:szCs w:val="17"/>
          <w:color w:val="231F20"/>
        </w:rPr>
        <w:t>.</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31F20"/>
        </w:rPr>
        <w:t>We estimate the fair value of RSUs based on the estimated fair value of our underlying common stock as of the date of the grant. Stock-based compensation for RSUs is generally recognized on a graded vesting basis over the requisite service period once the performance condition is satisfied.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RSU Award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March 2021, our board of directors approved the grant of RSUs to Peter Rawlinson as Lucid’s CEO (the “</w:t>
      </w:r>
      <w:r>
        <w:rPr>
          <w:rFonts w:ascii="Arial" w:cs="Arial" w:eastAsia="Arial" w:hAnsi="Arial"/>
          <w:sz w:val="18"/>
          <w:szCs w:val="18"/>
          <w:i w:val="1"/>
          <w:iCs w:val="1"/>
          <w:color w:val="231F20"/>
        </w:rPr>
        <w:t>CEO RSU Award</w:t>
      </w:r>
      <w:r>
        <w:rPr>
          <w:rFonts w:ascii="Arial" w:cs="Arial" w:eastAsia="Arial" w:hAnsi="Arial"/>
          <w:sz w:val="18"/>
          <w:szCs w:val="18"/>
          <w:color w:val="231F20"/>
        </w:rPr>
        <w:t>”) to encourage Mr. Rawlinson to focus on the long-term success of Lucid. The CEO RSU Award is comprised of RSUs that are subject to performance and service conditions (the “CEO Time-Based RSUs”) and RSUs that are subject to performance and market conditions (the “CEO Performance RSUs”), as described further below.</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CEO Time-Based RSUs </w:t>
      </w:r>
      <w:r>
        <w:rPr>
          <w:rFonts w:ascii="Arial" w:cs="Arial" w:eastAsia="Arial" w:hAnsi="Arial"/>
          <w:sz w:val="17"/>
          <w:szCs w:val="17"/>
          <w:color w:val="auto"/>
        </w:rPr>
        <w:t>— The performance condition was satisfied upon the Closing of the Merger. The service conditions will be satisfied in 16 equal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installments on March 5, June 5, September 5, and December 5 beginning on the first quarterly installment date that is at least two months after the Closing, which will be December 5, 2021, provided that Mr. Rawlinson remains in continuous service through each vesting date.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grant date fair value of the CEO Time-Based RSUs will be recognized using a graded vesting attribution method over the service period for each tranche. The grant date fair value of the CEO Time-Based RSUs was based on the estimated fair value of Lucid’s underlying common stock as of the date of the grant.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CEO Performance RSUs </w:t>
      </w:r>
      <w:r>
        <w:rPr>
          <w:rFonts w:ascii="Arial" w:cs="Arial" w:eastAsia="Arial" w:hAnsi="Arial"/>
          <w:sz w:val="18"/>
          <w:szCs w:val="18"/>
          <w:color w:val="auto"/>
        </w:rPr>
        <w:t>— The performance condition was satisfied upon the Closing of the Merger. The market conditions will be satisfied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achievement of certain market capitalization goals of Lucid and the continued employment of Mr. Rawlinson at each vesting date during the five-year period beginning after the Closing of the Merger. The CEO Performance RSUs will vest only if Lucid achieves the Lucid market capitalization targets, which if achieved, would allow Lucid’s other stockholders to benefit from the increases in our market capitalization. The Lucid market capitalization targets will be adjusted to reflect any stock splits, stock dividends, combinations, reorganizations, reclassifications, or other similar changes in capitalization or corporate events.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grant date fair value of the CEO Performance RSUs will be recognized using a graded vesting attribution method over the estimated requisite service periods for the five tranches, regardless of whether the Lucid market capitalization targets are achieved. If the Lucid market capitalization targets are met sooner than the requisite service period, the stock-based compensation expense will be adjusted to reflect the cumulative expense associated with the vested award.</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Tax Withholding </w:t>
      </w:r>
      <w:r>
        <w:rPr>
          <w:rFonts w:ascii="Arial" w:cs="Arial" w:eastAsia="Arial" w:hAnsi="Arial"/>
          <w:sz w:val="16"/>
          <w:szCs w:val="16"/>
          <w:color w:val="auto"/>
        </w:rPr>
        <w:t>— During the first year following the Closing of the Merger, we expect that Lucid will settle tax withholding obligations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vesting of the CEO RSU Award through “net settlement,” i.e., by remitting cash to satisfy the tax withholding obligation and withholding a number of the vested shares on each vesting date. The amount of the tax withholding due on each vesting and net settlement date will be based on the fair value of the common stock on such vesting and net settlement date. Depending on the fair value of the common stock and the number of RSUs vesting on any applicable vesting and net settlement date, such net settlement could require Lucid to expend substantial cash funds to satisfy tax withholding.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Common Stock Warrant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accounted for privately placed common stock warrants (the “private warrants”) to purchase shares of Lucid common stock as liabilities at their estimated fair value because these private warrants are not deemed indexed to our common stock. The warrants were recorded at fair value upon issuance and were subject to remeasurement to fair value at each period end, with any fair value adjustments recognized as a component within other income (expense), net in our condensed consolidated statements of operations and comprehensive loss. A portion of our private warrants are subject to certain contingent forfeiture provisions.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private warrants that are not subject to the contingent forfeiture provisions was estimated using a Black-Scholes option pricing model that takes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private warrants that are subject to the contingent forfeiture provisions was estimated using a Monte-Carlo simulation, which involved random iterations of future stock-price paths over the contractual life of the private warrants, including the probability distribution of outcomes, the payoff to the holder was determined based on the achievement of the various market thresholds within each simulated path. The present value of the payoff in each simulated trial is calculated, and the fair value of the liability is determined by taking the average of all present values.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8 - Common Stock Warrant Liability and Note 11 – Earnback Shares and Warrants to the unaudited interim condensed consolidated financial statements included elsewhere in this Quarterly Report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Forward Contract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accounted for the contingent forward contract to purchase Legacy Lucid Series E preferred stock as a derivative liability because the contingent forward contract may require us to issue additional shares at a future date. The contingent forward contract was recorded at fair value upon issuance and was subject to remeasurement to fair value at each period end, with any fair value adjustments recognized as a component within other income (expense), net in our condensed consolidated statements of operations and comprehensive loss. The fair value of the contingent forward contract liability for the Legacy Lucid Series E preferred stock issued in February 2021 and April 2021 was determined based on the forward payoff, which was determined as the difference between the estimated Legacy Lucid Series E preferred shares fair value and the $7.90 per share purchase price.We settled the contingent forward contract in April 2021.</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6 - Contingent Forward Contracts to the unaudited interim condensed consolidated financial statements included elsewhere in this Quarterly Report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accounted for warrants to purchase shares of Legacy Lucid Series D preferred stock as liabilities at their estimated fair value because these warrants may obligate us to transfer assets to the holders at a future date under certain circumstances, such as a merger, acquisition, reorganization, sale of all or substantially all of our assets, each a change of control event. The warrants were recorded at fair value upon issuance and were subject to remeasurement to fair value at each period end, with any fair value adjustments recognized as a component within other income (expense), net in our condensed consolidated statements of operations and comprehensive loss. We used a Black-Scholes model to calculate the fair value of its redeemable convertible preferred stock warrant liability. In February 2021, all outstanding warrants to purchase shares of Legacy Lucid Series D Preferred Shares were exercised.</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9 - Convertible Preferred Stock to the unaudited interim condensed consolidated financial statements included elsewhere in this Quarterly Report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We make estimates, assumptions and judgments to determine our provision for Lucid’s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Report, have not been material, are recognized within provision for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Report for more information regarding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preparation of our consolidated financial statements as of and for the fiscal years ended December 31, 2020 and 2019, we identified material weaknesses in our internal control over financial reporting. See the subsection entitled “</w:t>
      </w:r>
      <w:r>
        <w:rPr>
          <w:rFonts w:ascii="Arial" w:cs="Arial" w:eastAsia="Arial" w:hAnsi="Arial"/>
          <w:sz w:val="18"/>
          <w:szCs w:val="18"/>
          <w:i w:val="1"/>
          <w:iCs w:val="1"/>
          <w:color w:val="auto"/>
        </w:rPr>
        <w:t>Risk Factors — We have identified material weaknesses in</w:t>
      </w:r>
      <w:r>
        <w:rPr>
          <w:rFonts w:ascii="Arial" w:cs="Arial" w:eastAsia="Arial" w:hAnsi="Arial"/>
          <w:sz w:val="18"/>
          <w:szCs w:val="18"/>
          <w:color w:val="auto"/>
        </w:rPr>
        <w:t xml:space="preserve"> </w:t>
      </w:r>
      <w:r>
        <w:rPr>
          <w:rFonts w:ascii="Arial" w:cs="Arial" w:eastAsia="Arial" w:hAnsi="Arial"/>
          <w:sz w:val="18"/>
          <w:szCs w:val="18"/>
          <w:i w:val="1"/>
          <w:iCs w:val="1"/>
          <w:color w:val="auto"/>
        </w:rPr>
        <w:t>our internal control over financial reporting. If we are unable to remediate these material weaknesses, or if we identify additional material weaknesses in the future or otherwise fail to develop and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1A.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102(b)(1) of the Jumpstart Our Business Startups Act of 2021 (the “JOBS Act”) exempts “emerging growth companies” as defined in Section 2(A) of the Securities Act of 1933, as amended,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Lucid is an “emerging growth company” and has elected to take advantage of the benefits of this extended transition period.</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Lucid will use this extended transition period for complying with new or revised accounting standards that have different effective dates for public business entities and non-public business entities until the earlier of the date Lucid (a) is no longer an emerging growth company or (b) affirmatively and irrevocably opts out of the extended transition period provided in the JOBS Act. The extended transition period exemptions afforded by Lucid’s emerging growth company status may make it difficult or impossible to compare Lucid’s financial results with the financial results of another public company that is either not an emerging growth company or is an emerging growth company that has chosen not to take advantage of this exemption because of the potential differences in accounting standards used. Refer to Note 2 to our consolidated financial statements included elsewhere in this Report for the recent accounting pronouncements.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Lucid will remain an “emerging growth company” under the JOBS Act until the earliest of (a) the last day of Lucid’s first fiscal year following the fifth anniversary of the Churchill IPO, (b) the last date of Lucid’s fiscal year in which Lucid has total annual gross revenue of at least $1.07 billion, (c) the last date of Lucid’s fiscal year in which Lucid is deemed to be a “large accelerated filer” under the rules of the SEC with at least $700.0 million of outstanding securities held by non-affiliates or (d) the date on which Lucid has issued more than $1.0 billion in non- convertible debt securities during the previous three years. Lucid will cease to be an emerging growth company as of December 31,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exposed to market risk for changes in interest rates applicable to our cash and cash equivalents, restricted cash, and short-term investments. We had cash, cash equivalents and restricted cash totaling $4.8 billion and short-term investments totaling $0.5 million as of September 30, 2021. Our cash and cash equivalents and short-term investments were invested primarily in money market funds and certificates of deposits. Our investment policy is focused on the preservation of capital and supporting our liquidity needs. Under the policy, we invest in highly rated securities, issued by the U.S. government or liquid money market funds. We do not invest in financial instruments for trading or speculative purposes, nor do we use leveraged financial instruments. We utilize external investment managers who adhere to the guidelines of our investment policy. A hypothetical 10% change in interest rates would not have a had material impact on the value of our cash, cash equivalents or short-term investments as of September 30,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Automotive sales typically tend to decline over the winter season though we do not expect seasonality to have a significant impact on our results of operations in the near term until we scale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evaluated, with the participation of our principal executive and principal financial officers, the effectiveness of the Company’s disclosure controls and procedures (as defined in Rules 13a-15(e) and 15d-15(e) under the Securities Exchange Act of 1934, as amended (the “Exchange Act”)) as of September 30, 2021. Based on their evaluation, the Company’s principal executive and principal financial officers concluded that, solely due to the material weaknesses in our internal control over financial reporting described below, the Company’s disclosure controls and procedures were not effective as of September 30, 2021.</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material weakness, management believes that the consolidated financial statements and related financial information included in this Quarterly Report fairly present in all material respects our financial condition, results of operations and cash flows as of and for the periods presented in conformity with U.S. generally accepted accounting principles (“U.S.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29"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Lucid did not maintain a sufficient complement of personnel with accounting knowledge, experience and training to appropriately analyze, record and disclose accounting matters to provide reasonable assurance of preventing material misstatements;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Lucid did not maintain an effective process to verify changes to vendor records for payment remittances;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Lucid did not maintain effective controls over certain information technology (“</w:t>
      </w:r>
      <w:r>
        <w:rPr>
          <w:rFonts w:ascii="Arial" w:cs="Arial" w:eastAsia="Arial" w:hAnsi="Arial"/>
          <w:sz w:val="17"/>
          <w:szCs w:val="17"/>
          <w:i w:val="1"/>
          <w:iCs w:val="1"/>
          <w:color w:val="auto"/>
        </w:rPr>
        <w:t>IT</w:t>
      </w:r>
      <w:r>
        <w:rPr>
          <w:rFonts w:ascii="Arial" w:cs="Arial" w:eastAsia="Arial" w:hAnsi="Arial"/>
          <w:sz w:val="17"/>
          <w:szCs w:val="17"/>
          <w:color w:val="auto"/>
        </w:rPr>
        <w:t>”) general controls for information systems that are relevant to the preparation of its consolidated financial statements. Specifically, Lucid did not design and maintain user access controls to ensure appropriate segregation of duties and restrict user access to its financial applications to appropriate company personnel.</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Lucid did not maintain effective disclosure controls and procedures over financial reporting solely related to its accounting for warrants.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Remediation Plan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Lucid has begun implementation of a plan to remediate these material weaknesses. These remediation measures are ongoing and include the following steps:</w:t>
      </w:r>
    </w:p>
    <w:p>
      <w:pPr>
        <w:spacing w:after="0" w:line="170"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hiring additional accounting and financial reporting personnel with appropriate technical accounting knowledge and public company experience in financial reporting;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designing and implementing effective processes and controls to prevent payment to unverified vendors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designing and implementing security management and change management controls over IT systems, including adjusting user access levels and implementing external logging of activity and periodic review of such logs;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engaging an accounting advisory firm to assist with the documentation, evaluation, remediation and testing of Lucid’s internal control over financial reporting based on the criteria established in Internal Control - Integrated Framework issued by the Committee of Sponsoring Organizations of the Treadway Commission.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the design and effectiveness of these and other processes, procedures and controls and make further changes management determines appropriate.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completion of the Merger on the Closing Date, the internal controls of Legacy Lucid became our internal controls. There has been no change in the Company’s internal control over financial reporting (as defined in Rules 13a-15(f) and 15d-15(f) under the Exchange Act) that occurred during the Company’s fiscal quarter ended September 30, 2021 that has materially affected, or is reasonably likely to materially affect,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 description of our legal proceedings, please see the description set forth in the “Legal Matters” section in Note 14 – Commitments and Contingencies in the notes to the condensed consolidated financial statements in Item 1 of Part I of this report, which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 this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15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ongoing COVID-19 pandemic has adversely affected our business, results of operations and financial condition.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investing in our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incurred net losses each year since our inception and expect to incur increasing expenses and substantial losses for the foreseeable future.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adequately control the substantial costs associated with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received only a limited number of reservations for the Lucid Air, all of which may be cancelled.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automotive industry has significant barriers to entry that we must overcome in order to manufacture and sell electric vehicles at scale.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automotive market is highly competitive, and we may not be successful in competing in this industry.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initially depend on revenue generated from a single model and in the foreseeable future will be significantly dependent on a limited number of models.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not have a third-party retail product distribution network.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experienced and may in the future experience significant delays in the design, manufacture, launch and financing of the Lucid Air, which could harm our business and prospects.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our vehicles fail to perform as expected, our ability to develop, market and sell or lease our products could be harmed.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challenges providing charging solutions for our vehicles.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no experience to date in high volume manufacture of our vehicles.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successfully tool our manufacturing facilities or if our manufacturing facilities become inoperable, we will be unable to produce our vehicles and our business will be harmed.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production and our ability to sustain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could have a material adverse effect on our results of operations and financial condition.</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Increases in costs, disruption of supply or shortage of materials, in particular for lithium-ion cells or semiconductors, could harm our business.</w:t>
      </w:r>
    </w:p>
    <w:p>
      <w:pPr>
        <w:spacing w:after="0" w:line="2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loss of key personnel or an inability to attract, retain and motivate qualified personnel may impair our ability to expand our business.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highly dependent on the services of Peter Rawlinson, our Chief Executive Officer and Chief Technology Officer.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will require additional capital to support business growth, and this capital might not be available on commercially reasonable terms, or at all.</w:t>
      </w:r>
    </w:p>
    <w:p>
      <w:pPr>
        <w:spacing w:after="0" w:line="24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Ayar beneficially owns a significant equity interest in us and may take actions that conflict with your interests.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adversely affected our business, results of operations and financial condition.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324"/>
        <w:spacing w:after="0" w:line="286" w:lineRule="auto"/>
        <w:rPr>
          <w:sz w:val="20"/>
          <w:szCs w:val="20"/>
          <w:color w:val="auto"/>
        </w:rPr>
      </w:pPr>
      <w:r>
        <w:rPr>
          <w:rFonts w:ascii="Arial" w:cs="Arial" w:eastAsia="Arial" w:hAnsi="Arial"/>
          <w:sz w:val="17"/>
          <w:szCs w:val="17"/>
          <w:color w:val="auto"/>
        </w:rPr>
        <w:t>The spread of COVID-19 has also periodically disrupted the manufacturing operations of other vehicle manufacturers and their suppliers. Any such disruptions to us or our suppliers could negatively impact the production volume of our first vehicle, the Lucid Air sedan, and could negatively affect our production volume. Our manufacturing operations at a limited number of facilities in Casa Grande, Arizona concentrate this risk.</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mostly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COVID-19 pandemic has resulted in extreme volatility in the global financial markets, which could increase our cost of capital or limit our ability to access financing when it needs it.</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severity, magnitude and duration of the COVID-19 pandemic, including as a result of new variant strains, and our economic and regulatory consequences are rapidly changing and uncertain. Accordingly, we cannot predict the ultimate impact of the COVID-19 pandemic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makes evaluating our business and future prospects difficult and may increase the risk of your investment.</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an early-stage company with a limited operating history, operating in a rapidly evolving and highly regulated market. Furthermore, we have only released one commercially available vehicle, and we have no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encountered and expect to continue to encounter risks and uncertainties frequently experienced by early-stage companies in rapidly changing markets, including risks relating to our ability to, among other things:</w:t>
      </w:r>
    </w:p>
    <w:p>
      <w:pPr>
        <w:spacing w:after="0" w:line="170"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integrate and retain professional and technical talent, including key members of management;</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make significant investments in research, development, manufacturing, marketing and sales;</w:t>
      </w:r>
    </w:p>
    <w:p>
      <w:pPr>
        <w:spacing w:after="0" w:line="225" w:lineRule="exact"/>
        <w:rPr>
          <w:rFonts w:ascii="Arial" w:cs="Arial" w:eastAsia="Arial" w:hAnsi="Arial"/>
          <w:sz w:val="18"/>
          <w:szCs w:val="18"/>
          <w:color w:val="auto"/>
        </w:rPr>
      </w:pPr>
    </w:p>
    <w:p>
      <w:pPr>
        <w:ind w:left="180" w:right="20" w:hanging="172"/>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obtain, maintain, protect and enforce our intellectual property and defend against claims of intellectual property infringement, misappropriation or other violation;</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refine our commercial manufacturing capabilities and distribution infrastructure;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maintain satisfactory arrangements with third-party suppliers;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expand a customer base;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225" w:lineRule="exact"/>
        <w:rPr>
          <w:rFonts w:ascii="Arial" w:cs="Arial" w:eastAsia="Arial" w:hAnsi="Arial"/>
          <w:sz w:val="18"/>
          <w:szCs w:val="18"/>
          <w:color w:val="auto"/>
        </w:rPr>
      </w:pPr>
    </w:p>
    <w:p>
      <w:pPr>
        <w:ind w:left="180" w:right="20" w:hanging="172"/>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anticipate and adapt to changing market conditions, including consumer demand for certain vehicle types, models or trim levels, technological developments and changes in competitive landscape; and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design, build, manufacture and market new models of electric vehicles to follow the Lucid Air.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i w:val="1"/>
          <w:iCs w:val="1"/>
          <w:color w:val="auto"/>
        </w:rPr>
        <w:t>We have incurred net losses each year since our inception and expect to incur increasing expenses and substantial losses for the foreseeable future.</w:t>
      </w:r>
    </w:p>
    <w:p>
      <w:pPr>
        <w:spacing w:after="0" w:line="26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incurred net losses each year since our inception, including net loss and comprehensive loss of approximately $0.5 billion and $1.5 billion for the three and nine months ended September 30, 2021, respectively. As of September 30, 2021, our accumulated deficit was approximately $5.0 billion. We expect to continue to incur substantial losses and increasing expenses in the foreseeable future as we:</w:t>
      </w:r>
    </w:p>
    <w:p>
      <w:pPr>
        <w:spacing w:after="0" w:line="184"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design, develop and manufacture our vehicles;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equip and expand our manufacturing facilities to produce our vehicles in Arizona, and potentially in international locations;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up inventories of parts and components for our vehicles;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an available inventory of our vehicles;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deploy vehicle charging partnerships;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design, research, development, maintenance and repair capabilities;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sales and marketing activities and develop our distribution infrastructure;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growing operations and status as a public company.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control the substantial costs associated with our operations.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324"/>
        <w:spacing w:after="0" w:line="263" w:lineRule="auto"/>
        <w:rPr>
          <w:sz w:val="20"/>
          <w:szCs w:val="20"/>
          <w:color w:val="auto"/>
        </w:rPr>
      </w:pPr>
      <w:r>
        <w:rPr>
          <w:rFonts w:ascii="Arial" w:cs="Arial" w:eastAsia="Arial" w:hAnsi="Arial"/>
          <w:sz w:val="18"/>
          <w:szCs w:val="18"/>
          <w:color w:val="auto"/>
        </w:rPr>
        <w:t>In the longer term, our ability to become profitable in the future will depend on our ability not only to control costs, but also to sell in quantities and at prices sufficient to achieve our expected margins. If we are unable to cost-efficiently design, manufacture, market, sell, distribute and service our vehicles, our margins, profitability and prospects will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the Lucid Air, all of which may be cancelled.</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September 30, 2021, we had reservations for more than 13,000 units of our first vehicle, the Lucid Air, with fully refundable deposits. Our customers may cancel their reservations without penalty and for any reason until they place an order for their vehicle. In addition, any delays in customer deliveries of the Lucid Air could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customer deliveries of the Lucid Air that further lengthen wait times, a significant number of reservations may be cancelled.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automotive industry has significant barriers to entry that we must overcome in order to manufacture and sell electric vehicles at scale.</w:t>
      </w:r>
    </w:p>
    <w:p>
      <w:pPr>
        <w:spacing w:after="0" w:line="23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our commercial manufacturing facility in Casa Grande, Arizona, we have not finished tooling all production lines at our Casa Grande facilities. If we are not able to overcome these barriers, our business, prospects, results of operations and financial condition will be negatively impacted, and our ability to grow our business will be harmed.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automotive market is highly competitive, and we may not be successful in competing in this industry.</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2021 or 2022. We also compete with established automobile manufacturers in the luxury vehicle segment, many of which have entered or have announced plans to enter the alternative fuel and electric vehicle market with either fully electric or plug-in hybrid versions of their vehicles. We also expect to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will initially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the end of 2023.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have a third-party retail product distribution network.</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Third-party dealer networks are the traditional method of vehicle sales distribution. Because we plan to sell directly to consumers, we will not have a traditional dealer product distribution network. We do not have experience distributing directly to consumers, and we expect that the building of an in-house sales and marketing function, including a physical sales and marketing footprint via our Lucid Studios, will be expensive and time consuming. If our lack of a traditional dealer distribution network results in lost opportunities to generate sales, it could limit our ability to grow. Moreover, our plans to sell directly to consumers may be limited by regulatory constraints. To the extent we are unable to successfully execute on such plans, we may be required to develop a third-party dealer distribution network, which may prove costly, time-consuming or ineffective. If our use of an in-house sales and marketing team is not effective, our results of operations and financial conditions could be adversely affected.</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sales will depend in part on our ability to establish and maintain confidence in our long-term business prospects among consumers, analysts and others within our industry.</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 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generate meaningful product revenue will depend on consumer adoption of electric vehicles.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only developing and producing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324"/>
        <w:spacing w:after="0" w:line="254" w:lineRule="auto"/>
        <w:rPr>
          <w:sz w:val="20"/>
          <w:szCs w:val="20"/>
          <w:color w:val="auto"/>
        </w:rPr>
      </w:pPr>
      <w:r>
        <w:rPr>
          <w:rFonts w:ascii="Arial" w:cs="Arial" w:eastAsia="Arial" w:hAnsi="Arial"/>
          <w:sz w:val="18"/>
          <w:szCs w:val="18"/>
          <w:color w:val="auto"/>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that may influence the adoption of electric vehicles include: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perceptions about the limited range over which electric vehicles may be driven on a single battery charge;</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other alternative fuel vehicles, including plug-in hybrid electric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quality and availability of service for electric vehicles, especially in international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 to charging stations and cost to charge an electric vehicle, especially in international markets, and related infrastructure costs and standardization;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Developments in electric vehicle or alternative fuel technology or improvements in the internal combustion engine may adversely affect the demand for our vehicles.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If we fail to manage our future growth effectively, we may not be able to develop, manufacture, distribute, market and sell our vehicles successfully.</w:t>
      </w:r>
    </w:p>
    <w:p>
      <w:pPr>
        <w:spacing w:after="0" w:line="2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results of operations and financial condition. We intend to expand our operations significantly. We expect our future expansion will include:</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hiring and training new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including in connection with our transition to a public company;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into new markets and establishing sales, service and manufacturing operations in such markets.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manufacturing and servicing electric vehicles is intense, and we may not be able to attract, integrate, train, motivate or retain additional highly qualified personnel in the future. The failure to attract, integrate, train, motivate and retain these additional employees could seriously harm our business and prospects. In addition, we have no experience to date in high volume manufacturing of our vehicles. We cannot assure you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if our manufacturing facilities are not constructed in conformity with our requirements, repair or remediation could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adversely affect our ability to timely sell and deliver our electric vehicles to customers, or impose substantial additional costs, any of which consequences could have a material adverse effect on our business, prospects, results of operations and financial condition.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intend to offer leasing and financing of our vehicles to potential customers through a third-party financing partner or partners, but we cannot provide any assurance that such third-party financing partners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324"/>
        <w:spacing w:after="0" w:line="273" w:lineRule="auto"/>
        <w:rPr>
          <w:sz w:val="20"/>
          <w:szCs w:val="20"/>
          <w:color w:val="auto"/>
        </w:rPr>
      </w:pPr>
      <w:r>
        <w:rPr>
          <w:rFonts w:ascii="Arial" w:cs="Arial" w:eastAsia="Arial" w:hAnsi="Arial"/>
          <w:sz w:val="17"/>
          <w:szCs w:val="17"/>
          <w:color w:val="auto"/>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vehicles are being designed with autonomous driving (“</w:t>
      </w:r>
      <w:r>
        <w:rPr>
          <w:rFonts w:ascii="Arial" w:cs="Arial" w:eastAsia="Arial" w:hAnsi="Arial"/>
          <w:sz w:val="17"/>
          <w:szCs w:val="17"/>
          <w:i w:val="1"/>
          <w:iCs w:val="1"/>
          <w:color w:val="auto"/>
        </w:rPr>
        <w:t>AD</w:t>
      </w:r>
      <w:r>
        <w:rPr>
          <w:rFonts w:ascii="Arial" w:cs="Arial" w:eastAsia="Arial" w:hAnsi="Arial"/>
          <w:sz w:val="17"/>
          <w:szCs w:val="17"/>
          <w:color w:val="auto"/>
        </w:rPr>
        <w:t>”) and advanced driver assistance system (“</w:t>
      </w:r>
      <w:r>
        <w:rPr>
          <w:rFonts w:ascii="Arial" w:cs="Arial" w:eastAsia="Arial" w:hAnsi="Arial"/>
          <w:sz w:val="17"/>
          <w:szCs w:val="17"/>
          <w:i w:val="1"/>
          <w:iCs w:val="1"/>
          <w:color w:val="auto"/>
        </w:rPr>
        <w:t>ADAS</w:t>
      </w:r>
      <w:r>
        <w:rPr>
          <w:rFonts w:ascii="Arial" w:cs="Arial" w:eastAsia="Arial" w:hAnsi="Arial"/>
          <w:sz w:val="17"/>
          <w:szCs w:val="17"/>
          <w:color w:val="auto"/>
        </w:rPr>
        <w:t>”) hardware, and we expect to launch the Lucid Air and Project Gravity with Level 2 (partial automation) ADAS functionality, which we plan to upgrade with additional capabilities over time. AD/ADAS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our AD/ADAS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we face substantial competition in the development and deployment of AD/ADAS technologies. Many of our competitors, including Tesla, established automakers such as Mercedes-Benz, Audi and General Motors (including via its investments in Cruise Automation), and technology companies including Waymo, Zoox.ai, Aurora, Argo AI (jointly owned by Ford and Volkswagen), Mobileye (a subsidiary of Intel), Aptiv, Nuro and Ghost.ai, have devoted significant time and resources to developing self-driving technologies. If we are unable to develop competitive Level 2 or more advanced AD/ADAS technologies in-house or acquire access to such technologies via partnerships or investments in other companies or assets, we may be unable to equip our vehicles with competitive AD/ADAS features, which could damage our brand, reduce consumer demand for our vehicles or trigger cancellations of reservations and could have a material adverse effect on our business, results of operations, prospects and financial condition.</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AD/ADAS technology is also subject to considerable regulatory uncertainty, which exposes us to additional risks. See “—</w:t>
      </w:r>
      <w:r>
        <w:rPr>
          <w:rFonts w:ascii="Arial" w:cs="Arial" w:eastAsia="Arial" w:hAnsi="Arial"/>
          <w:sz w:val="18"/>
          <w:szCs w:val="18"/>
          <w:i w:val="1"/>
          <w:iCs w:val="1"/>
          <w:color w:val="auto"/>
        </w:rPr>
        <w:t>Risks Related to 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Regulation —AD/ADAS technology is subject to uncertain and evolving regulations.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prospects depend significantly on our brand.</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may be required to change our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our brand.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from time to time, our vehicles may be evaluated and reviewed by third parties.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international operations, including unfavorable regulatory, political, tax and labor conditions, which could harm our business.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conforming our vehicles to various international regulatory requirements where our vehicles are sold, or homologation;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localized supply chains and managing international supply chain and logistics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sufficient charging points for our customers in those jurisdictions, via partnerships or, if necessary, via development of our own charging networks;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interest rates, including risks related to any forward currency contracts, interest rate swaps or other hedging activities we undertake;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United States and foreign government trade restrictions, tariffs and price or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labor laws, regulations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political risk and customer perceptions based on such changes and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instability, natural disasters, pandemics (including the ongoing COVID-19 pandemic), war or events of terrorism;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international economies.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we fail to successfully address these risks, our business, prospects, results of operations and financial condition could be materially harmed.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Uninsured losses could result in payment of substantial damages, which would decrease our cash reserves and could harm our cash flow and financial condition.</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the ordinary course of business, we may be subject to losses resulting from product liability, accidents, acts of God and other claims against us, for which we may have no insurance coverage. While we currently carry commercial general liability, commercial automobile liability, excess liability, product liability, cybersecurity, crime, special crime, drone, cargo stock throughput, builder’s risk, owner controlled insurance program, property, owners protective, workers’ compensation, employment practices, employed lawyers, production, fiduciary liability and directors’ and officers’ insurance policies,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Manufacturing and Supply Chain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experienced and may in the future experience significant delays in the design, manufacture, launch and financing of the Lucid Air, which could harm our business and prospects.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Many of our vehicles are still in the development and/or testing phase, including all of the variants of the Lucid Air other than the Dream Edition, and production of the Project Gravity SUV is not expected to begin until the end of 2023, and may occur later or not at all. Any delay in the financing, design, manufacture and launch of the Lucid Air, including planned future variants, and any future electric vehicles could materially damage our business, prospects, financial condition and results of operations. Automobile manufacturers often experience delays in the design, manufacture and commercial release of new vehicle models, and we have experienced in the past, and may experience in the future, such delays with regard to additional variants of the Lucid Air. For example, we have experienced delays in the engineering of certain of our vehicle systems. Our plan to commercially manufacture and sell the Lucid Air is dependent upon the timely availability of funds, upon our finalizing of the related design, engineering, component procurement, testing, build-out and manufacturing plans in a timely manner and also upon our ability to execute these plans within the planned timeline. Prior to mass production of our electric vehicles, we will also need the vehicles to be fully approved for sale according to differing requirements, including but not limited to regulatory requirements, in the different geographies where we intend to launch our vehicles. To the extent we delay the launch of our future vehicles, our growth prospects could be adversely affected as we may fail to grow our market share.</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For example, in certain instances, international travel restrictions have prevented our supply quality engineers from conducting in-person visits and quality engineering for parts production with international suppliers, which has contributed to delays in our supply chain. Likewise, we may encounter delays with the design, construction and regulatory or other approvals necessary to bring online our future expansions of the Casa Grande manufacturing facilities, or other future manufacturing facilities. 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continued development of and the ability to manufacture our vehicles, including the Lucid Air and Project Gravity, are and will be subject to risks, including with respect to:</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ensure readiness of firmware features and functions to be integrated into the Lucid Air as planned and on the desired timeline;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finalize release candidate specifications as planned and on the desired timeline;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delays by us in delivering final component designs to our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or our suppliers’ ability to successfully tool their manufacturing facilities as planned and on the desired timeline;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ensure working supply chain and desired supplier part quality as planned and on the desired timeline;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manufacture vehicles within specified design tolerances;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occurrence of product defects that cannot be remedied without adversely affecting the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negotiate and execute definitive agreements with various suppliers for hardware, software, or services necessary to engineer or manufacture our vehicles;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and certifications;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comply with environmental, safety, and similar regulations and in a timely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secure necessary components, services, or licenses on acceptable terms and in a timely manner;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recruit, hire, retain and train skilled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implement effective and efficient quality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disruptions in our supply chain including raw material supplies;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arrangements on commercially reasonable terms with our suppliers, delivery and other partners, after sales service providers, and other operationally significant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delays, backlog in manufacturing and research and development of new models, and cost overruns;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ongoing COVID-19 pandemic, including related business interruptions and other effects;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risks identified herein.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Although we expect the net proceeds from the Transactions to be sufficient to finance the initial commercial production of the Lucid Air, 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vehicles fail to perform as expected, our ability to develop, market and sell or lease our products could be harmed.</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vehicles may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8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1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We face challenges providing charging solutions for our vehicles.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Demand for our vehicles will depend in part on the availability of charging infrastructure.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a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or at all, which could serve to limit the development of public charging infrastructure and increase the relative attractiveness to potential customers of a proprietary charging solution.</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Because commercial production of the Lucid Air has recently begun, we have no experience servicing or repairing our vehicles. Servicing electric vehicles is different than servicing vehicles with internal combustion engines and requires specialized skills, including high voltage training and servicing techniques. In addition, we plan to partner with certain third parties to perform some of the service on our vehicles, and there can be no assurance that we will be able to enter into acceptable arrangements with any such third-party providers. Further, although such servicing partners may have experience in servicing other electric vehicles, they will initially have no experience in servicing our vehicles.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motor vehicle industry laws in many states require that service facilities be available to service vehicles physically sold from locations in the state. While we anticipate developing a service program that would satisfy regulatory requirements in these circumstances, the specifics of our service program are still in development, and at some point may need to be restructured to comply with state law, which may impact our business, financial condition, results of operations and prospects.</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308" w:lineRule="auto"/>
        <w:rPr>
          <w:sz w:val="20"/>
          <w:szCs w:val="20"/>
          <w:color w:val="auto"/>
        </w:rPr>
      </w:pPr>
      <w:r>
        <w:rPr>
          <w:rFonts w:ascii="Arial" w:cs="Arial" w:eastAsia="Arial" w:hAnsi="Arial"/>
          <w:sz w:val="17"/>
          <w:szCs w:val="17"/>
          <w:b w:val="1"/>
          <w:bCs w:val="1"/>
          <w:i w:val="1"/>
          <w:iCs w:val="1"/>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will provide a manufacturer’s warranty on all vehicles and powertrain components and systems we sell. Now that our vehicles are in commercial production, we will need to maintain reserves to cover part replacement and other vehicle repair needs, including any potential software upgrades or warranty claims. In addition, we expect to provide a manufacturer’s warranty on any future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to date in high volume manufacture of our vehicles.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cannot provide any assurance as to whether we will be able to develop efficient, automated, low-cost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satisfy the requirements of customers and potential customers. Any failure to develop such production processes and capabilities within our projected costs and timelines could have a material adverse effect on our business, results of operations, prospects and financial condition. Bottlenecks and other unexpected challenges may also arise as we ramp production of the Lucid Air, and it will be important that we address them promptly while continuing to control our manufacturing costs. If we are not successful in doing so, or if we experience issues with our manufacturing process improvements, we could face delays in establishing and/or sustaining our production ramps or be unable to meet our related cost and profitability targets.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tool our manufacturing facilities or if our manufacturing facilities become inoperable, we will be unable to produce our vehicles and our business will be harmed.</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While we have completed the initial phase of construction at our manufacturing facilities in Casa Grande, Arizona, tooling our facilities for production of our vehicles and our future expansion plans are complicated and present significant challenges. For example, our manufacturing plans contemplated a compressed time period between finalization of the Lucid Air’s specifications for commercial production and the start of commercial production, which required finalization of tooling in a short time period.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our Casa Grande facilities,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projections.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324"/>
        <w:spacing w:after="0" w:line="259" w:lineRule="auto"/>
        <w:rPr>
          <w:sz w:val="20"/>
          <w:szCs w:val="20"/>
          <w:color w:val="auto"/>
        </w:rPr>
      </w:pPr>
      <w:r>
        <w:rPr>
          <w:rFonts w:ascii="Arial" w:cs="Arial" w:eastAsia="Arial" w:hAnsi="Arial"/>
          <w:sz w:val="18"/>
          <w:szCs w:val="18"/>
          <w:color w:val="auto"/>
        </w:rPr>
        <w:t>In addition, 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AD/ADAS hardware. There is no guarantee that we will be able to successfully and timely introduce and scale any such new processes or features.</w:t>
      </w:r>
    </w:p>
    <w:p>
      <w:pPr>
        <w:spacing w:after="0" w:line="18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Furthermore, our Casa Grande facilities and the equipment we use to manufacture our vehicles will be costly to repair or replace and could require substantial lead time to repair or replace and qualify for use. We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7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success, including our ability to continue production of the Lucid Air, will be dependent upon our ability to enter into supplier agreements and maintain our relationships with suppliers who are critical and necessary to the output and production of our vehicles. We also rely on suppliers to provide us with the components for our vehicles. The supplier agreements we have or may enter into with key suppliers in the future may have provisions where such agreements can be terminated in various circumstances, including potentially without cause. If these suppliers become unable to provide, or experience delays in providing, components, or if the supplier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we have not secured supply agreements for all of our components. We may be at a disadvantage in negotiating supply agreements for the production of our vehicles due to our limited operating history. In addition, there is the possibility that finalizing the supply agreements for the parts and components of our vehicles will cause significant disruption to our operations, or such supply agreements could be at costs that make it difficult for us to operate profitably.</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do not enter into long-term supplier agreements with guaranteed pricing for our parts or components, we may be exposed to fluctuations in prices of components, materials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spacing w:after="0" w:line="286" w:lineRule="auto"/>
        <w:rPr>
          <w:sz w:val="20"/>
          <w:szCs w:val="20"/>
          <w:color w:val="auto"/>
        </w:rPr>
      </w:pPr>
      <w:r>
        <w:rPr>
          <w:rFonts w:ascii="Arial" w:cs="Arial" w:eastAsia="Arial" w:hAnsi="Arial"/>
          <w:sz w:val="17"/>
          <w:szCs w:val="17"/>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could have a material adverse effect on our results of operations and financial condition.</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and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We may also be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1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we could experience delays if our suppliers do not meet agreed upon timelines or experience capacity constraints. Any disruption in the supply of components, whether or not from a single source supplier, could temporarily disrupt production of our vehicles until an alternative supplier is able to supply the required material.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favorable pricing and other terms, or at all. Any of the foregoing could materially and adversely affect our results of operations, financial condition and prospects.</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as the scale of our vehicle production increases, we will need to accurately forecast, purchase, warehouse and transport components to our manufacturing facilities and servicing locations internationally and at much higher volumes. If we are unable to accurately match the timing and quantities of component purchases to our actual needs or successfully implement automation, inventory management and other systems to accommodate the increased complexity in our supply chain, we may incur unexpected production disruption, storage, transportation and write-off costs, which could have a material adverse effect on our results of operations and financial condition.</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as we develop an international manufacturing footprint, we will face additional challenges with respect to international supply chain management and logistics costs. If we are unable to access or develop localized supply chains in the regions where we develop manufacturing facilities with the quality, costs and capabilities required, we could be required to source components from distant suppliers, which would increase our logistics and manufacturing costs, increase the risk and complexity of our supply chain and significantly impair our ability to develop cost-effective manufacturing operations, which could have a material adverse effect on our business, results of operations and financial condition.</w:t>
      </w:r>
    </w:p>
    <w:p>
      <w:pPr>
        <w:spacing w:after="0" w:line="1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attempts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costs, disruption of supply or shortage of materials, in particular for lithium-ion cells or semiconductors, could harm our business.</w:t>
      </w:r>
    </w:p>
    <w:p>
      <w:pPr>
        <w:spacing w:after="0" w:line="2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we scale commercial production of our vehicles or any future energy storage systems, we may experience increases in the cost of or a sustained interruption in the supply or shortage of materials. Any such increase, supply interruption or shortage could materially and adversely impact our business, results of operations, prospects and financial condition.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and global demand for these materials, including as a result of increased production of electric vehicles and energy storage products by our competitors, and could adversely affect our business and results of operations. For instance, we are exposed to multiple risks relating to lithium-ion cells. These risks include:</w:t>
      </w:r>
    </w:p>
    <w:p>
      <w:pPr>
        <w:spacing w:after="0" w:line="177"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cost, or decrease in the available supply, of materials, such as cobalt, used in lithium-ion cells;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in the supply of cells due to quality issues or recalls by battery cell manufacturers;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value of any foreign currencies, and the Korean Won in particular, in which battery cell and related raw material purchases are or may be denominated against the U.S. dollar.</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vehicles, including the Lucid Air, will use a substantial amount of third-party and in-house software and complex technological hardware to operate, some of which is still subject to further development and testing. The development and implementation of such advanced technologies is inherently complex, and we will need to coordinate with our vendors and suppliers in order to integrate such technology into our electric vehicles and ensure it interoperates with other complex technology as designed and as expected. 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19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delayed production and delivery of our vehicles, including the Lucid Air;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delayed market acceptance of our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customers or inability to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engineering or other resources for remedying the defect or error;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brand or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service and warranty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action by customers or third parties, including product liability claims;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penalties imposed by regulatory authorities.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if we are unable to develop the software and technology systems necessary to operate our vehicles, our competitive position will be harmed. We rely on third-party suppliers to develop a number of technologies for use in our products, including Continental, Bosch, Valeo, Cogent, Quanta, Robosense, Via, Primax, Eletrobit, Here, Ublox, Renesas, Blackberry, Qt and DSP Concepts.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adversely affected by events outside of our control, such as natural disasters, wars, health epidemics or pandemics, or security incidents.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w:t>
      </w:r>
      <w:r>
        <w:rPr>
          <w:rFonts w:ascii="Arial" w:cs="Arial" w:eastAsia="Arial" w:hAnsi="Arial"/>
          <w:sz w:val="16"/>
          <w:szCs w:val="16"/>
          <w:i w:val="1"/>
          <w:iCs w:val="1"/>
          <w:color w:val="auto"/>
        </w:rPr>
        <w:t>Risks Related to Litigation and Regulation —A failure to properly comply with foreign trade zone laws and</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regulations could increase the cost of our duties and tariffs.</w:t>
      </w:r>
      <w:r>
        <w:rPr>
          <w:rFonts w:ascii="Arial" w:cs="Arial" w:eastAsia="Arial" w:hAnsi="Arial"/>
          <w:sz w:val="16"/>
          <w:szCs w:val="16"/>
          <w:color w:val="auto"/>
        </w:rPr>
        <w:t>” We may incur significant expenses or delays relating to such events outside of our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which could have a material adverse impact on our business, results of operations and financial condition.</w:t>
      </w:r>
    </w:p>
    <w:p>
      <w:pPr>
        <w:spacing w:after="0" w:line="17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Our vehicles will make use of lithium-ion battery cells, which have been observed to catch fire or vent smoke and flame.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battery packs within our vehicles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once our vehicles are commercially available, a field or testing failure of our vehicles or other battery packs that we produce could occur.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as we scale the manufacturing of our vehicles and any future energy storage products, we will need to store a significant number of lithium-ion cells at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and Data Privacy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products contain complex information technology systems. For example, our vehicles are designed with built-in data connectivity to accept and install periodic remote updates to improve their functionality. 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Furthermore, hackers may in the future attempt to gain unauthorized access to, modify, alter and use our vehicles, products and systems to (i) gain control of, (ii) change the functionality, user interface and performance characteristics of or (iii) gain access to data stored in or generated by, our vehicles, products and systems. Advances in technology, an increased level of sophistication and diversity of our products and services, an increased level of expertise of hackers and new discoveries in the field of cryptography could lead to a compromise or breach of the measures that we or our third-party service providers use. We and our third-party service providers’ systems have in the past and may in the future be affected by security incidents. Our systems are also vulnerable to damage or interruption from, among other things, computer viruses, ransomware, killware, computer denial or degradation of service attacks, telecommunications failures, social engineering schemes, domain name spoofing, insider theft, physical theft, fire, terrorist attacks, natural disasters, power loss, war, or misuse, mistake or other attempts to harm our products and systems. Our and our third-party service providers’ or vendors’ data centers could be subject to break-ins, sabotage and intentional acts of vandalism causing potential disruptions. Some of our systems will not be fully redundant, and our disaster recovery planning cannot account for all eventualities. Any problems at our or our third-party service providers’ or vendors’ data centers could result in lengthy interruptions in our service. There can be no assurance that any security or other operational measures that we or our third-party service providers or vendors have implemented will be effective against any of the foregoing threats or issues.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324"/>
        <w:spacing w:after="0" w:line="268" w:lineRule="auto"/>
        <w:rPr>
          <w:sz w:val="20"/>
          <w:szCs w:val="20"/>
          <w:color w:val="auto"/>
        </w:rPr>
      </w:pPr>
      <w:r>
        <w:rPr>
          <w:rFonts w:ascii="Arial" w:cs="Arial" w:eastAsia="Arial" w:hAnsi="Arial"/>
          <w:sz w:val="17"/>
          <w:szCs w:val="17"/>
          <w:color w:val="auto"/>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vulnerable to being “hacked,” could negatively affect our brand. In addition, some members of the U.S. federal government, including certain members of Congress and the National Highway Traffic Safety Administration (“</w:t>
      </w:r>
      <w:r>
        <w:rPr>
          <w:rFonts w:ascii="Arial" w:cs="Arial" w:eastAsia="Arial" w:hAnsi="Arial"/>
          <w:sz w:val="17"/>
          <w:szCs w:val="17"/>
          <w:i w:val="1"/>
          <w:iCs w:val="1"/>
          <w:color w:val="auto"/>
        </w:rPr>
        <w:t>NHTSA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8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5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procurement, inventory management, production planning and execution,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3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would then be responsible for installing such updates to the software and their software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will use our vehicles’ electronic systems to log information about each vehicle’s use, such as charge time, battery usage, mileage and driving behavior, in order to aid it in vehicle diagnostics, repair and maintenance, as well as to help us customize and improve the driving and riding experience. 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global data protection landscape is rapidly evolving, and implementation standards and enforcement practices are likely to remain uncertain for the foreseeable future. We may not be able to monitor and react to all developments in a timely manner. The European Union adopted the General Data Protection Regulation (“</w:t>
      </w:r>
      <w:r>
        <w:rPr>
          <w:rFonts w:ascii="Arial" w:cs="Arial" w:eastAsia="Arial" w:hAnsi="Arial"/>
          <w:sz w:val="17"/>
          <w:szCs w:val="17"/>
          <w:i w:val="1"/>
          <w:iCs w:val="1"/>
          <w:color w:val="auto"/>
        </w:rPr>
        <w:t>GDPR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on May 25, 2018, and California adopted the California Consumer Privacy Act of 2018 (“</w:t>
      </w:r>
      <w:r>
        <w:rPr>
          <w:rFonts w:ascii="Arial" w:cs="Arial" w:eastAsia="Arial" w:hAnsi="Arial"/>
          <w:sz w:val="17"/>
          <w:szCs w:val="17"/>
          <w:i w:val="1"/>
          <w:iCs w:val="1"/>
          <w:color w:val="auto"/>
        </w:rPr>
        <w:t>CCPA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in January 2020. Both the GDPR and the CCPA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us to legal and reputational risks.</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respects starting on January 1, 2023, the California Privacy Rights Act (“</w:t>
      </w:r>
      <w:r>
        <w:rPr>
          <w:rFonts w:ascii="Arial" w:cs="Arial" w:eastAsia="Arial" w:hAnsi="Arial"/>
          <w:sz w:val="17"/>
          <w:szCs w:val="17"/>
          <w:i w:val="1"/>
          <w:iCs w:val="1"/>
          <w:color w:val="auto"/>
        </w:rPr>
        <w:t>CPRA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Other states have begun to propose similar laws. Compliance with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9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post public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324"/>
        <w:spacing w:after="0" w:line="273" w:lineRule="auto"/>
        <w:rPr>
          <w:sz w:val="20"/>
          <w:szCs w:val="20"/>
          <w:color w:val="auto"/>
        </w:rPr>
      </w:pPr>
      <w:r>
        <w:rPr>
          <w:rFonts w:ascii="Arial" w:cs="Arial" w:eastAsia="Arial" w:hAnsi="Arial"/>
          <w:sz w:val="17"/>
          <w:szCs w:val="17"/>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 and 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personnel or an inability to attract, retain and motivate qualified personnel may impair our ability to expand our business.</w:t>
      </w:r>
    </w:p>
    <w:p>
      <w:pPr>
        <w:spacing w:after="0" w:line="23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highly skilled personnel is frequently intense, especially in the San Francisco Bay Area, where we have a substantial presence and need for highly skilled personnel, including, in particular, engineers.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the services of Peter Rawlinson, our Chief Executive Officer and Chief Technology Officer.</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hire and train a significant number of employees to engage in full-scale commercial manufacturing operations, and our business could be adversely affected by labor and union activities.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need to hire and train a significant number of employees to engage in full-scale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If we are unsuccessful in hiring and training a workforce in a timely and cost-effective manner, our business, financial condition and results of operations could be adversely affected.</w:t>
      </w:r>
    </w:p>
    <w:p>
      <w:pPr>
        <w:spacing w:after="0" w:line="17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In the event our employees seek to join or form a labor union, we could be subject to risks as we engage in and attempt to finalize negotiations with any such union, including potential work slowdowns or stoppages, delays and increased costs. Furthermore, we may be directly or indirectly dependent upon companies with unionized work forces, such as parts suppliers and trucking and freight companies, and work stoppages or strikes organized by such unions could have a material adverse impact on our business, financial condition or results of operations. If a work stoppage occurs, it could delay the manufacture and sale of our products and have a material adverse effect on our business, prospects, results of operations or financial condition.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Misconduct by our employees and independent contractors during and before their employment with us could expose us to potentially significant legal liabilities, reputational harm and/or other damages to our business.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5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324"/>
        <w:spacing w:after="0" w:line="268" w:lineRule="auto"/>
        <w:rPr>
          <w:sz w:val="20"/>
          <w:szCs w:val="20"/>
          <w:color w:val="auto"/>
        </w:rPr>
      </w:pPr>
      <w:r>
        <w:rPr>
          <w:rFonts w:ascii="Arial" w:cs="Arial" w:eastAsia="Arial" w:hAnsi="Arial"/>
          <w:sz w:val="17"/>
          <w:szCs w:val="17"/>
          <w:color w:val="auto"/>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new model year and changes to the model within a model year.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regulatory limitations on our ability to sell vehicles directly, which could materially and adversely affect our ability to sell our vehicles.</w:t>
      </w:r>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business plan includes the direct sale of vehicles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anticipate that we can become a licensed dealer in certain states. In some states, we have also opened or expect to open Lucid Studios to educate and inform customers about our vehicles, but not all such Lucid Studios will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For example, the Michigan House of Representatives recently passed a bill, House Bill 6233, which would have restricted our direct sales model. Although the bill was not taken up by the Michigan Senate, similar legislation may be passed in the future in Michigan or in other jurisdictions.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b w:val="1"/>
          <w:bCs w:val="1"/>
          <w:i w:val="1"/>
          <w:iCs w:val="1"/>
          <w:color w:val="auto"/>
        </w:rPr>
        <w:t>We may choose to or be compelled to undertake product recalls or take other actions, which could adversely affect our business, prospects, results of operations, reputation and financial condition.</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Product recalls in the future may result in adverse publicity, damage our reputation and adversely affect our business, prospects, results of operations and financial condition. In the future, we may, voluntarily or involuntarily, initiate a recall if any of our electric vehicles or components (including our battery cells)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in the future be subject to legal proceedings, regulatory disputes and governmental inquiries that could cause us to incur significant expenses, divert our management’s attention, and materially harm our business, results of operations, cash flows and financial condition.</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We may become subject to product liability claims, which could harm our business, prospects, results of operations and financial condition. The automotive industry experiences significant product liability claims, and we face inherent risks of exposure to claims in the event our future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AD/ADAS features in our vehicles. See “— </w:t>
      </w:r>
      <w:r>
        <w:rPr>
          <w:rFonts w:ascii="Arial" w:cs="Arial" w:eastAsia="Arial" w:hAnsi="Arial"/>
          <w:sz w:val="17"/>
          <w:szCs w:val="17"/>
          <w:i w:val="1"/>
          <w:iCs w:val="1"/>
          <w:color w:val="auto"/>
        </w:rPr>
        <w:t>Risks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Related to Litigation and Regulation </w:t>
      </w:r>
      <w:r>
        <w:rPr>
          <w:rFonts w:ascii="Arial" w:cs="Arial" w:eastAsia="Arial" w:hAnsi="Arial"/>
          <w:sz w:val="17"/>
          <w:szCs w:val="17"/>
          <w:color w:val="auto"/>
        </w:rPr>
        <w:t>—</w:t>
      </w:r>
      <w:r>
        <w:rPr>
          <w:rFonts w:ascii="Arial" w:cs="Arial" w:eastAsia="Arial" w:hAnsi="Arial"/>
          <w:sz w:val="17"/>
          <w:szCs w:val="17"/>
          <w:i w:val="1"/>
          <w:iCs w:val="1"/>
          <w:color w:val="auto"/>
        </w:rPr>
        <w:t xml:space="preserve"> AD/ADAS technology is subject to uncertain and evolving regulations</w:t>
      </w:r>
      <w:r>
        <w:rPr>
          <w:rFonts w:ascii="Arial" w:cs="Arial" w:eastAsia="Arial" w:hAnsi="Arial"/>
          <w:sz w:val="17"/>
          <w:szCs w:val="17"/>
          <w:color w:val="auto"/>
        </w:rPr>
        <w:t>.” In addition, the battery packs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successful product liability claim against us could require us to pay a substantial monetary award. Our risks in this area are particularly pronounced given that we have not yet deployed our vehicles for consumer use and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b w:val="1"/>
          <w:bCs w:val="1"/>
          <w:i w:val="1"/>
          <w:iCs w:val="1"/>
          <w:color w:val="auto"/>
        </w:rPr>
        <w:t>We may be exposed to delays, limitations and risks related to the environmental permits and other operating permits required to operate our manufacturing facilities.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w:t>
      </w:r>
      <w:r>
        <w:rPr>
          <w:rFonts w:ascii="Arial" w:cs="Arial" w:eastAsia="Arial" w:hAnsi="Arial"/>
          <w:sz w:val="17"/>
          <w:szCs w:val="17"/>
          <w:i w:val="1"/>
          <w:iCs w:val="1"/>
          <w:color w:val="auto"/>
        </w:rPr>
        <w:t>Risks Related to Manufacturing and Supply Chain—We have experienced and may in the future experience significant delays in the design,</w:t>
      </w:r>
      <w:r>
        <w:rPr>
          <w:rFonts w:ascii="Arial" w:cs="Arial" w:eastAsia="Arial" w:hAnsi="Arial"/>
          <w:sz w:val="17"/>
          <w:szCs w:val="17"/>
          <w:color w:val="auto"/>
        </w:rPr>
        <w:t xml:space="preserve"> </w:t>
      </w:r>
      <w:r>
        <w:rPr>
          <w:rFonts w:ascii="Arial" w:cs="Arial" w:eastAsia="Arial" w:hAnsi="Arial"/>
          <w:sz w:val="17"/>
          <w:szCs w:val="17"/>
          <w:i w:val="1"/>
          <w:iCs w:val="1"/>
          <w:color w:val="auto"/>
        </w:rPr>
        <w:t>manufacture, launch and financing of the Lucid Air, which could harm our business and prospects.</w:t>
      </w:r>
      <w:r>
        <w:rPr>
          <w:rFonts w:ascii="Arial" w:cs="Arial" w:eastAsia="Arial" w:hAnsi="Arial"/>
          <w:sz w:val="17"/>
          <w:szCs w:val="17"/>
          <w:color w:val="auto"/>
        </w:rPr>
        <w: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health and safety laws and regulations that could impose substantial costs on us and cause delays in expanding our production facilities.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AD/ADAS technology is subject to uncertain and evolving regulations.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expect to introduce certain AD/ADAS technologies into our vehicles over time. AD/ADAS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anti-money laundering and anti-boycott laws and regulations. We can face criminal liability and other serious consequences for violations, which can harm our business.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the U.S. Foreign Corrupt Practices Act of 1977, as amended, the U.S. domestic bribery statute contained in 18 U.S.C. § 201, the U.S. Travel Act, the USA PATRIOT Act and possibly other anti-bribery and anti-money laundering laws in countries in which it expects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and laws that could subject us to liability if we are not in compliance with such laws.</w:t>
      </w:r>
    </w:p>
    <w:p>
      <w:pPr>
        <w:spacing w:after="0" w:line="2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U.S. trade policy, including the imposition of tariffs and the resulting consequences, could adversely affect our business, prospects, results of operations and financial condition.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A failure to properly comply with foreign trade zone laws and regulations could increase the cost of our duties and tariffs.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protects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measures we take to obtain, maintain, protect and enforce our intellectual property, including preventing unauthorized use by third parties, may not be effective for various reasons, including the following:</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patent applications we file may not result in the issuance of patents;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the first inventor of the subject matter to which we have filed a particular patent application, and we may not be the first party to file such a patent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our issued patents may not be broad enough to protect our inventions and proprietary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issued patents may be challenged or invalidated by our competitors or other third parties;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patents have a finite term, and competitors and other third parties may offer identical or similar products after the expiration of our patents that cover such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employees, contractors or business partners may breach their confidentiality, non-disclosure and non-use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competitors and other third parties may independently develop technologies that are the same or similar to ours;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associated with enforcing patents or other intellectual property rights, or confidentiality and invention assignment agreements may make enforcement impracticable;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competitors and other third parties may circumvent or otherwise design around our patents or other intellectual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324"/>
        <w:spacing w:after="0" w:line="254" w:lineRule="auto"/>
        <w:rPr>
          <w:sz w:val="20"/>
          <w:szCs w:val="20"/>
          <w:color w:val="auto"/>
        </w:rPr>
      </w:pPr>
      <w:r>
        <w:rPr>
          <w:rFonts w:ascii="Arial" w:cs="Arial" w:eastAsia="Arial" w:hAnsi="Arial"/>
          <w:sz w:val="18"/>
          <w:szCs w:val="18"/>
          <w:color w:val="auto"/>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licensed and plan to further license patents and other intellectual property from third parties, including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intellectual property, which could be time-consuming and costly and result in significant legal liability.</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substantial damages, including treble damages for willful infringement, or ongoing royalty payments;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cease developing, selling, leasing, using or incorporating certain components into vehicles or offering goods or services that incorporate or use the asserted intellectual property;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a license from the owner of the asserted intellectual property, which license may not be available on reasonable terms,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other unfavorable terms;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or our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Some of our products contain open source software, which may pose particular risks to our proprietary software, products and services in a manner that could harm our business.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Risks Related to Financing and Strategic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require additional capital to support business growth, and this capital might not be available on commercially reasonable terms, or at all.</w:t>
      </w:r>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anticipate that we will need to raise additional funds through equity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the first year following the Closing, we expect to settle tax withholding obligations in connection with vesting of the CEO RSU Award (as defined in “</w:t>
      </w:r>
      <w:r>
        <w:rPr>
          <w:rFonts w:ascii="Arial" w:cs="Arial" w:eastAsia="Arial" w:hAnsi="Arial"/>
          <w:sz w:val="17"/>
          <w:szCs w:val="17"/>
          <w:i w:val="1"/>
          <w:iCs w:val="1"/>
          <w:color w:val="auto"/>
        </w:rPr>
        <w:t>Management’s Discussion and Analysis of Financial Condition and Results of Operations—Critical</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Policies and Estimates—CEO RSU Award</w:t>
      </w:r>
      <w:r>
        <w:rPr>
          <w:rFonts w:ascii="Arial" w:cs="Arial" w:eastAsia="Arial" w:hAnsi="Arial"/>
          <w:sz w:val="17"/>
          <w:szCs w:val="17"/>
          <w:color w:val="auto"/>
        </w:rPr>
        <w:t>”) through “net settlement,” i.e., by remitting cash to satisfy the tax withholding obligation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a number of the vested shares on each vesting date. The amount of the tax withholding due on each vesting date will be based on the fair value of our common stock on such vesting date. Depending on the fair value of our common stock and the number of RSUs vesting on any applicable vesting date, such net settlement could require us to expend substantial funds to satisfy tax withholding. Our plan to continue the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over the use of proceeds from the exercise of our warrants, and we may invest or spend the proceeds in ways with which investors do not agree and in ways that may not yield a return.</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have broad discretion over the use of proceeds from the exercises of our warrants and options. Investors may not agree with our decisions, and our use of the proceeds may not yield a return on investment. We intend to use these net proceeds for general corporate purposes, which may include capital expenditures and working capital. Our use of these proceeds may differ substantially from our current plans. Our failure to apply the net proceeds from the exercises of warrants and options effectively could impair our ability to pursue our growth strategy or could require us to raise additional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identify adequate strategic relationship opportunities or form strategic relationships, in the future.</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324"/>
        <w:spacing w:after="0" w:line="311" w:lineRule="auto"/>
        <w:rPr>
          <w:sz w:val="20"/>
          <w:szCs w:val="20"/>
          <w:color w:val="auto"/>
        </w:rPr>
      </w:pPr>
      <w:r>
        <w:rPr>
          <w:rFonts w:ascii="Arial" w:cs="Arial" w:eastAsia="Arial" w:hAnsi="Arial"/>
          <w:sz w:val="16"/>
          <w:szCs w:val="16"/>
          <w:color w:val="auto"/>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its business, dilute stockholder value and adversely affect our results of operations.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period to period due to fluctuations in our operating costs, product demand and other factors.</w:t>
      </w:r>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our period-to-period financial results to vary based on our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certain other tax attributes may be limited.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2021, we had accumulated U.S. federal and state net operating loss carryforwards and research and development credits which may be available to offset and reduce future taxable income.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324"/>
        <w:spacing w:after="0" w:line="259" w:lineRule="auto"/>
        <w:rPr>
          <w:sz w:val="20"/>
          <w:szCs w:val="20"/>
          <w:color w:val="auto"/>
        </w:rPr>
      </w:pPr>
      <w:r>
        <w:rPr>
          <w:rFonts w:ascii="Arial" w:cs="Arial" w:eastAsia="Arial" w:hAnsi="Arial"/>
          <w:sz w:val="18"/>
          <w:szCs w:val="18"/>
          <w:color w:val="auto"/>
        </w:rPr>
        <w:t>However, the U.S.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net operating loss carryforwards and other pre-change attributes, such as research tax credits, to offset its post-change income or tax may be limited.</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general, an “ownership change” will occur if there is a cumulative change in our ownership by “5-percent shareholders” that exceeds 50 percentage points over a rolling three-year period. Similar rules may apply under state tax laws. We have not yet completed an analysis of whether the business combination caused an “ownership change” for these purposes. In addition, we may experience ownership changes in the future as a result of subsequent shifts in our stock ownership, some of which may be outside of our control. If we undergo an ownership change, we may be prevented from fully utilizing the net operating loss carryforwards and tax credits existing at the time of the ownership change prior to their expiration. Future regulatory changes could also limit our ability to utilize net operating loss carryforwards and tax credits. To the extent we are not able to offset future taxable income with our net operating loss carryforwards and tax credits, our net income and cash flows may be adversely affected.</w:t>
      </w:r>
    </w:p>
    <w:p>
      <w:pPr>
        <w:spacing w:after="0" w:line="1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U.S. federal net operating losses that were incurred prior to 2018 and the California net operating losses are generally available and can be carried forward for 20 years. The U.S. federal research and development credits can be carried forward for 20 years, and the California research and development credits have no expiration date. It is possible that we will not generate taxable income in time to use these net operating loss carryforwards and research and development credits before their expiration. Under legislative changes enacted in December 2017, U.S. federal net operating losses incurred in 2018 and subsequent years can be carried forward indefinitely, but the annual utilizable net operating losses may not be more than 80% of the taxable income. It is uncertain if and to what extent various states will conform to the newly enacted federal tax law.</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Unanticipated tax laws or any change in the application of existing tax laws to us or our customers may adversely impact our profitability and business.</w:t>
      </w:r>
    </w:p>
    <w:p>
      <w:pPr>
        <w:spacing w:after="0" w:line="26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operate and are subject to income and other taxes in the United States and a growing number of other jurisdictions throughout the world.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 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6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April 7, 2021 the current presidential administration proposed changes to the U.S. tax system. The proposals under discussion include changes to the U.S. corporate tax system that would increase U.S. corporate tax rates, impose a corporate minimum book tax and double the tax rate on and make other tax changes to broad categories of income earned by foreign subsidiaries. Many aspects of the current proposals are unclear or underdeveloped, and we are unable to predict which, if any, U.S. tax reform proposals will be enacted into law, and what effects any enacted legislation might have on our liability for U.S. federal income taxes. However, it is possible that the enactment of changes in the U.S. corporate tax system could have a material adverse effect on our liability for U.S. corporate tax and our consolidated effective tax rate.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Risks Related to the Restatement of Our Previously Issued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23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public statement (the “</w:t>
      </w:r>
      <w:r>
        <w:rPr>
          <w:rFonts w:ascii="Arial" w:cs="Arial" w:eastAsia="Arial" w:hAnsi="Arial"/>
          <w:sz w:val="16"/>
          <w:szCs w:val="16"/>
          <w:i w:val="1"/>
          <w:iCs w:val="1"/>
          <w:color w:val="auto"/>
        </w:rPr>
        <w:t>SEC Warrant Accounting Statement</w:t>
      </w:r>
      <w:r>
        <w:rPr>
          <w:rFonts w:ascii="Arial" w:cs="Arial" w:eastAsia="Arial" w:hAnsi="Arial"/>
          <w:sz w:val="16"/>
          <w:szCs w:val="16"/>
          <w:color w:val="auto"/>
        </w:rPr>
        <w:t>”) on accounting and reporting considerations for warrants issued by special purpose acquisition companies (“SPACs”)</w:t>
      </w:r>
      <w:r>
        <w:rPr>
          <w:rFonts w:ascii="Arial" w:cs="Arial" w:eastAsia="Arial" w:hAnsi="Arial"/>
          <w:sz w:val="16"/>
          <w:szCs w:val="16"/>
          <w:i w:val="1"/>
          <w:iCs w:val="1"/>
          <w:color w:val="auto"/>
        </w:rPr>
        <w:t>.</w:t>
      </w:r>
      <w:r>
        <w:rPr>
          <w:rFonts w:ascii="Arial" w:cs="Arial" w:eastAsia="Arial" w:hAnsi="Arial"/>
          <w:sz w:val="16"/>
          <w:szCs w:val="16"/>
          <w:color w:val="auto"/>
        </w:rPr>
        <w:t xml:space="preserve">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6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 As part of such process, Churchill identified a material weakness in its internal controls over financial reporting, solely related to Churchill’s accounting for warrants. See “—</w:t>
      </w:r>
      <w:r>
        <w:rPr>
          <w:rFonts w:ascii="Arial" w:cs="Arial" w:eastAsia="Arial" w:hAnsi="Arial"/>
          <w:sz w:val="17"/>
          <w:szCs w:val="17"/>
          <w:i w:val="1"/>
          <w:iCs w:val="1"/>
          <w:color w:val="auto"/>
        </w:rPr>
        <w:t>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Public Company Requirements- 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Public Company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 In addition, we expect to hire additional personnel to support our operations as a public company, which will increase our operating costs in future periods.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and will continue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prospectus. As a result, our stockholders may not have access to certain information they deem important. We will remain an emerging growth company until the earliest of (i) the last day of the fiscal year: (a) following August 3, 2025, the fifth anniversary of the Churchill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(ii) the date on which we have issued more than $1.0 billion in non-convertible debt during the prior three-year period. We expect that we will cease to be an emerging growth company as of December 31, 2021.</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118" w:gutter="0" w:footer="0" w:header="0"/>
        </w:sectPr>
      </w:pPr>
    </w:p>
    <w:bookmarkStart w:id="87" w:name="page88"/>
    <w:bookmarkEnd w:id="87"/>
    <w:p>
      <w:pPr>
        <w:jc w:val="both"/>
        <w:ind w:right="20" w:firstLine="324"/>
        <w:spacing w:after="0" w:line="308"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intend to continue to take advantage of the exemptions described above for as long as we continue to be an emerging growth company.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Our Business and Operations—Risks Related to Public Company Requirements —The requirements of being a public company may strain our resources and distract our management, which could make it difficult to manage our business, particularly after we are no longer an “emerging growth company</w:t>
      </w:r>
      <w:r>
        <w:rPr>
          <w:rFonts w:ascii="Arial" w:cs="Arial" w:eastAsia="Arial" w:hAnsi="Arial"/>
          <w:sz w:val="18"/>
          <w:szCs w:val="18"/>
          <w:color w:val="auto"/>
        </w:rPr>
        <w: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Closing, we are required to comply with various regulatory and reporting requirements, including those required by the SEC and Nasdaq. Complying with these reporting and other regulatory requirements will be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Lastly, a failure to comply with such requirements, as interpreted and applied, could also have a material adverse effect on our results of operations, financial condition or business.</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To implement, maintain and improve the effectiveness of our disclosure controls and procedures, we will need to commit significant resources, hire additional staff and provide additional management oversight. We will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qualify as an “emerging growth company” as defined in the JOBS Act, and we intend to take advantage of certain temporary exemptions from various reporting requirements including, but not limited to, not being required to comply with the auditor attestation requirements of Section 404 of the Sarbanes-Oxley Act and reduced disclosure obligations regarding executive compensation in the combined company’s periodic reports and proxy statements. We may also delay adoption of new or revised accounting pronouncements applicable to public companies until such pronouncements are made applicable to private companies, as permitted by the JOBS Act.</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the combined company’s internal control over financial reporting until the later of our second annual report or the first annual report required to be filed with the SEC following the date we are no longer an “emerging growth company” as defined in the JOBS Act. We expect that we will cease to be an emerging growth company as of December 31, 2021. We have identified material weaknesses in our internal control over financial reporting for the year ended December 31, 2020 and cannot assure you that there will not be material weaknesses or significant deficiencies in our internal controls in the future.</w:t>
      </w:r>
    </w:p>
    <w:p>
      <w:pPr>
        <w:spacing w:after="0" w:line="17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privately-held company, Lucid was not required to evaluate its internal control over financial reporting in a manner that meets the standards of publicly traded companies required by Section 404(a) of the Sarbanes-Oxley Act. As a public company, we will be required to provide management’s attestation on internal control over financial reporting. If we are unable to establish or maintain appropriate internal control over financial reporting or implement these additional requirements in a timely manner or with adequate compliance, it could result in material misstatements in our consolidated financial statements, failure to meet our reporting obligations on a timely basis, increases in compliance costs, and subject us to adverse regulatory consequences, all of which may adversely affect investor confidence in us and the value of our common stock.</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preparation and audit of Lucid’s consolidated financial statements as of and for the years ended December 31, 2020 and 2019, material weaknesses were identified in its internal control over financial reporting. A material weakness is a deficiency, or combination of deficiencies, in internal control over financial reporting such that there is a reasonable possibility that a material misstatement of the financial statements will not be prevented or detected on a timely basis. The following material weaknesses were identified:</w:t>
      </w:r>
    </w:p>
    <w:p>
      <w:pPr>
        <w:spacing w:after="0" w:line="187"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Lucid did not maintain a sufficient complement of personnel with accounting knowledge, experience and training to appropriately analyze, record and disclose accounting matters to provide reasonable assurance of preventing material misstatements;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Lucid did not maintain an effective process to verify changes to vendor records for payment remittances;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Lucid did not maintain effective controls over certain information technology (“</w:t>
      </w:r>
      <w:r>
        <w:rPr>
          <w:rFonts w:ascii="Arial" w:cs="Arial" w:eastAsia="Arial" w:hAnsi="Arial"/>
          <w:sz w:val="17"/>
          <w:szCs w:val="17"/>
          <w:i w:val="1"/>
          <w:iCs w:val="1"/>
          <w:color w:val="auto"/>
        </w:rPr>
        <w:t>IT</w:t>
      </w:r>
      <w:r>
        <w:rPr>
          <w:rFonts w:ascii="Arial" w:cs="Arial" w:eastAsia="Arial" w:hAnsi="Arial"/>
          <w:sz w:val="17"/>
          <w:szCs w:val="17"/>
          <w:color w:val="auto"/>
        </w:rPr>
        <w:t>”) general controls for information systems that are relevant to the preparation of its consolidated financial statements. Specifically, Lucid did not design and maintain user access controls to ensure appropriate segregation of duties and restrict user access to its financial applications to appropriate company personnel.</w:t>
      </w:r>
    </w:p>
    <w:p>
      <w:pPr>
        <w:spacing w:after="0" w:line="1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material weaknesses related to the insufficient complement of personnel and formal accounting policies, procedures and controls resulted in adjustments to several accounts and disclosures. The IT deficiencies did not result in a material misstatement to the consolidated financial statements, however, the deficiencies, when aggregated, could result in potential misstatements that would not be prevented or detected. Each of these material weaknesses could result in a material misstatement to the annual or interim consolidated financial statements that would not be prevented or detected.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begun implementing a plan to remediate these material weaknesses. These remediation measures are ongoing and include the following steps:</w:t>
      </w:r>
    </w:p>
    <w:p>
      <w:pPr>
        <w:spacing w:after="0" w:line="248"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hiring additional accounting and financial reporting personnel with appropriate technical accounting knowledge and public company experience in financial reporting;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designing and implementing effective processes and controls to prevent payment to unverified vendors;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designing and implementing security management and change management controls over IT systems, including adjusting user access levels and implementing external logging of activity and periodic review of such logs;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engaging an accounting advisory firm to assist with the documentation, evaluation, remediation and testing of our internal control over financial reporting based on the criteria established in Internal Control — Integrated Framework issued by the Committee of Sponsoring Organizations of the Treadway Commission.</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in connection with the restatement of Churchill’s financial statement reflected in Churchill’s Annual Report on Form 10-K/A filed on May 14, 2021, Churchill’s management concluded that its disclosure controls and procedures and internal control over financial reporting were not effective as of December 31, 2020 due to a material weakness in internal controls over financial reporting solely related to its accounting for warrants. See “—</w:t>
      </w:r>
      <w:r>
        <w:rPr>
          <w:rFonts w:ascii="Arial" w:cs="Arial" w:eastAsia="Arial" w:hAnsi="Arial"/>
          <w:sz w:val="18"/>
          <w:szCs w:val="18"/>
          <w:i w:val="1"/>
          <w:iCs w:val="1"/>
          <w:color w:val="auto"/>
        </w:rPr>
        <w:t>Risks Related to the Restatement of Our Previously Issued Financial Statements —Our warrants are accounted for as liabilities and the changes in</w:t>
      </w:r>
      <w:r>
        <w:rPr>
          <w:rFonts w:ascii="Arial" w:cs="Arial" w:eastAsia="Arial" w:hAnsi="Arial"/>
          <w:sz w:val="18"/>
          <w:szCs w:val="18"/>
          <w:color w:val="auto"/>
        </w:rPr>
        <w:t xml:space="preserve"> </w:t>
      </w:r>
      <w:r>
        <w:rPr>
          <w:rFonts w:ascii="Arial" w:cs="Arial" w:eastAsia="Arial" w:hAnsi="Arial"/>
          <w:sz w:val="18"/>
          <w:szCs w:val="18"/>
          <w:i w:val="1"/>
          <w:iCs w:val="1"/>
          <w:color w:val="auto"/>
        </w:rPr>
        <w:t>value of our warrants could have a material effect on our financial results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324"/>
        <w:spacing w:after="0" w:line="290" w:lineRule="auto"/>
        <w:rPr>
          <w:sz w:val="20"/>
          <w:szCs w:val="20"/>
          <w:color w:val="auto"/>
        </w:rPr>
      </w:pPr>
      <w:r>
        <w:rPr>
          <w:rFonts w:ascii="Arial" w:cs="Arial" w:eastAsia="Arial" w:hAnsi="Arial"/>
          <w:sz w:val="16"/>
          <w:szCs w:val="16"/>
          <w:color w:val="auto"/>
        </w:rPr>
        <w:t>While we are designing and implementing measures to remediate existing material weaknesses, we cannot predict the success of such measures or the outcome of our assessment of these measures at this time. Our current controls and any new controls that we develop may become inadequate because of changes in conditions in our business, personnel, IT systems and applications, or other factors. If we fail to remediate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it is possible that a material misstatement of our financial statements would not be prevented or detected on a timely basis, investors may lose confidence in the accuracy and completeness of our financial reports, and the market price of our common stock could be negatively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Legal proceedings in connection with the Transactions, the outcomes of which are uncertain, could divert management’s attention and adversely affect our daily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March 3, 2021, Richard Hofman, a purported stockholder of Churchill, filed a complaint, individually and on behalf of other Churchill stockholders, in the Superior Court of the State of California against Churchill, Lucid, and other unnamed defendants. The complaint alleged claims for fraud, negligent misrepresentation, and false advertising and unfair business practices in connection with allegedly false and misleading statements and omissions in Churchill’s public filings, concerning the proposed merger between Churchill and Lucid. The complaint sought injunctive relief, as well as compensatory and punitive damages. On March 8, 2021, plaintiff filed an ex parte application for a temporary restraining order and preliminary injunction, which Churchill opposed and the court denied on March 10, 2021. Plaintiff filed an amended complaint on March 22, 2021, solely in a personal capacity and not on behalf of any other Churchill stockholders. The amended complaint alleges claims for fraud against defendants Lucid and Peter Rawlinson, and negligent misrepresentation against Churchill, Lucid, and Mr. Rawlinson. The amended complaint seeks compensatory and punitive damages. On June 7, 2021, the plaintiff voluntarily dismissed the action without prejudice.</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Since April 18, 2021, four actions asserting claims under the federal securities laws have been filed in federal courts in Alabama, California, New Jersey and Indiana, including two putative class actions: Randy Phillips v. Churchill Capital Corporation IV, et al., 1:21-cv-00539-ACA (N.D. Ala., filed Apr. 18, 2021); Arec D. Simeri v. Churchill Capital Corporation IV, et al., 2:21-cv-04295 (C.D. Cal., filed May 24, 2021); Chris Arico v. Churchill Capital Corporation IV, et al., 1:21-cv-12355 (D.N.J., filed June 9, 2021); and Gregory Slabaugh v. Churchill Capital Corporation IV, et al., 1:21-cv-01652 (S.D. Ind., filed June 11, 2021). The complaints name Churchill, Atieva, Inc. (doing business as Lucid), Michael Klein, Jay Taragin, and Peter Rawlinson as defendants and generally allege violations of Sections 10(b) and 20(a) of the Exchange Act in connection with alleged false and misleading statements concerning Lucid’s business plans and prospects, as well as the proposed merger between Churchill and Lucid. The complaints generally seek compensatory and/or punitive damages. The </w:t>
      </w:r>
      <w:r>
        <w:rPr>
          <w:rFonts w:ascii="Arial" w:cs="Arial" w:eastAsia="Arial" w:hAnsi="Arial"/>
          <w:sz w:val="17"/>
          <w:szCs w:val="17"/>
          <w:i w:val="1"/>
          <w:iCs w:val="1"/>
          <w:color w:val="auto"/>
        </w:rPr>
        <w:t>Arico</w:t>
      </w:r>
      <w:r>
        <w:rPr>
          <w:rFonts w:ascii="Arial" w:cs="Arial" w:eastAsia="Arial" w:hAnsi="Arial"/>
          <w:sz w:val="17"/>
          <w:szCs w:val="17"/>
          <w:color w:val="auto"/>
        </w:rPr>
        <w:t xml:space="preserve"> matter was voluntarily dismissed on September 15, 2021 due to the existence of an earlier filed class action (</w:t>
      </w:r>
      <w:r>
        <w:rPr>
          <w:rFonts w:ascii="Arial" w:cs="Arial" w:eastAsia="Arial" w:hAnsi="Arial"/>
          <w:sz w:val="17"/>
          <w:szCs w:val="17"/>
          <w:i w:val="1"/>
          <w:iCs w:val="1"/>
          <w:color w:val="auto"/>
        </w:rPr>
        <w:t>Phillips</w:t>
      </w:r>
      <w:r>
        <w:rPr>
          <w:rFonts w:ascii="Arial" w:cs="Arial" w:eastAsia="Arial" w:hAnsi="Arial"/>
          <w:sz w:val="17"/>
          <w:szCs w:val="17"/>
          <w:color w:val="auto"/>
        </w:rPr>
        <w:t xml:space="preserve">). Upon motion, both the </w:t>
      </w:r>
      <w:r>
        <w:rPr>
          <w:rFonts w:ascii="Arial" w:cs="Arial" w:eastAsia="Arial" w:hAnsi="Arial"/>
          <w:sz w:val="17"/>
          <w:szCs w:val="17"/>
          <w:i w:val="1"/>
          <w:iCs w:val="1"/>
          <w:color w:val="auto"/>
        </w:rPr>
        <w:t>Simeri</w:t>
      </w:r>
      <w:r>
        <w:rPr>
          <w:rFonts w:ascii="Arial" w:cs="Arial" w:eastAsia="Arial" w:hAnsi="Arial"/>
          <w:sz w:val="17"/>
          <w:szCs w:val="17"/>
          <w:color w:val="auto"/>
        </w:rPr>
        <w:t xml:space="preserve"> and </w:t>
      </w:r>
      <w:r>
        <w:rPr>
          <w:rFonts w:ascii="Arial" w:cs="Arial" w:eastAsia="Arial" w:hAnsi="Arial"/>
          <w:sz w:val="17"/>
          <w:szCs w:val="17"/>
          <w:i w:val="1"/>
          <w:iCs w:val="1"/>
          <w:color w:val="auto"/>
        </w:rPr>
        <w:t>Slabaugh</w:t>
      </w:r>
      <w:r>
        <w:rPr>
          <w:rFonts w:ascii="Arial" w:cs="Arial" w:eastAsia="Arial" w:hAnsi="Arial"/>
          <w:sz w:val="17"/>
          <w:szCs w:val="17"/>
          <w:color w:val="auto"/>
        </w:rPr>
        <w:t xml:space="preserve"> have been transferred to the Northern District of Alabama, the location of the first filed action (</w:t>
      </w:r>
      <w:r>
        <w:rPr>
          <w:rFonts w:ascii="Arial" w:cs="Arial" w:eastAsia="Arial" w:hAnsi="Arial"/>
          <w:sz w:val="17"/>
          <w:szCs w:val="17"/>
          <w:i w:val="1"/>
          <w:iCs w:val="1"/>
          <w:color w:val="auto"/>
        </w:rPr>
        <w:t>Phillips</w:t>
      </w:r>
      <w:r>
        <w:rPr>
          <w:rFonts w:ascii="Arial" w:cs="Arial" w:eastAsia="Arial" w:hAnsi="Arial"/>
          <w:sz w:val="17"/>
          <w:szCs w:val="17"/>
          <w:color w:val="auto"/>
        </w:rPr>
        <w:t>).We believe the claims are without merit and intend to defend ourselves vigorously.</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Additional lawsuits may be filed against us or our directors and officers in connection with the Transactions. Defending such additional lawsuits could require us to incur significant costs and draw the attention of our management team away from the daily operations of Lucid. Further, the defense or settlement of any lawsuit or claim may also adversely affect our business, financial condition, results of operations and cash flows.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4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Churchill has conducted due diligence on the Lucid business, we cannot assure you that this diligence surfaced all material issues that may have been present in such business, that it was possible to uncover all material issues through a customary amount of due diligence, or that factors outside of the Lucid business and outside of our control will not later arise. As a result of these factors, we may be forced to later write-down or write-off assets, restructure operations, or incur impairment or other charges that could result in losses. Even if Churchill’s due diligence successfully identified certain risks, unexpected risks may arise and previously known risks may materialize in a manner not consistent with Churchill’s preliminary risk analysis.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spacing w:after="0" w:line="277" w:lineRule="auto"/>
        <w:rPr>
          <w:sz w:val="20"/>
          <w:szCs w:val="20"/>
          <w:color w:val="auto"/>
        </w:rPr>
      </w:pPr>
      <w:r>
        <w:rPr>
          <w:rFonts w:ascii="Arial" w:cs="Arial" w:eastAsia="Arial" w:hAnsi="Arial"/>
          <w:sz w:val="18"/>
          <w:szCs w:val="18"/>
          <w:b w:val="1"/>
          <w:bCs w:val="1"/>
          <w:i w:val="1"/>
          <w:iCs w:val="1"/>
          <w:color w:val="auto"/>
        </w:rPr>
        <w:t>If the benefits of the Transactions do not meet the expectations of investors, stockholders or financial analysts, the market price of our securities may decline.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benefits of the Transactions do not meet the expectations of investors, stockholders or securities analysts, the market price of our securities may decline.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Fluctuations in the price of our securities could contribute to the loss of all or part of your investment. Immediately prior to the Transactions, there has not been a public market for stock relating to the Lucid business and trading in shares of Churchill’s Class A common stock has not been active. Accordingly, the valuation ascribed to the Lucid business and Churchill’s Class A common stock in the Transactions may not be indicative of the price that will prevail in the trading market following the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an active and liquid public market for our securities will develop.</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Churchill was a blank check company and there was no public market for Lucid Common Shares since Lucid was a private company. A liquid trading market for our common stock may never develop or, if developed, it may not be sustained. In the absence of a liquid public trading market:</w:t>
      </w:r>
    </w:p>
    <w:p>
      <w:pPr>
        <w:spacing w:after="0" w:line="14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may not be able to resell your shares of our common stock at or above the price you paid for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 price of shares of our common stock may experience significant price volatility;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securities depends on many factors, including those described elsewhere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many of which are beyond our control and may not be related to our operating performance. These fluctuations could cause you to lose all or part of your investment in our securities since you might be unable to sell them at or above the price you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ours;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timing of the achievement of objectives under our business plan and the timing and amount of costs we incur in connection therewith;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substantial amounts of our common stock by our directors, officers or significant stockholders or the perception that such sales could occur;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risk factors listed under “Risk Factors.”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common stock,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b w:val="1"/>
          <w:bCs w:val="1"/>
          <w:i w:val="1"/>
          <w:iCs w:val="1"/>
          <w:color w:val="auto"/>
        </w:rPr>
        <w:t>Nasdaq may not continue to list our securities, which could limit investors’ ability to make transactions in our securities and subject us to additional trading restrictions.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are currently listed on the Nasdaq Global Select Market.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18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such securities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common stock is restricted from immediate resale, but may be sold into the market in the future. This could cause the market price of our common stock to drop significantly, even if our business is doing well.</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immediately after the Closing, we had outstanding (i) 1,618,621,534 shares of our common stock, (ii) warrants to purchase 85,750,000 shares of our common stock, and (iii) options and restricted stock units covering 111,531,080 shares of our common stock.</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Pursuant to the Investor Rights Agreement and our current bylaws, and subject to certain exceptions, the holders of: (i) shares of common stock issued as consideration pursuant to the Merger, (ii) any assumed Lucid Equity Awards; or (iii) shares of common stock underlying such assumed Lucid Equity Awards, in each case, are restricted from selling or transferring any of the securities described in clauses (i), (ii) or (iii). Such restrictions began at the Closing and will end at the date that is 180 days after the Closing. Pursuant to the Investor Rights Agreement, the Sponsor has agreed to similar restrictions for a period of 18 months with respect to our common stock and Private Placement Warrants held by it. However, following the expiration of such lock-up periods, the Sponsor and the other lock-up parties will not be restricted from selling our securities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pursuant to the Investor Rights Agreement, the Sponsor, Ayar and certain other parties thereto are entitled to, among other things, certain registration rights, including demand, piggy-back and shelf registration rights, subject to cut-back provisions.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3" w:name="page94"/>
    <w:bookmarkEnd w:id="93"/>
    <w:p>
      <w:pPr>
        <w:jc w:val="both"/>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applicable rules of Nasdaq and, as a result, qualify for exemptions from certain corporate governance requirements. Our stockholders will not have the same protections afforded to stockholders of companies that are not controlled companies.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the Closing Date, Ayar held approximately 62.7%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as of the date of this report,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Sponsor and Ayar beneficially own a significant equity interest in us and may take actions that conflict with your interests.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interests of Sponsor and Ayar may not align with our interests and the interests of our other stockholders. The Sponsor and Ayar are each in the business of making investments in companies and may acquire and hold interests in businesses that compete directly or indirectly with us. The Sponsor and Ayar and their respective affiliates, may also pursue acquisition opportunities that may be complementary to our business and, as a result, those acquisition opportunities may not be available to us.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our common stock or other equity securities without your approval, which would dilute your ownership interests and may depress the market price of your shares.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may issue additional shares of our common stock or other equity securities of equal or senior rank in the future in connection with, among other things, future acquisitions, repayment of outstanding indebtedness or under our Incentive Plan, without stockholder approval, in a number of circumstances. In connection with the Transactions, we assumed Lucid Equity Awards covering approximately 111.5 million shares of our common stock.</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issuance of additional shares of our common stock or other equity securities of equal or senior rank could have the following effects:</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your proportionate ownership interest in us will decrease;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 price of our stock may decline.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may differ significantly from the unaudited pro forma condensed combined financial information included in this report.</w:t>
      </w:r>
    </w:p>
    <w:p>
      <w:pPr>
        <w:spacing w:after="0" w:line="2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report includes our unaudited pro forma condensed combined financial statements. Our unaudited pro forma condensed combined statement of loss combines the historical results of operations of Churchill.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324"/>
        <w:spacing w:after="0" w:line="272"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set forth in such unaudited pro forma condensed combined financial statements, or the future consolidated results of operations or financial position of Lucid. Accordingly, our business, assets, cash flows, results of operations and financial condition may differ significantly from those indicated by the unaudited pro forma condensed combined financial statements included in this report. For more information, please see the section entitled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have never declared or paid cash dividends on our capital stock, and we do not anticipate paying any cash dividends in the foreseeable future. We currently intend to retain its future earnings, if any, for the foreseeable future, to fund the development and growth of our business.</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Please see the section titled “</w:t>
      </w:r>
      <w:r>
        <w:rPr>
          <w:rFonts w:ascii="Arial" w:cs="Arial" w:eastAsia="Arial" w:hAnsi="Arial"/>
          <w:sz w:val="18"/>
          <w:szCs w:val="18"/>
          <w:i w:val="1"/>
          <w:iCs w:val="1"/>
          <w:color w:val="auto"/>
        </w:rPr>
        <w:t>Management’s Discussion and Analysis of Financial Condition and Results of Operations—Liquidity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w:t>
      </w:r>
      <w:r>
        <w:rPr>
          <w:rFonts w:ascii="Arial" w:cs="Arial" w:eastAsia="Arial" w:hAnsi="Arial"/>
          <w:sz w:val="18"/>
          <w:szCs w:val="18"/>
          <w:color w:val="auto"/>
        </w:rPr>
        <w:t>” for more information.</w:t>
      </w:r>
    </w:p>
    <w:p>
      <w:pPr>
        <w:spacing w:after="0" w:line="170"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18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employees to us or our stockholders;</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governed by the internal affairs doctrine.</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ind w:right="20"/>
        <w:spacing w:after="0" w:line="277" w:lineRule="auto"/>
        <w:rPr>
          <w:sz w:val="20"/>
          <w:szCs w:val="20"/>
          <w:color w:val="auto"/>
        </w:rPr>
      </w:pPr>
      <w:r>
        <w:rPr>
          <w:rFonts w:ascii="Arial" w:cs="Arial" w:eastAsia="Arial" w:hAnsi="Arial"/>
          <w:sz w:val="18"/>
          <w:szCs w:val="18"/>
          <w:b w:val="1"/>
          <w:bCs w:val="1"/>
          <w:i w:val="1"/>
          <w:iCs w:val="1"/>
          <w:color w:val="auto"/>
        </w:rPr>
        <w:t>Some provisions of Delaware law and our current certificate of incorporation and our current bylaws may deter third parties from acquiring us and diminish the value of our common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the Investor Rights Agreement, advance notice for nominations of directors by stockholders and for stockholders to include matters to be considered at stockholder meetings;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and take other corporate 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spacing w:after="0" w:line="342" w:lineRule="auto"/>
        <w:rPr>
          <w:sz w:val="20"/>
          <w:szCs w:val="20"/>
          <w:color w:val="auto"/>
        </w:rPr>
      </w:pPr>
      <w:r>
        <w:rPr>
          <w:rFonts w:ascii="Arial" w:cs="Arial" w:eastAsia="Arial" w:hAnsi="Arial"/>
          <w:sz w:val="16"/>
          <w:szCs w:val="16"/>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would likely decline. If any analyst who do cover us were to cease coverage of us or fail to regularly publish reports on us, we could lose visibility in the financial markets, which could cause our stock price or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2021, Churchill entered into the Subscription Agreements pursuant to which certain investors agreed to subscribe for 166,666,667 shares of Class A common stock at a purchase price of $15.00 per share for an aggregate commitment of $2,500,000,005. Ayar, Lucid’s majority shareholder, agreed to purchase 13,333,333 of such shares. At the Closing, the Company consummated such PIPE Investment and issued 166,666,667 shares of its Class A common stock for aggregate gross proceeds of $2,500,000,005.</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BofA Securities, Inc. and Citigroup Global Markets Inc., as placement agents for the PIPE Investment, received customary fees in connection with such Closing equal to approximately $12.6 million and $12.6 million, respectively.</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sales of the shares of Class A common stock as part of such PIPE Investment were deemed to be exempt from registration under the Securities Act in reliance upon Section 4(a)(2) of the Securities Act (or Regulation D or Regulation S promulgated thereunder) as transactions by an issuer not involving any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13, 2021, our compensation committee approved the payment of annual cash bonuses for 2021 to certain executive officers in view of the successful achievement of the start of production and start of customer deliveries of the Lucid Air, as well as their respective contributions to the Company’s overall success in 2021, as follows: Mr. Rawlinson will receive $400,000, Mr. Bach will receive $282,000, Ms. House will receive $166,000 Mr. Bell will receive $268,000, and Mr. Smuts will receive $81,000.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listed on the Exhibit Index to this Form 10-Q are filed herewith or incorporated by reference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tbl>
      <w:tblPr>
        <w:tblLayout w:type="fixed"/>
        <w:tblInd w:w="52"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40" w:type="dxa"/>
            <w:vAlign w:val="bottom"/>
            <w:gridSpan w:val="12"/>
          </w:tcPr>
          <w:p>
            <w:pPr>
              <w:ind w:left="420"/>
              <w:spacing w:after="0"/>
              <w:rPr>
                <w:sz w:val="20"/>
                <w:szCs w:val="20"/>
                <w:color w:val="auto"/>
              </w:rPr>
            </w:pPr>
            <w:r>
              <w:rPr>
                <w:rFonts w:ascii="Arial" w:cs="Arial" w:eastAsia="Arial" w:hAnsi="Arial"/>
                <w:sz w:val="18"/>
                <w:szCs w:val="18"/>
                <w:b w:val="1"/>
                <w:bCs w:val="1"/>
                <w:color w:val="auto"/>
              </w:rPr>
              <w:t>EXHIBIT INDEX</w:t>
            </w:r>
          </w:p>
        </w:tc>
      </w:tr>
      <w:tr>
        <w:trPr>
          <w:trHeight w:val="643"/>
        </w:trPr>
        <w:tc>
          <w:tcPr>
            <w:tcW w:w="880" w:type="dxa"/>
            <w:vAlign w:val="bottom"/>
            <w:gridSpan w:val="7"/>
          </w:tcPr>
          <w:p>
            <w:pPr>
              <w:ind w:left="40"/>
              <w:spacing w:after="0"/>
              <w:rPr>
                <w:sz w:val="20"/>
                <w:szCs w:val="20"/>
                <w:color w:val="auto"/>
              </w:rPr>
            </w:pPr>
            <w:r>
              <w:rPr>
                <w:rFonts w:ascii="Arial" w:cs="Arial" w:eastAsia="Arial" w:hAnsi="Arial"/>
                <w:sz w:val="18"/>
                <w:szCs w:val="18"/>
                <w:b w:val="1"/>
                <w:bCs w:val="1"/>
                <w:color w:val="auto"/>
              </w:rPr>
              <w:t>Exhibit</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880" w:type="dxa"/>
            <w:vAlign w:val="bottom"/>
            <w:gridSpan w:val="7"/>
          </w:tcPr>
          <w:p>
            <w:pPr>
              <w:spacing w:after="0"/>
              <w:rPr>
                <w:sz w:val="20"/>
                <w:szCs w:val="20"/>
                <w:color w:val="auto"/>
              </w:rPr>
            </w:pPr>
            <w:r>
              <w:rPr>
                <w:rFonts w:ascii="Arial" w:cs="Arial" w:eastAsia="Arial" w:hAnsi="Arial"/>
                <w:sz w:val="18"/>
                <w:szCs w:val="18"/>
                <w:b w:val="1"/>
                <w:bCs w:val="1"/>
                <w:color w:val="auto"/>
              </w:rPr>
              <w:t>Number</w:t>
            </w: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220" w:type="dxa"/>
            <w:vAlign w:val="bottom"/>
            <w:gridSpan w:val="3"/>
          </w:tcPr>
          <w:p>
            <w:pPr>
              <w:spacing w:after="0"/>
              <w:rPr>
                <w:sz w:val="24"/>
                <w:szCs w:val="24"/>
                <w:color w:val="auto"/>
              </w:rPr>
            </w:pPr>
          </w:p>
        </w:tc>
        <w:tc>
          <w:tcPr>
            <w:tcW w:w="240" w:type="dxa"/>
            <w:vAlign w:val="bottom"/>
            <w:tcBorders>
              <w:bottom w:val="single" w:sz="8" w:color="0000EE"/>
            </w:tcBorders>
          </w:tcPr>
          <w:p>
            <w:pPr>
              <w:jc w:val="center"/>
              <w:spacing w:after="0"/>
              <w:rPr>
                <w:rFonts w:ascii="Arial" w:cs="Arial" w:eastAsia="Arial" w:hAnsi="Arial"/>
                <w:sz w:val="18"/>
                <w:szCs w:val="18"/>
                <w:color w:val="0000EE"/>
                <w:w w:val="95"/>
              </w:rPr>
            </w:pPr>
            <w:hyperlink r:id="rId133">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Borders>
              <w:bottom w:val="single" w:sz="8" w:color="0000EE"/>
            </w:tcBorders>
            <w:gridSpan w:val="8"/>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Second Amended and Restated Certificate of Incorporation</w:t>
              </w:r>
            </w:hyperlink>
          </w:p>
        </w:tc>
        <w:tc>
          <w:tcPr>
            <w:tcW w:w="1740" w:type="dxa"/>
            <w:vAlign w:val="bottom"/>
            <w:gridSpan w:val="10"/>
          </w:tcPr>
          <w:p>
            <w:pPr>
              <w:spacing w:after="0"/>
              <w:rPr>
                <w:sz w:val="24"/>
                <w:szCs w:val="24"/>
                <w:color w:val="auto"/>
              </w:rPr>
            </w:pPr>
          </w:p>
        </w:tc>
      </w:tr>
      <w:tr>
        <w:trPr>
          <w:trHeight w:val="628"/>
        </w:trPr>
        <w:tc>
          <w:tcPr>
            <w:tcW w:w="460" w:type="dxa"/>
            <w:vAlign w:val="bottom"/>
            <w:gridSpan w:val="4"/>
          </w:tcPr>
          <w:p>
            <w:pPr>
              <w:jc w:val="center"/>
              <w:ind w:left="130"/>
              <w:spacing w:after="0"/>
              <w:rPr>
                <w:rFonts w:ascii="Arial" w:cs="Arial" w:eastAsia="Arial" w:hAnsi="Arial"/>
                <w:sz w:val="18"/>
                <w:szCs w:val="18"/>
                <w:color w:val="0000EE"/>
                <w:w w:val="95"/>
              </w:rPr>
            </w:pPr>
            <w:hyperlink r:id="rId134">
              <w:r>
                <w:rPr>
                  <w:rFonts w:ascii="Arial" w:cs="Arial" w:eastAsia="Arial" w:hAnsi="Arial"/>
                  <w:sz w:val="18"/>
                  <w:szCs w:val="18"/>
                  <w:color w:val="0000EE"/>
                  <w:w w:val="95"/>
                </w:rPr>
                <w:t>3.</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0" w:type="dxa"/>
            <w:vAlign w:val="bottom"/>
            <w:gridSpan w:val="18"/>
          </w:tcPr>
          <w:p>
            <w:pPr>
              <w:spacing w:after="0"/>
              <w:rPr>
                <w:rFonts w:ascii="Arial" w:cs="Arial" w:eastAsia="Arial" w:hAnsi="Arial"/>
                <w:sz w:val="18"/>
                <w:szCs w:val="18"/>
                <w:color w:val="0000EE"/>
              </w:rPr>
            </w:pPr>
            <w:hyperlink r:id="rId134">
              <w:r>
                <w:rPr>
                  <w:rFonts w:ascii="Arial" w:cs="Arial" w:eastAsia="Arial" w:hAnsi="Arial"/>
                  <w:sz w:val="18"/>
                  <w:szCs w:val="18"/>
                  <w:color w:val="0000EE"/>
                </w:rPr>
                <w:t>Amended and Restated Bylaws</w:t>
              </w:r>
            </w:hyperlink>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8"/>
        </w:trPr>
        <w:tc>
          <w:tcPr>
            <w:tcW w:w="180" w:type="dxa"/>
            <w:vAlign w:val="bottom"/>
            <w:gridSpan w:val="2"/>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Form of Repurchase Agreement, dated as of October 8, 2021, between Lucid</w:t>
              </w:r>
            </w:hyperlink>
          </w:p>
        </w:tc>
        <w:tc>
          <w:tcPr>
            <w:tcW w:w="460" w:type="dxa"/>
            <w:vAlign w:val="bottom"/>
            <w:gridSpan w:val="7"/>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Group, Inc. and each signatory thereto</w:t>
              </w:r>
            </w:hyperlink>
          </w:p>
        </w:tc>
        <w:tc>
          <w:tcPr>
            <w:tcW w:w="3240" w:type="dxa"/>
            <w:vAlign w:val="bottom"/>
            <w:gridSpan w:val="13"/>
          </w:tcPr>
          <w:p>
            <w:pPr>
              <w:spacing w:after="0"/>
              <w:rPr>
                <w:sz w:val="17"/>
                <w:szCs w:val="17"/>
                <w:color w:val="auto"/>
              </w:rPr>
            </w:pPr>
          </w:p>
        </w:tc>
      </w:tr>
      <w:tr>
        <w:trPr>
          <w:trHeight w:val="412"/>
        </w:trPr>
        <w:tc>
          <w:tcPr>
            <w:tcW w:w="180" w:type="dxa"/>
            <w:vAlign w:val="bottom"/>
            <w:gridSpan w:val="2"/>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tcBorders>
              <w:bottom w:val="single" w:sz="8" w:color="0000EE"/>
            </w:tcBorders>
            <w:gridSpan w:val="4"/>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Form of Indemnification Agreement</w:t>
              </w:r>
            </w:hyperlink>
          </w:p>
        </w:tc>
        <w:tc>
          <w:tcPr>
            <w:tcW w:w="3380" w:type="dxa"/>
            <w:vAlign w:val="bottom"/>
            <w:gridSpan w:val="14"/>
          </w:tcPr>
          <w:p>
            <w:pPr>
              <w:spacing w:after="0"/>
              <w:rPr>
                <w:sz w:val="24"/>
                <w:szCs w:val="24"/>
                <w:color w:val="auto"/>
              </w:rPr>
            </w:pPr>
          </w:p>
        </w:tc>
      </w:tr>
      <w:tr>
        <w:trPr>
          <w:trHeight w:val="628"/>
        </w:trPr>
        <w:tc>
          <w:tcPr>
            <w:tcW w:w="140" w:type="dxa"/>
            <w:vAlign w:val="bottom"/>
          </w:tcPr>
          <w:p>
            <w:pPr>
              <w:spacing w:after="0"/>
              <w:rPr>
                <w:sz w:val="24"/>
                <w:szCs w:val="24"/>
                <w:color w:val="auto"/>
              </w:rPr>
            </w:pPr>
          </w:p>
        </w:tc>
        <w:tc>
          <w:tcPr>
            <w:tcW w:w="400" w:type="dxa"/>
            <w:vAlign w:val="bottom"/>
            <w:gridSpan w:val="5"/>
          </w:tcPr>
          <w:p>
            <w:pPr>
              <w:jc w:val="center"/>
              <w:spacing w:after="0"/>
              <w:rPr>
                <w:rFonts w:ascii="Arial" w:cs="Arial" w:eastAsia="Arial" w:hAnsi="Arial"/>
                <w:sz w:val="18"/>
                <w:szCs w:val="18"/>
                <w:color w:val="0000EE"/>
                <w:w w:val="87"/>
              </w:rPr>
            </w:pPr>
            <w:hyperlink r:id="rId136">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3</w:t>
              </w:r>
              <w:r>
                <w:rPr>
                  <w:rFonts w:ascii="Arial" w:cs="Arial" w:eastAsia="Arial" w:hAnsi="Arial"/>
                  <w:sz w:val="18"/>
                  <w:szCs w:val="18"/>
                  <w:color w:val="0000EE"/>
                  <w:w w:val="87"/>
                </w:rPr>
                <w:t>˄</w:t>
              </w:r>
            </w:hyperlink>
          </w:p>
        </w:tc>
        <w:tc>
          <w:tcPr>
            <w:tcW w:w="340" w:type="dxa"/>
            <w:vAlign w:val="bottom"/>
          </w:tcPr>
          <w:p>
            <w:pPr>
              <w:spacing w:after="0"/>
              <w:rPr>
                <w:sz w:val="24"/>
                <w:szCs w:val="24"/>
                <w:color w:val="auto"/>
              </w:rPr>
            </w:pPr>
          </w:p>
        </w:tc>
        <w:tc>
          <w:tcPr>
            <w:tcW w:w="6000" w:type="dxa"/>
            <w:vAlign w:val="bottom"/>
            <w:gridSpan w:val="18"/>
          </w:tcPr>
          <w:p>
            <w:pPr>
              <w:spacing w:after="0"/>
              <w:rPr>
                <w:rFonts w:ascii="Arial" w:cs="Arial" w:eastAsia="Arial" w:hAnsi="Arial"/>
                <w:sz w:val="18"/>
                <w:szCs w:val="18"/>
                <w:color w:val="0000EE"/>
              </w:rPr>
            </w:pPr>
            <w:hyperlink r:id="rId136">
              <w:r>
                <w:rPr>
                  <w:rFonts w:ascii="Arial" w:cs="Arial" w:eastAsia="Arial" w:hAnsi="Arial"/>
                  <w:sz w:val="18"/>
                  <w:szCs w:val="18"/>
                  <w:color w:val="0000EE"/>
                </w:rPr>
                <w:t>Lucid Group, Inc. 2021. Performance Bonus Plan</w:t>
              </w:r>
            </w:hyperlink>
          </w:p>
        </w:tc>
      </w:tr>
      <w:tr>
        <w:trPr>
          <w:trHeight w:val="20"/>
        </w:trPr>
        <w:tc>
          <w:tcPr>
            <w:tcW w:w="140" w:type="dxa"/>
            <w:vAlign w:val="bottom"/>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tcBorders>
              <w:right w:val="single" w:sz="8" w:color="0000EE"/>
            </w:tcBorders>
            <w:gridSpan w:val="4"/>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8"/>
        </w:trPr>
        <w:tc>
          <w:tcPr>
            <w:tcW w:w="140" w:type="dxa"/>
            <w:vAlign w:val="bottom"/>
          </w:tcPr>
          <w:p>
            <w:pPr>
              <w:spacing w:after="0"/>
              <w:rPr>
                <w:sz w:val="24"/>
                <w:szCs w:val="24"/>
                <w:color w:val="auto"/>
              </w:rPr>
            </w:pPr>
          </w:p>
        </w:tc>
        <w:tc>
          <w:tcPr>
            <w:tcW w:w="400" w:type="dxa"/>
            <w:vAlign w:val="bottom"/>
            <w:gridSpan w:val="5"/>
          </w:tcPr>
          <w:p>
            <w:pPr>
              <w:jc w:val="center"/>
              <w:spacing w:after="0"/>
              <w:rPr>
                <w:rFonts w:ascii="Arial" w:cs="Arial" w:eastAsia="Arial" w:hAnsi="Arial"/>
                <w:sz w:val="18"/>
                <w:szCs w:val="18"/>
                <w:color w:val="0000EE"/>
                <w:w w:val="87"/>
              </w:rPr>
            </w:pPr>
            <w:hyperlink r:id="rId137">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4</w:t>
              </w:r>
              <w:r>
                <w:rPr>
                  <w:rFonts w:ascii="Arial" w:cs="Arial" w:eastAsia="Arial" w:hAnsi="Arial"/>
                  <w:sz w:val="18"/>
                  <w:szCs w:val="18"/>
                  <w:color w:val="0000EE"/>
                  <w:w w:val="87"/>
                </w:rPr>
                <w:t>˄</w:t>
              </w:r>
            </w:hyperlink>
          </w:p>
        </w:tc>
        <w:tc>
          <w:tcPr>
            <w:tcW w:w="340" w:type="dxa"/>
            <w:vAlign w:val="bottom"/>
          </w:tcPr>
          <w:p>
            <w:pPr>
              <w:spacing w:after="0"/>
              <w:rPr>
                <w:sz w:val="24"/>
                <w:szCs w:val="24"/>
                <w:color w:val="auto"/>
              </w:rPr>
            </w:pPr>
          </w:p>
        </w:tc>
        <w:tc>
          <w:tcPr>
            <w:tcW w:w="6000" w:type="dxa"/>
            <w:vAlign w:val="bottom"/>
            <w:gridSpan w:val="18"/>
          </w:tcPr>
          <w:p>
            <w:pPr>
              <w:spacing w:after="0"/>
              <w:rPr>
                <w:rFonts w:ascii="Arial" w:cs="Arial" w:eastAsia="Arial" w:hAnsi="Arial"/>
                <w:sz w:val="18"/>
                <w:szCs w:val="18"/>
                <w:color w:val="0000EE"/>
                <w:w w:val="97"/>
              </w:rPr>
            </w:pPr>
            <w:hyperlink r:id="rId137">
              <w:r>
                <w:rPr>
                  <w:rFonts w:ascii="Arial" w:cs="Arial" w:eastAsia="Arial" w:hAnsi="Arial"/>
                  <w:sz w:val="18"/>
                  <w:szCs w:val="18"/>
                  <w:color w:val="0000EE"/>
                  <w:w w:val="97"/>
                </w:rPr>
                <w:t>Lucid Group, Inc. 2021 Executive Severance Benefit Plan and Summary Plan</w:t>
              </w:r>
            </w:hyperlink>
          </w:p>
        </w:tc>
      </w:tr>
      <w:tr>
        <w:trPr>
          <w:trHeight w:val="196"/>
        </w:trPr>
        <w:tc>
          <w:tcPr>
            <w:tcW w:w="1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Description</w:t>
              </w:r>
            </w:hyperlink>
          </w:p>
        </w:tc>
        <w:tc>
          <w:tcPr>
            <w:tcW w:w="4740" w:type="dxa"/>
            <w:vAlign w:val="bottom"/>
            <w:tcBorders>
              <w:top w:val="single" w:sz="8" w:color="0000EE"/>
            </w:tcBorders>
            <w:gridSpan w:val="11"/>
          </w:tcPr>
          <w:p>
            <w:pPr>
              <w:spacing w:after="0"/>
              <w:rPr>
                <w:sz w:val="17"/>
                <w:szCs w:val="17"/>
                <w:color w:val="auto"/>
              </w:rPr>
            </w:pPr>
          </w:p>
        </w:tc>
        <w:tc>
          <w:tcPr>
            <w:tcW w:w="420" w:type="dxa"/>
            <w:vAlign w:val="bottom"/>
            <w:gridSpan w:val="6"/>
          </w:tcPr>
          <w:p>
            <w:pPr>
              <w:spacing w:after="0"/>
              <w:rPr>
                <w:sz w:val="17"/>
                <w:szCs w:val="17"/>
                <w:color w:val="auto"/>
              </w:rPr>
            </w:pPr>
          </w:p>
        </w:tc>
      </w:tr>
      <w:tr>
        <w:trPr>
          <w:trHeight w:val="412"/>
        </w:trPr>
        <w:tc>
          <w:tcPr>
            <w:tcW w:w="140" w:type="dxa"/>
            <w:vAlign w:val="bottom"/>
          </w:tcPr>
          <w:p>
            <w:pPr>
              <w:spacing w:after="0"/>
              <w:rPr>
                <w:sz w:val="24"/>
                <w:szCs w:val="24"/>
                <w:color w:val="auto"/>
              </w:rPr>
            </w:pPr>
          </w:p>
        </w:tc>
        <w:tc>
          <w:tcPr>
            <w:tcW w:w="400" w:type="dxa"/>
            <w:vAlign w:val="bottom"/>
            <w:gridSpan w:val="5"/>
          </w:tcPr>
          <w:p>
            <w:pPr>
              <w:jc w:val="center"/>
              <w:spacing w:after="0"/>
              <w:rPr>
                <w:rFonts w:ascii="Arial" w:cs="Arial" w:eastAsia="Arial" w:hAnsi="Arial"/>
                <w:sz w:val="18"/>
                <w:szCs w:val="18"/>
                <w:color w:val="0000EE"/>
                <w:w w:val="87"/>
              </w:rPr>
            </w:pPr>
            <w:hyperlink r:id="rId138">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5</w:t>
              </w:r>
              <w:r>
                <w:rPr>
                  <w:rFonts w:ascii="Arial" w:cs="Arial" w:eastAsia="Arial" w:hAnsi="Arial"/>
                  <w:sz w:val="18"/>
                  <w:szCs w:val="18"/>
                  <w:color w:val="0000EE"/>
                  <w:w w:val="87"/>
                </w:rPr>
                <w:t>˄</w:t>
              </w:r>
            </w:hyperlink>
          </w:p>
        </w:tc>
        <w:tc>
          <w:tcPr>
            <w:tcW w:w="340" w:type="dxa"/>
            <w:vAlign w:val="bottom"/>
          </w:tcPr>
          <w:p>
            <w:pPr>
              <w:spacing w:after="0"/>
              <w:rPr>
                <w:sz w:val="24"/>
                <w:szCs w:val="24"/>
                <w:color w:val="auto"/>
              </w:rPr>
            </w:pPr>
          </w:p>
        </w:tc>
        <w:tc>
          <w:tcPr>
            <w:tcW w:w="6000" w:type="dxa"/>
            <w:vAlign w:val="bottom"/>
            <w:gridSpan w:val="18"/>
          </w:tcPr>
          <w:p>
            <w:pPr>
              <w:spacing w:after="0"/>
              <w:rPr>
                <w:rFonts w:ascii="Arial" w:cs="Arial" w:eastAsia="Arial" w:hAnsi="Arial"/>
                <w:sz w:val="18"/>
                <w:szCs w:val="18"/>
                <w:color w:val="0000EE"/>
                <w:w w:val="97"/>
              </w:rPr>
            </w:pPr>
            <w:hyperlink r:id="rId138">
              <w:r>
                <w:rPr>
                  <w:rFonts w:ascii="Arial" w:cs="Arial" w:eastAsia="Arial" w:hAnsi="Arial"/>
                  <w:sz w:val="18"/>
                  <w:szCs w:val="18"/>
                  <w:color w:val="0000EE"/>
                  <w:w w:val="97"/>
                </w:rPr>
                <w:t>Form of Participation Agreement under the Lucid Group, Inc. 2021 Executive</w:t>
              </w:r>
            </w:hyperlink>
          </w:p>
        </w:tc>
      </w:tr>
      <w:tr>
        <w:trPr>
          <w:trHeight w:val="196"/>
        </w:trPr>
        <w:tc>
          <w:tcPr>
            <w:tcW w:w="1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38">
              <w:r>
                <w:rPr>
                  <w:rFonts w:ascii="Arial" w:cs="Arial" w:eastAsia="Arial" w:hAnsi="Arial"/>
                  <w:sz w:val="18"/>
                  <w:szCs w:val="18"/>
                  <w:color w:val="0000EE"/>
                  <w:w w:val="88"/>
                </w:rPr>
                <w:t>Severance Benefit Plan</w:t>
              </w:r>
            </w:hyperlink>
          </w:p>
        </w:tc>
        <w:tc>
          <w:tcPr>
            <w:tcW w:w="3920" w:type="dxa"/>
            <w:vAlign w:val="bottom"/>
            <w:tcBorders>
              <w:top w:val="single" w:sz="8" w:color="0000EE"/>
            </w:tcBorders>
            <w:gridSpan w:val="11"/>
          </w:tcPr>
          <w:p>
            <w:pPr>
              <w:spacing w:after="0"/>
              <w:rPr>
                <w:sz w:val="17"/>
                <w:szCs w:val="17"/>
                <w:color w:val="auto"/>
              </w:rPr>
            </w:pPr>
          </w:p>
        </w:tc>
        <w:tc>
          <w:tcPr>
            <w:tcW w:w="400" w:type="dxa"/>
            <w:vAlign w:val="bottom"/>
            <w:gridSpan w:val="5"/>
          </w:tcPr>
          <w:p>
            <w:pPr>
              <w:spacing w:after="0"/>
              <w:rPr>
                <w:sz w:val="17"/>
                <w:szCs w:val="17"/>
                <w:color w:val="auto"/>
              </w:rPr>
            </w:pPr>
          </w:p>
        </w:tc>
      </w:tr>
      <w:tr>
        <w:trPr>
          <w:trHeight w:val="412"/>
        </w:trPr>
        <w:tc>
          <w:tcPr>
            <w:tcW w:w="140" w:type="dxa"/>
            <w:vAlign w:val="bottom"/>
          </w:tcPr>
          <w:p>
            <w:pPr>
              <w:spacing w:after="0"/>
              <w:rPr>
                <w:sz w:val="24"/>
                <w:szCs w:val="24"/>
                <w:color w:val="auto"/>
              </w:rPr>
            </w:pPr>
          </w:p>
        </w:tc>
        <w:tc>
          <w:tcPr>
            <w:tcW w:w="740" w:type="dxa"/>
            <w:vAlign w:val="bottom"/>
            <w:gridSpan w:val="6"/>
          </w:tcPr>
          <w:p>
            <w:pPr>
              <w:jc w:val="center"/>
              <w:ind w:right="340"/>
              <w:spacing w:after="0"/>
              <w:rPr>
                <w:rFonts w:ascii="Arial" w:cs="Arial" w:eastAsia="Arial" w:hAnsi="Arial"/>
                <w:sz w:val="18"/>
                <w:szCs w:val="18"/>
                <w:color w:val="0000EE"/>
                <w:w w:val="87"/>
              </w:rPr>
            </w:pPr>
            <w:hyperlink r:id="rId139">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6</w:t>
              </w:r>
              <w:r>
                <w:rPr>
                  <w:rFonts w:ascii="Arial" w:cs="Arial" w:eastAsia="Arial" w:hAnsi="Arial"/>
                  <w:sz w:val="18"/>
                  <w:szCs w:val="18"/>
                  <w:color w:val="0000EE"/>
                  <w:w w:val="87"/>
                </w:rPr>
                <w:t>˄</w:t>
              </w:r>
            </w:hyperlink>
          </w:p>
        </w:tc>
        <w:tc>
          <w:tcPr>
            <w:tcW w:w="6000" w:type="dxa"/>
            <w:vAlign w:val="bottom"/>
            <w:gridSpan w:val="18"/>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Lucid Group, Inc. 2021 Stock Incentive Plan (including the Lucid Group, Inc. 2021</w:t>
              </w:r>
            </w:hyperlink>
          </w:p>
        </w:tc>
      </w:tr>
      <w:tr>
        <w:trPr>
          <w:trHeight w:val="196"/>
        </w:trPr>
        <w:tc>
          <w:tcPr>
            <w:tcW w:w="1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Employee Stock Purchase Plan, attached thereto)</w:t>
              </w:r>
            </w:hyperlink>
          </w:p>
        </w:tc>
        <w:tc>
          <w:tcPr>
            <w:tcW w:w="2440" w:type="dxa"/>
            <w:vAlign w:val="bottom"/>
            <w:tcBorders>
              <w:top w:val="single" w:sz="8" w:color="0000EE"/>
            </w:tcBorders>
            <w:gridSpan w:val="12"/>
          </w:tcPr>
          <w:p>
            <w:pPr>
              <w:spacing w:after="0"/>
              <w:rPr>
                <w:sz w:val="17"/>
                <w:szCs w:val="17"/>
                <w:color w:val="auto"/>
              </w:rPr>
            </w:pPr>
          </w:p>
        </w:tc>
      </w:tr>
      <w:tr>
        <w:trPr>
          <w:trHeight w:val="412"/>
        </w:trPr>
        <w:tc>
          <w:tcPr>
            <w:tcW w:w="180" w:type="dxa"/>
            <w:vAlign w:val="bottom"/>
            <w:gridSpan w:val="2"/>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09">
              <w:r>
                <w:rPr>
                  <w:rFonts w:ascii="Arial" w:cs="Arial" w:eastAsia="Arial" w:hAnsi="Arial"/>
                  <w:sz w:val="18"/>
                  <w:szCs w:val="18"/>
                  <w:color w:val="0000EE"/>
                  <w:w w:val="92"/>
                </w:rPr>
                <w:t>Certification of Principal Executive Officer Required Under Rule 13a-14(a) and</w:t>
              </w:r>
            </w:hyperlink>
          </w:p>
        </w:tc>
        <w:tc>
          <w:tcPr>
            <w:tcW w:w="240" w:type="dxa"/>
            <w:vAlign w:val="bottom"/>
            <w:gridSpan w:val="3"/>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0" w:type="dxa"/>
            <w:vAlign w:val="bottom"/>
            <w:gridSpan w:val="1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15d-14(a) of the Securities Exchange Act of 1934, as amended</w:t>
              </w:r>
            </w:hyperlink>
          </w:p>
        </w:tc>
      </w:tr>
      <w:tr>
        <w:trPr>
          <w:trHeight w:val="20"/>
        </w:trPr>
        <w:tc>
          <w:tcPr>
            <w:tcW w:w="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80" w:type="dxa"/>
            <w:vAlign w:val="bottom"/>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80" w:type="dxa"/>
            <w:vAlign w:val="bottom"/>
            <w:gridSpan w:val="2"/>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0" w:type="dxa"/>
            <w:vAlign w:val="bottom"/>
            <w:gridSpan w:val="18"/>
          </w:tcPr>
          <w:p>
            <w:pPr>
              <w:spacing w:after="0"/>
              <w:rPr>
                <w:rFonts w:ascii="Arial" w:cs="Arial" w:eastAsia="Arial" w:hAnsi="Arial"/>
                <w:sz w:val="18"/>
                <w:szCs w:val="18"/>
                <w:color w:val="0000EE"/>
                <w:w w:val="94"/>
              </w:rPr>
            </w:pPr>
            <w:hyperlink w:anchor="page110">
              <w:r>
                <w:rPr>
                  <w:rFonts w:ascii="Arial" w:cs="Arial" w:eastAsia="Arial" w:hAnsi="Arial"/>
                  <w:sz w:val="18"/>
                  <w:szCs w:val="18"/>
                  <w:color w:val="0000EE"/>
                  <w:w w:val="94"/>
                </w:rPr>
                <w:t>Certification of Chief Financial Officer Required Under Rule 13a-14(a) and 15d-</w:t>
              </w:r>
            </w:hyperlink>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14(a) of the Securities Exchange Act of 1934, as amended</w:t>
              </w:r>
            </w:hyperlink>
          </w:p>
        </w:tc>
        <w:tc>
          <w:tcPr>
            <w:tcW w:w="1640" w:type="dxa"/>
            <w:vAlign w:val="bottom"/>
            <w:tcBorders>
              <w:top w:val="single" w:sz="8" w:color="0000EE"/>
            </w:tcBorders>
            <w:gridSpan w:val="9"/>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12"/>
        </w:trPr>
        <w:tc>
          <w:tcPr>
            <w:tcW w:w="180" w:type="dxa"/>
            <w:vAlign w:val="bottom"/>
            <w:gridSpan w:val="2"/>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Certification of Principal Executive Officer pursuant to 18 U.S.C. Section 1350, as</w:t>
              </w:r>
            </w:hyperlink>
          </w:p>
        </w:tc>
        <w:tc>
          <w:tcPr>
            <w:tcW w:w="4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adopted pursuant to Section 906 of the Sarbanes-Oxley Act of 2002</w:t>
              </w:r>
            </w:hyperlink>
          </w:p>
        </w:tc>
        <w:tc>
          <w:tcPr>
            <w:tcW w:w="1120" w:type="dxa"/>
            <w:vAlign w:val="bottom"/>
            <w:gridSpan w:val="8"/>
          </w:tcPr>
          <w:p>
            <w:pPr>
              <w:spacing w:after="0"/>
              <w:rPr>
                <w:sz w:val="17"/>
                <w:szCs w:val="17"/>
                <w:color w:val="auto"/>
              </w:rPr>
            </w:pPr>
          </w:p>
        </w:tc>
      </w:tr>
      <w:tr>
        <w:trPr>
          <w:trHeight w:val="412"/>
        </w:trPr>
        <w:tc>
          <w:tcPr>
            <w:tcW w:w="180" w:type="dxa"/>
            <w:vAlign w:val="bottom"/>
            <w:gridSpan w:val="2"/>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6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Certification of Chief Financial Officer pursuant to 18 U.S.C. Section 1350, as</w:t>
              </w:r>
            </w:hyperlink>
          </w:p>
        </w:tc>
        <w:tc>
          <w:tcPr>
            <w:tcW w:w="340" w:type="dxa"/>
            <w:vAlign w:val="bottom"/>
            <w:gridSpan w:val="4"/>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adopted pursuant to Section 906 of the Sarbanes-Oxley Act of 2002</w:t>
              </w:r>
            </w:hyperlink>
          </w:p>
        </w:tc>
        <w:tc>
          <w:tcPr>
            <w:tcW w:w="1120" w:type="dxa"/>
            <w:vAlign w:val="bottom"/>
            <w:gridSpan w:val="8"/>
          </w:tcPr>
          <w:p>
            <w:pPr>
              <w:spacing w:after="0"/>
              <w:rPr>
                <w:sz w:val="17"/>
                <w:szCs w:val="17"/>
                <w:color w:val="auto"/>
              </w:rPr>
            </w:pPr>
          </w:p>
        </w:tc>
      </w:tr>
      <w:tr>
        <w:trPr>
          <w:trHeight w:val="438"/>
        </w:trPr>
        <w:tc>
          <w:tcPr>
            <w:tcW w:w="880" w:type="dxa"/>
            <w:vAlign w:val="bottom"/>
            <w:gridSpan w:val="7"/>
          </w:tcPr>
          <w:p>
            <w:pPr>
              <w:ind w:left="40"/>
              <w:spacing w:after="0"/>
              <w:rPr>
                <w:sz w:val="20"/>
                <w:szCs w:val="20"/>
                <w:color w:val="auto"/>
              </w:rPr>
            </w:pPr>
            <w:r>
              <w:rPr>
                <w:rFonts w:ascii="Arial" w:cs="Arial" w:eastAsia="Arial" w:hAnsi="Arial"/>
                <w:sz w:val="18"/>
                <w:szCs w:val="18"/>
                <w:color w:val="auto"/>
              </w:rPr>
              <w:t>101.INS</w:t>
            </w:r>
          </w:p>
        </w:tc>
        <w:tc>
          <w:tcPr>
            <w:tcW w:w="6000" w:type="dxa"/>
            <w:vAlign w:val="bottom"/>
            <w:gridSpan w:val="18"/>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w:t>
            </w: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0" w:type="dxa"/>
            <w:vAlign w:val="bottom"/>
            <w:gridSpan w:val="18"/>
          </w:tcPr>
          <w:p>
            <w:pPr>
              <w:spacing w:after="0"/>
              <w:rPr>
                <w:sz w:val="20"/>
                <w:szCs w:val="20"/>
                <w:color w:val="auto"/>
              </w:rPr>
            </w:pPr>
            <w:r>
              <w:rPr>
                <w:rFonts w:ascii="Arial" w:cs="Arial" w:eastAsia="Arial" w:hAnsi="Arial"/>
                <w:sz w:val="18"/>
                <w:szCs w:val="18"/>
                <w:color w:val="auto"/>
                <w:w w:val="92"/>
              </w:rPr>
              <w:t>Interactive Data File because its XBRL tags are embedded within the Inline XBRL</w:t>
            </w: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0" w:type="dxa"/>
            <w:vAlign w:val="bottom"/>
            <w:gridSpan w:val="18"/>
          </w:tcPr>
          <w:p>
            <w:pPr>
              <w:spacing w:after="0"/>
              <w:rPr>
                <w:sz w:val="20"/>
                <w:szCs w:val="20"/>
                <w:color w:val="auto"/>
              </w:rPr>
            </w:pPr>
            <w:r>
              <w:rPr>
                <w:rFonts w:ascii="Arial" w:cs="Arial" w:eastAsia="Arial" w:hAnsi="Arial"/>
                <w:sz w:val="18"/>
                <w:szCs w:val="18"/>
                <w:color w:val="auto"/>
              </w:rPr>
              <w:t>document)</w:t>
            </w:r>
          </w:p>
        </w:tc>
      </w:tr>
      <w:tr>
        <w:trPr>
          <w:trHeight w:val="432"/>
        </w:trPr>
        <w:tc>
          <w:tcPr>
            <w:tcW w:w="880" w:type="dxa"/>
            <w:vAlign w:val="bottom"/>
            <w:gridSpan w:val="7"/>
          </w:tcPr>
          <w:p>
            <w:pPr>
              <w:spacing w:after="0"/>
              <w:rPr>
                <w:sz w:val="20"/>
                <w:szCs w:val="20"/>
                <w:color w:val="auto"/>
              </w:rPr>
            </w:pPr>
            <w:r>
              <w:rPr>
                <w:rFonts w:ascii="Arial" w:cs="Arial" w:eastAsia="Arial" w:hAnsi="Arial"/>
                <w:sz w:val="18"/>
                <w:szCs w:val="18"/>
                <w:color w:val="auto"/>
              </w:rPr>
              <w:t>101.SCH</w:t>
            </w:r>
          </w:p>
        </w:tc>
        <w:tc>
          <w:tcPr>
            <w:tcW w:w="6000" w:type="dxa"/>
            <w:vAlign w:val="bottom"/>
            <w:gridSpan w:val="18"/>
          </w:tcPr>
          <w:p>
            <w:pPr>
              <w:spacing w:after="0"/>
              <w:rPr>
                <w:sz w:val="20"/>
                <w:szCs w:val="20"/>
                <w:color w:val="auto"/>
              </w:rPr>
            </w:pPr>
            <w:r>
              <w:rPr>
                <w:rFonts w:ascii="Arial" w:cs="Arial" w:eastAsia="Arial" w:hAnsi="Arial"/>
                <w:sz w:val="18"/>
                <w:szCs w:val="18"/>
                <w:color w:val="auto"/>
              </w:rPr>
              <w:t>Inline XBRL Taxonomy Schema Linkbase Document</w:t>
            </w:r>
          </w:p>
        </w:tc>
      </w:tr>
      <w:tr>
        <w:trPr>
          <w:trHeight w:val="432"/>
        </w:trPr>
        <w:tc>
          <w:tcPr>
            <w:tcW w:w="880" w:type="dxa"/>
            <w:vAlign w:val="bottom"/>
            <w:gridSpan w:val="7"/>
          </w:tcPr>
          <w:p>
            <w:pPr>
              <w:spacing w:after="0"/>
              <w:rPr>
                <w:sz w:val="20"/>
                <w:szCs w:val="20"/>
                <w:color w:val="auto"/>
              </w:rPr>
            </w:pPr>
            <w:r>
              <w:rPr>
                <w:rFonts w:ascii="Arial" w:cs="Arial" w:eastAsia="Arial" w:hAnsi="Arial"/>
                <w:sz w:val="18"/>
                <w:szCs w:val="18"/>
                <w:color w:val="auto"/>
              </w:rPr>
              <w:t>101.CAL</w:t>
            </w:r>
          </w:p>
        </w:tc>
        <w:tc>
          <w:tcPr>
            <w:tcW w:w="6000" w:type="dxa"/>
            <w:vAlign w:val="bottom"/>
            <w:gridSpan w:val="18"/>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432"/>
        </w:trPr>
        <w:tc>
          <w:tcPr>
            <w:tcW w:w="880" w:type="dxa"/>
            <w:vAlign w:val="bottom"/>
            <w:gridSpan w:val="7"/>
          </w:tcPr>
          <w:p>
            <w:pPr>
              <w:ind w:left="20"/>
              <w:spacing w:after="0"/>
              <w:rPr>
                <w:sz w:val="20"/>
                <w:szCs w:val="20"/>
                <w:color w:val="auto"/>
              </w:rPr>
            </w:pPr>
            <w:r>
              <w:rPr>
                <w:rFonts w:ascii="Arial" w:cs="Arial" w:eastAsia="Arial" w:hAnsi="Arial"/>
                <w:sz w:val="18"/>
                <w:szCs w:val="18"/>
                <w:color w:val="auto"/>
              </w:rPr>
              <w:t>101.DEF</w:t>
            </w:r>
          </w:p>
        </w:tc>
        <w:tc>
          <w:tcPr>
            <w:tcW w:w="6000" w:type="dxa"/>
            <w:vAlign w:val="bottom"/>
            <w:gridSpan w:val="18"/>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432"/>
        </w:trPr>
        <w:tc>
          <w:tcPr>
            <w:tcW w:w="880" w:type="dxa"/>
            <w:vAlign w:val="bottom"/>
            <w:gridSpan w:val="7"/>
          </w:tcPr>
          <w:p>
            <w:pPr>
              <w:spacing w:after="0"/>
              <w:rPr>
                <w:sz w:val="20"/>
                <w:szCs w:val="20"/>
                <w:color w:val="auto"/>
              </w:rPr>
            </w:pPr>
            <w:r>
              <w:rPr>
                <w:rFonts w:ascii="Arial" w:cs="Arial" w:eastAsia="Arial" w:hAnsi="Arial"/>
                <w:sz w:val="18"/>
                <w:szCs w:val="18"/>
                <w:color w:val="auto"/>
              </w:rPr>
              <w:t>101.LAB</w:t>
            </w:r>
          </w:p>
        </w:tc>
        <w:tc>
          <w:tcPr>
            <w:tcW w:w="6000" w:type="dxa"/>
            <w:vAlign w:val="bottom"/>
            <w:gridSpan w:val="18"/>
          </w:tcPr>
          <w:p>
            <w:pPr>
              <w:spacing w:after="0"/>
              <w:rPr>
                <w:sz w:val="20"/>
                <w:szCs w:val="20"/>
                <w:color w:val="auto"/>
              </w:rPr>
            </w:pPr>
            <w:r>
              <w:rPr>
                <w:rFonts w:ascii="Arial" w:cs="Arial" w:eastAsia="Arial" w:hAnsi="Arial"/>
                <w:sz w:val="18"/>
                <w:szCs w:val="18"/>
                <w:color w:val="auto"/>
              </w:rPr>
              <w:t>Inline XBRL Taxonomy Labels Linkbase Document</w:t>
            </w:r>
          </w:p>
        </w:tc>
      </w:tr>
      <w:tr>
        <w:trPr>
          <w:trHeight w:val="432"/>
        </w:trPr>
        <w:tc>
          <w:tcPr>
            <w:tcW w:w="880" w:type="dxa"/>
            <w:vAlign w:val="bottom"/>
            <w:gridSpan w:val="7"/>
          </w:tcPr>
          <w:p>
            <w:pPr>
              <w:ind w:left="20"/>
              <w:spacing w:after="0"/>
              <w:rPr>
                <w:sz w:val="20"/>
                <w:szCs w:val="20"/>
                <w:color w:val="auto"/>
              </w:rPr>
            </w:pPr>
            <w:r>
              <w:rPr>
                <w:rFonts w:ascii="Arial" w:cs="Arial" w:eastAsia="Arial" w:hAnsi="Arial"/>
                <w:sz w:val="18"/>
                <w:szCs w:val="18"/>
                <w:color w:val="auto"/>
              </w:rPr>
              <w:t>101.PRE</w:t>
            </w:r>
          </w:p>
        </w:tc>
        <w:tc>
          <w:tcPr>
            <w:tcW w:w="6000" w:type="dxa"/>
            <w:vAlign w:val="bottom"/>
            <w:gridSpan w:val="18"/>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spacing w:after="0" w:line="202" w:lineRule="exact"/>
        <w:rPr>
          <w:sz w:val="20"/>
          <w:szCs w:val="20"/>
          <w:color w:val="auto"/>
        </w:rPr>
      </w:pPr>
    </w:p>
    <w:p>
      <w:pPr>
        <w:ind w:left="932" w:right="440" w:hanging="676"/>
        <w:spacing w:after="0" w:line="277" w:lineRule="auto"/>
        <w:tabs>
          <w:tab w:leader="none" w:pos="9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70" w:lineRule="exact"/>
        <w:rPr>
          <w:rFonts w:ascii="Arial" w:cs="Arial" w:eastAsia="Arial" w:hAnsi="Arial"/>
          <w:sz w:val="18"/>
          <w:szCs w:val="18"/>
          <w:color w:val="auto"/>
        </w:rPr>
      </w:pPr>
    </w:p>
    <w:p>
      <w:pPr>
        <w:ind w:left="792" w:hanging="792"/>
        <w:spacing w:after="0"/>
        <w:tabs>
          <w:tab w:leader="none" w:pos="7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41"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Incorporation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ind w:left="200"/>
              <w:spacing w:after="0" w:line="191" w:lineRule="exact"/>
              <w:rPr>
                <w:sz w:val="20"/>
                <w:szCs w:val="20"/>
                <w:color w:val="auto"/>
              </w:rPr>
            </w:pPr>
            <w:r>
              <w:rPr>
                <w:rFonts w:ascii="Arial" w:cs="Arial" w:eastAsia="Arial" w:hAnsi="Arial"/>
                <w:sz w:val="18"/>
                <w:szCs w:val="18"/>
                <w:b w:val="1"/>
                <w:bCs w:val="1"/>
                <w:color w:val="auto"/>
              </w:rPr>
              <w:t>File</w:t>
            </w:r>
          </w:p>
        </w:tc>
        <w:tc>
          <w:tcPr>
            <w:tcW w:w="106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5"/>
              </w:rPr>
              <w:t>Filing</w:t>
            </w:r>
          </w:p>
        </w:tc>
        <w:tc>
          <w:tcPr>
            <w:tcW w:w="760" w:type="dxa"/>
            <w:vAlign w:val="bottom"/>
            <w:tcBorders>
              <w:top w:val="single" w:sz="8" w:color="auto"/>
            </w:tcBorders>
            <w:gridSpan w:val="4"/>
          </w:tcPr>
          <w:p>
            <w:pPr>
              <w:jc w:val="center"/>
              <w:spacing w:after="0" w:line="191" w:lineRule="exact"/>
              <w:rPr>
                <w:sz w:val="20"/>
                <w:szCs w:val="20"/>
                <w:color w:val="auto"/>
              </w:rPr>
            </w:pPr>
            <w:r>
              <w:rPr>
                <w:rFonts w:ascii="Arial" w:cs="Arial" w:eastAsia="Arial" w:hAnsi="Arial"/>
                <w:sz w:val="18"/>
                <w:szCs w:val="18"/>
                <w:b w:val="1"/>
                <w:bCs w:val="1"/>
                <w:color w:val="auto"/>
                <w:w w:val="96"/>
              </w:rPr>
              <w:t>Exhibit</w:t>
            </w:r>
          </w:p>
        </w:tc>
        <w:tc>
          <w:tcPr>
            <w:tcW w:w="84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r>
      <w:tr>
        <w:trPr>
          <w:trHeight w:val="234"/>
        </w:trPr>
        <w:tc>
          <w:tcPr>
            <w:tcW w:w="600" w:type="dxa"/>
            <w:vAlign w:val="bottom"/>
            <w:gridSpan w:val="3"/>
          </w:tcPr>
          <w:p>
            <w:pPr>
              <w:ind w:left="60"/>
              <w:spacing w:after="0"/>
              <w:rPr>
                <w:sz w:val="20"/>
                <w:szCs w:val="20"/>
                <w:color w:val="auto"/>
              </w:rPr>
            </w:pPr>
            <w:r>
              <w:rPr>
                <w:rFonts w:ascii="Arial" w:cs="Arial" w:eastAsia="Arial" w:hAnsi="Arial"/>
                <w:sz w:val="18"/>
                <w:szCs w:val="18"/>
                <w:b w:val="1"/>
                <w:bCs w:val="1"/>
                <w:color w:val="auto"/>
              </w:rPr>
              <w:t>Form</w:t>
            </w: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Number</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Date</w:t>
            </w:r>
          </w:p>
        </w:tc>
        <w:tc>
          <w:tcPr>
            <w:tcW w:w="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391"/>
        </w:trPr>
        <w:tc>
          <w:tcPr>
            <w:tcW w:w="140" w:type="dxa"/>
            <w:vAlign w:val="bottom"/>
          </w:tcPr>
          <w:p>
            <w:pPr>
              <w:spacing w:after="0"/>
              <w:rPr>
                <w:sz w:val="24"/>
                <w:szCs w:val="24"/>
                <w:color w:val="auto"/>
              </w:rPr>
            </w:pPr>
          </w:p>
        </w:tc>
        <w:tc>
          <w:tcPr>
            <w:tcW w:w="1260" w:type="dxa"/>
            <w:vAlign w:val="bottom"/>
            <w:gridSpan w:val="5"/>
          </w:tcPr>
          <w:p>
            <w:pPr>
              <w:spacing w:after="0"/>
              <w:rPr>
                <w:rFonts w:ascii="Arial" w:cs="Arial" w:eastAsia="Arial" w:hAnsi="Arial"/>
                <w:sz w:val="18"/>
                <w:szCs w:val="18"/>
                <w:color w:val="0000EE"/>
              </w:rPr>
            </w:pPr>
            <w:hyperlink r:id="rId133">
              <w:r>
                <w:rPr>
                  <w:rFonts w:ascii="Arial" w:cs="Arial" w:eastAsia="Arial" w:hAnsi="Arial"/>
                  <w:sz w:val="18"/>
                  <w:szCs w:val="18"/>
                  <w:color w:val="0000EE"/>
                </w:rPr>
                <w:t>8-K  001-</w:t>
              </w:r>
            </w:hyperlink>
          </w:p>
        </w:tc>
        <w:tc>
          <w:tcPr>
            <w:tcW w:w="1060" w:type="dxa"/>
            <w:vAlign w:val="bottom"/>
            <w:gridSpan w:val="2"/>
          </w:tcPr>
          <w:p>
            <w:pPr>
              <w:jc w:val="center"/>
              <w:ind w:right="80"/>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July 26, 2021</w:t>
              </w:r>
            </w:hyperlink>
          </w:p>
        </w:tc>
        <w:tc>
          <w:tcPr>
            <w:tcW w:w="500" w:type="dxa"/>
            <w:vAlign w:val="bottom"/>
            <w:gridSpan w:val="2"/>
          </w:tcPr>
          <w:p>
            <w:pPr>
              <w:jc w:val="center"/>
              <w:ind w:left="190"/>
              <w:spacing w:after="0"/>
              <w:rPr>
                <w:rFonts w:ascii="Arial" w:cs="Arial" w:eastAsia="Arial" w:hAnsi="Arial"/>
                <w:sz w:val="18"/>
                <w:szCs w:val="18"/>
                <w:color w:val="0000EE"/>
                <w:w w:val="87"/>
              </w:rPr>
            </w:pPr>
            <w:hyperlink r:id="rId13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39408</w:t>
              </w:r>
            </w:hyperlink>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260" w:type="dxa"/>
            <w:vAlign w:val="bottom"/>
            <w:gridSpan w:val="5"/>
          </w:tcPr>
          <w:p>
            <w:pPr>
              <w:spacing w:after="0"/>
              <w:rPr>
                <w:rFonts w:ascii="Arial" w:cs="Arial" w:eastAsia="Arial" w:hAnsi="Arial"/>
                <w:sz w:val="18"/>
                <w:szCs w:val="18"/>
                <w:color w:val="0000EE"/>
              </w:rPr>
            </w:pPr>
            <w:hyperlink r:id="rId134">
              <w:r>
                <w:rPr>
                  <w:rFonts w:ascii="Arial" w:cs="Arial" w:eastAsia="Arial" w:hAnsi="Arial"/>
                  <w:sz w:val="18"/>
                  <w:szCs w:val="18"/>
                  <w:color w:val="0000EE"/>
                </w:rPr>
                <w:t>8-K  001-</w:t>
              </w:r>
            </w:hyperlink>
          </w:p>
        </w:tc>
        <w:tc>
          <w:tcPr>
            <w:tcW w:w="1060" w:type="dxa"/>
            <w:vAlign w:val="bottom"/>
            <w:gridSpan w:val="2"/>
          </w:tcPr>
          <w:p>
            <w:pPr>
              <w:jc w:val="center"/>
              <w:ind w:right="80"/>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July 26, 2021</w:t>
              </w:r>
            </w:hyperlink>
          </w:p>
        </w:tc>
        <w:tc>
          <w:tcPr>
            <w:tcW w:w="500" w:type="dxa"/>
            <w:vAlign w:val="bottom"/>
            <w:gridSpan w:val="2"/>
          </w:tcPr>
          <w:p>
            <w:pPr>
              <w:jc w:val="center"/>
              <w:ind w:left="190"/>
              <w:spacing w:after="0"/>
              <w:rPr>
                <w:rFonts w:ascii="Arial" w:cs="Arial" w:eastAsia="Arial" w:hAnsi="Arial"/>
                <w:sz w:val="18"/>
                <w:szCs w:val="18"/>
                <w:color w:val="0000EE"/>
                <w:w w:val="87"/>
              </w:rPr>
            </w:pPr>
            <w:hyperlink r:id="rId13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r:id="rId134">
              <w:r>
                <w:rPr>
                  <w:rFonts w:ascii="Arial" w:cs="Arial" w:eastAsia="Arial" w:hAnsi="Arial"/>
                  <w:sz w:val="18"/>
                  <w:szCs w:val="18"/>
                  <w:color w:val="0000EE"/>
                </w:rPr>
                <w:t>39408</w:t>
              </w:r>
            </w:hyperlink>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412"/>
        </w:trPr>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3"/>
          </w:tcPr>
          <w:p>
            <w:pPr>
              <w:jc w:val="center"/>
              <w:spacing w:after="0"/>
              <w:rPr>
                <w:rFonts w:ascii="Arial" w:cs="Arial" w:eastAsia="Arial" w:hAnsi="Arial"/>
                <w:sz w:val="18"/>
                <w:szCs w:val="18"/>
                <w:color w:val="0000EE"/>
              </w:rPr>
            </w:pPr>
            <w:hyperlink w:anchor="page100">
              <w:r>
                <w:rPr>
                  <w:rFonts w:ascii="Arial" w:cs="Arial" w:eastAsia="Arial" w:hAnsi="Arial"/>
                  <w:sz w:val="18"/>
                  <w:szCs w:val="18"/>
                  <w:color w:val="0000EE"/>
                </w:rPr>
                <w:t>X</w:t>
              </w:r>
            </w:hyperlink>
          </w:p>
        </w:tc>
      </w:tr>
      <w:tr>
        <w:trPr>
          <w:trHeight w:val="628"/>
        </w:trPr>
        <w:tc>
          <w:tcPr>
            <w:tcW w:w="140" w:type="dxa"/>
            <w:vAlign w:val="bottom"/>
          </w:tcPr>
          <w:p>
            <w:pPr>
              <w:spacing w:after="0"/>
              <w:rPr>
                <w:sz w:val="24"/>
                <w:szCs w:val="24"/>
                <w:color w:val="auto"/>
              </w:rPr>
            </w:pPr>
          </w:p>
        </w:tc>
        <w:tc>
          <w:tcPr>
            <w:tcW w:w="1260" w:type="dxa"/>
            <w:vAlign w:val="bottom"/>
            <w:gridSpan w:val="5"/>
          </w:tcPr>
          <w:p>
            <w:pPr>
              <w:spacing w:after="0"/>
              <w:rPr>
                <w:rFonts w:ascii="Arial" w:cs="Arial" w:eastAsia="Arial" w:hAnsi="Arial"/>
                <w:sz w:val="18"/>
                <w:szCs w:val="18"/>
                <w:color w:val="0000EE"/>
              </w:rPr>
            </w:pPr>
            <w:hyperlink r:id="rId135">
              <w:r>
                <w:rPr>
                  <w:rFonts w:ascii="Arial" w:cs="Arial" w:eastAsia="Arial" w:hAnsi="Arial"/>
                  <w:sz w:val="18"/>
                  <w:szCs w:val="18"/>
                  <w:color w:val="0000EE"/>
                </w:rPr>
                <w:t>8-K  001-</w:t>
              </w:r>
            </w:hyperlink>
          </w:p>
        </w:tc>
        <w:tc>
          <w:tcPr>
            <w:tcW w:w="1060" w:type="dxa"/>
            <w:vAlign w:val="bottom"/>
            <w:gridSpan w:val="2"/>
          </w:tcPr>
          <w:p>
            <w:pPr>
              <w:jc w:val="center"/>
              <w:ind w:right="80"/>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July 26, 2021</w:t>
              </w:r>
            </w:hyperlink>
          </w:p>
        </w:tc>
        <w:tc>
          <w:tcPr>
            <w:tcW w:w="500" w:type="dxa"/>
            <w:vAlign w:val="bottom"/>
            <w:gridSpan w:val="2"/>
          </w:tcPr>
          <w:p>
            <w:pPr>
              <w:jc w:val="center"/>
              <w:ind w:left="190"/>
              <w:spacing w:after="0"/>
              <w:rPr>
                <w:rFonts w:ascii="Arial" w:cs="Arial" w:eastAsia="Arial" w:hAnsi="Arial"/>
                <w:sz w:val="18"/>
                <w:szCs w:val="18"/>
                <w:color w:val="0000EE"/>
                <w:w w:val="87"/>
              </w:rPr>
            </w:pPr>
            <w:hyperlink r:id="rId13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39408</w:t>
              </w:r>
            </w:hyperlink>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260" w:type="dxa"/>
            <w:vAlign w:val="bottom"/>
            <w:gridSpan w:val="5"/>
          </w:tcPr>
          <w:p>
            <w:pPr>
              <w:spacing w:after="0"/>
              <w:rPr>
                <w:rFonts w:ascii="Arial" w:cs="Arial" w:eastAsia="Arial" w:hAnsi="Arial"/>
                <w:sz w:val="18"/>
                <w:szCs w:val="18"/>
                <w:color w:val="0000EE"/>
              </w:rPr>
            </w:pPr>
            <w:hyperlink r:id="rId136">
              <w:r>
                <w:rPr>
                  <w:rFonts w:ascii="Arial" w:cs="Arial" w:eastAsia="Arial" w:hAnsi="Arial"/>
                  <w:sz w:val="18"/>
                  <w:szCs w:val="18"/>
                  <w:color w:val="0000EE"/>
                </w:rPr>
                <w:t>8-K  001-</w:t>
              </w:r>
            </w:hyperlink>
          </w:p>
        </w:tc>
        <w:tc>
          <w:tcPr>
            <w:tcW w:w="1060" w:type="dxa"/>
            <w:vAlign w:val="bottom"/>
            <w:gridSpan w:val="2"/>
          </w:tcPr>
          <w:p>
            <w:pPr>
              <w:jc w:val="center"/>
              <w:ind w:right="80"/>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July 26, 2021</w:t>
              </w:r>
            </w:hyperlink>
          </w:p>
        </w:tc>
        <w:tc>
          <w:tcPr>
            <w:tcW w:w="760" w:type="dxa"/>
            <w:vAlign w:val="bottom"/>
            <w:gridSpan w:val="4"/>
          </w:tcPr>
          <w:p>
            <w:pPr>
              <w:jc w:val="center"/>
              <w:spacing w:after="0"/>
              <w:rPr>
                <w:rFonts w:ascii="Arial" w:cs="Arial" w:eastAsia="Arial" w:hAnsi="Arial"/>
                <w:sz w:val="18"/>
                <w:szCs w:val="18"/>
                <w:color w:val="0000EE"/>
                <w:w w:val="88"/>
              </w:rPr>
            </w:pPr>
            <w:hyperlink r:id="rId13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39408</w:t>
              </w:r>
            </w:hyperlink>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260" w:type="dxa"/>
            <w:vAlign w:val="bottom"/>
            <w:gridSpan w:val="5"/>
          </w:tcPr>
          <w:p>
            <w:pPr>
              <w:spacing w:after="0"/>
              <w:rPr>
                <w:rFonts w:ascii="Arial" w:cs="Arial" w:eastAsia="Arial" w:hAnsi="Arial"/>
                <w:sz w:val="18"/>
                <w:szCs w:val="18"/>
                <w:color w:val="0000EE"/>
              </w:rPr>
            </w:pPr>
            <w:hyperlink r:id="rId137">
              <w:r>
                <w:rPr>
                  <w:rFonts w:ascii="Arial" w:cs="Arial" w:eastAsia="Arial" w:hAnsi="Arial"/>
                  <w:sz w:val="18"/>
                  <w:szCs w:val="18"/>
                  <w:color w:val="0000EE"/>
                </w:rPr>
                <w:t>8-K  001-</w:t>
              </w:r>
            </w:hyperlink>
          </w:p>
        </w:tc>
        <w:tc>
          <w:tcPr>
            <w:tcW w:w="1060" w:type="dxa"/>
            <w:vAlign w:val="bottom"/>
            <w:gridSpan w:val="2"/>
          </w:tcPr>
          <w:p>
            <w:pPr>
              <w:jc w:val="center"/>
              <w:ind w:right="80"/>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July 26, 2021</w:t>
              </w:r>
            </w:hyperlink>
          </w:p>
        </w:tc>
        <w:tc>
          <w:tcPr>
            <w:tcW w:w="760" w:type="dxa"/>
            <w:vAlign w:val="bottom"/>
            <w:gridSpan w:val="4"/>
          </w:tcPr>
          <w:p>
            <w:pPr>
              <w:jc w:val="center"/>
              <w:spacing w:after="0"/>
              <w:rPr>
                <w:rFonts w:ascii="Arial" w:cs="Arial" w:eastAsia="Arial" w:hAnsi="Arial"/>
                <w:sz w:val="18"/>
                <w:szCs w:val="18"/>
                <w:color w:val="0000EE"/>
                <w:w w:val="88"/>
              </w:rPr>
            </w:pPr>
            <w:hyperlink r:id="rId13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r:id="rId137">
              <w:r>
                <w:rPr>
                  <w:rFonts w:ascii="Arial" w:cs="Arial" w:eastAsia="Arial" w:hAnsi="Arial"/>
                  <w:sz w:val="18"/>
                  <w:szCs w:val="18"/>
                  <w:color w:val="0000EE"/>
                </w:rPr>
                <w:t>39408</w:t>
              </w:r>
            </w:hyperlink>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260" w:type="dxa"/>
            <w:vAlign w:val="bottom"/>
            <w:gridSpan w:val="5"/>
          </w:tcPr>
          <w:p>
            <w:pPr>
              <w:spacing w:after="0"/>
              <w:rPr>
                <w:rFonts w:ascii="Arial" w:cs="Arial" w:eastAsia="Arial" w:hAnsi="Arial"/>
                <w:sz w:val="18"/>
                <w:szCs w:val="18"/>
                <w:color w:val="0000EE"/>
              </w:rPr>
            </w:pPr>
            <w:hyperlink r:id="rId138">
              <w:r>
                <w:rPr>
                  <w:rFonts w:ascii="Arial" w:cs="Arial" w:eastAsia="Arial" w:hAnsi="Arial"/>
                  <w:sz w:val="18"/>
                  <w:szCs w:val="18"/>
                  <w:color w:val="0000EE"/>
                </w:rPr>
                <w:t>8-K  001-</w:t>
              </w:r>
            </w:hyperlink>
          </w:p>
        </w:tc>
        <w:tc>
          <w:tcPr>
            <w:tcW w:w="1060" w:type="dxa"/>
            <w:vAlign w:val="bottom"/>
            <w:gridSpan w:val="2"/>
          </w:tcPr>
          <w:p>
            <w:pPr>
              <w:jc w:val="center"/>
              <w:ind w:right="80"/>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July 26, 2021</w:t>
              </w:r>
            </w:hyperlink>
          </w:p>
        </w:tc>
        <w:tc>
          <w:tcPr>
            <w:tcW w:w="760" w:type="dxa"/>
            <w:vAlign w:val="bottom"/>
            <w:gridSpan w:val="4"/>
          </w:tcPr>
          <w:p>
            <w:pPr>
              <w:jc w:val="center"/>
              <w:spacing w:after="0"/>
              <w:rPr>
                <w:rFonts w:ascii="Arial" w:cs="Arial" w:eastAsia="Arial" w:hAnsi="Arial"/>
                <w:sz w:val="18"/>
                <w:szCs w:val="18"/>
                <w:color w:val="0000EE"/>
                <w:w w:val="88"/>
              </w:rPr>
            </w:pPr>
            <w:hyperlink r:id="rId13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r:id="rId138">
              <w:r>
                <w:rPr>
                  <w:rFonts w:ascii="Arial" w:cs="Arial" w:eastAsia="Arial" w:hAnsi="Arial"/>
                  <w:sz w:val="18"/>
                  <w:szCs w:val="18"/>
                  <w:color w:val="0000EE"/>
                </w:rPr>
                <w:t>39408</w:t>
              </w:r>
            </w:hyperlink>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412"/>
        </w:trPr>
        <w:tc>
          <w:tcPr>
            <w:tcW w:w="140" w:type="dxa"/>
            <w:vAlign w:val="bottom"/>
          </w:tcPr>
          <w:p>
            <w:pPr>
              <w:spacing w:after="0"/>
              <w:rPr>
                <w:sz w:val="24"/>
                <w:szCs w:val="24"/>
                <w:color w:val="auto"/>
              </w:rPr>
            </w:pPr>
          </w:p>
        </w:tc>
        <w:tc>
          <w:tcPr>
            <w:tcW w:w="280" w:type="dxa"/>
            <w:vAlign w:val="bottom"/>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8-K</w:t>
              </w:r>
            </w:hyperlink>
          </w:p>
        </w:tc>
        <w:tc>
          <w:tcPr>
            <w:tcW w:w="180" w:type="dxa"/>
            <w:vAlign w:val="bottom"/>
          </w:tcPr>
          <w:p>
            <w:pPr>
              <w:spacing w:after="0"/>
              <w:rPr>
                <w:sz w:val="24"/>
                <w:szCs w:val="24"/>
                <w:color w:val="auto"/>
              </w:rPr>
            </w:pPr>
          </w:p>
        </w:tc>
        <w:tc>
          <w:tcPr>
            <w:tcW w:w="440" w:type="dxa"/>
            <w:vAlign w:val="bottom"/>
            <w:tcBorders>
              <w:top w:val="single" w:sz="8" w:color="0000EE"/>
            </w:tcBorders>
            <w:gridSpan w:val="2"/>
          </w:tcPr>
          <w:p>
            <w:pPr>
              <w:spacing w:after="0"/>
              <w:rPr>
                <w:rFonts w:ascii="Arial" w:cs="Arial" w:eastAsia="Arial" w:hAnsi="Arial"/>
                <w:sz w:val="18"/>
                <w:szCs w:val="18"/>
                <w:color w:val="0000EE"/>
              </w:rPr>
            </w:pPr>
            <w:hyperlink r:id="rId139">
              <w:r>
                <w:rPr>
                  <w:rFonts w:ascii="Arial" w:cs="Arial" w:eastAsia="Arial" w:hAnsi="Arial"/>
                  <w:sz w:val="18"/>
                  <w:szCs w:val="18"/>
                  <w:color w:val="0000EE"/>
                </w:rPr>
                <w:t>001-</w:t>
              </w:r>
            </w:hyperlink>
          </w:p>
        </w:tc>
        <w:tc>
          <w:tcPr>
            <w:tcW w:w="360" w:type="dxa"/>
            <w:vAlign w:val="bottom"/>
          </w:tcPr>
          <w:p>
            <w:pPr>
              <w:spacing w:after="0"/>
              <w:rPr>
                <w:sz w:val="24"/>
                <w:szCs w:val="24"/>
                <w:color w:val="auto"/>
              </w:rPr>
            </w:pPr>
          </w:p>
        </w:tc>
        <w:tc>
          <w:tcPr>
            <w:tcW w:w="1060" w:type="dxa"/>
            <w:vAlign w:val="bottom"/>
            <w:gridSpan w:val="2"/>
          </w:tcPr>
          <w:p>
            <w:pPr>
              <w:jc w:val="center"/>
              <w:ind w:right="80"/>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July 26, 2021</w:t>
              </w:r>
            </w:hyperlink>
          </w:p>
        </w:tc>
        <w:tc>
          <w:tcPr>
            <w:tcW w:w="580" w:type="dxa"/>
            <w:vAlign w:val="bottom"/>
            <w:gridSpan w:val="3"/>
          </w:tcPr>
          <w:p>
            <w:pPr>
              <w:jc w:val="center"/>
              <w:ind w:left="90"/>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3" w:lineRule="exact"/>
        <w:rPr>
          <w:sz w:val="20"/>
          <w:szCs w:val="20"/>
          <w:color w:val="auto"/>
        </w:rPr>
      </w:pPr>
    </w:p>
    <w:p>
      <w:pPr>
        <w:ind w:left="600"/>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39408</w:t>
        </w:r>
      </w:hyperlink>
    </w:p>
    <w:p>
      <w:pPr>
        <w:spacing w:after="0" w:line="225" w:lineRule="exact"/>
        <w:rPr>
          <w:sz w:val="20"/>
          <w:szCs w:val="20"/>
          <w:color w:val="auto"/>
        </w:rPr>
      </w:pPr>
    </w:p>
    <w:p>
      <w:pPr>
        <w:ind w:left="358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X</w:t>
        </w:r>
      </w:hyperlink>
    </w:p>
    <w:p>
      <w:pPr>
        <w:spacing w:after="0" w:line="200" w:lineRule="exact"/>
        <w:rPr>
          <w:sz w:val="20"/>
          <w:szCs w:val="20"/>
          <w:color w:val="auto"/>
        </w:rPr>
      </w:pPr>
    </w:p>
    <w:p>
      <w:pPr>
        <w:spacing w:after="0" w:line="241" w:lineRule="exact"/>
        <w:rPr>
          <w:sz w:val="20"/>
          <w:szCs w:val="20"/>
          <w:color w:val="auto"/>
        </w:rPr>
      </w:pPr>
    </w:p>
    <w:p>
      <w:pPr>
        <w:ind w:left="358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X</w:t>
        </w:r>
      </w:hyperlink>
    </w:p>
    <w:p>
      <w:pPr>
        <w:spacing w:after="0" w:line="200" w:lineRule="exact"/>
        <w:rPr>
          <w:sz w:val="20"/>
          <w:szCs w:val="20"/>
          <w:color w:val="auto"/>
        </w:rPr>
      </w:pPr>
    </w:p>
    <w:p>
      <w:pPr>
        <w:spacing w:after="0" w:line="241" w:lineRule="exact"/>
        <w:rPr>
          <w:sz w:val="20"/>
          <w:szCs w:val="20"/>
          <w:color w:val="auto"/>
        </w:rPr>
      </w:pPr>
    </w:p>
    <w:p>
      <w:pPr>
        <w:ind w:left="358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X</w:t>
        </w:r>
      </w:hyperlink>
    </w:p>
    <w:p>
      <w:pPr>
        <w:spacing w:after="0" w:line="200" w:lineRule="exact"/>
        <w:rPr>
          <w:sz w:val="20"/>
          <w:szCs w:val="20"/>
          <w:color w:val="auto"/>
        </w:rPr>
      </w:pPr>
    </w:p>
    <w:p>
      <w:pPr>
        <w:spacing w:after="0" w:line="241" w:lineRule="exact"/>
        <w:rPr>
          <w:sz w:val="20"/>
          <w:szCs w:val="20"/>
          <w:color w:val="auto"/>
        </w:rPr>
      </w:pPr>
    </w:p>
    <w:p>
      <w:pPr>
        <w:ind w:left="358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X</w:t>
        </w:r>
      </w:hyperlink>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932" w:space="240"/>
            <w:col w:w="4060"/>
          </w:cols>
          <w:pgMar w:left="328" w:top="904"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LUCID GROUP,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15, 2021</w:t>
            </w: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By: /s/ Sherry House</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Sherry House</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648"/>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97</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9" w:name="page100"/>
    <w:bookmarkEnd w:id="99"/>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REPURCHASE AGREEMENT</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Stock Repurchase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October 8, 2021, by and between Lucid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individual identified on the signature page below (the “</w:t>
      </w:r>
      <w:r>
        <w:rPr>
          <w:rFonts w:ascii="Arial" w:cs="Arial" w:eastAsia="Arial" w:hAnsi="Arial"/>
          <w:sz w:val="18"/>
          <w:szCs w:val="18"/>
          <w:b w:val="1"/>
          <w:bCs w:val="1"/>
          <w:color w:val="auto"/>
        </w:rPr>
        <w:t>Selling Stockholder</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Selling Stockholder purchased shares of Atieva, Inc. Series E Preferred Shares in a sale that closed on April 2, 2021 at a purchase price of $7.90 per share (the “</w:t>
      </w:r>
      <w:r>
        <w:rPr>
          <w:rFonts w:ascii="Arial" w:cs="Arial" w:eastAsia="Arial" w:hAnsi="Arial"/>
          <w:sz w:val="18"/>
          <w:szCs w:val="18"/>
          <w:b w:val="1"/>
          <w:bCs w:val="1"/>
          <w:color w:val="auto"/>
        </w:rPr>
        <w:t>Series E Sale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it was subsequently determined that the fair market value of Series E Preferred Shares on April 2, 2021 exceeded $7.90 per share and that the difference between the purchase price and the fair market value must be treated as compensation for tax purposes with respect to the Selling Stockholder;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Selling Stockholder is liable for the Tax Withholding Amount and the Other Taxes Amount (each as defined below) as a result of the Series E Sale;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at the closing of the Company’s business combination with Atieva, Inc. on July 23, 2021, each share of Atieva, Inc. Series E Preferred Stock automatically converted into 2.644 shares of the Company’s Class A common stock, par value $0.0001 per share;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WHEREAS, the Board has duly authorized the Selling Stockholder to sell to the Company on the Closing Date (as defined below), subject to the terms of this Agreement, a number of shares of the Company’s Class A common stock, par value $0.0001 per share, as set forth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Agreement (the “</w:t>
      </w:r>
      <w:r>
        <w:rPr>
          <w:rFonts w:ascii="Arial" w:cs="Arial" w:eastAsia="Arial" w:hAnsi="Arial"/>
          <w:sz w:val="17"/>
          <w:szCs w:val="17"/>
          <w:b w:val="1"/>
          <w:bCs w:val="1"/>
          <w:color w:val="auto"/>
        </w:rPr>
        <w:t>Shares</w:t>
      </w:r>
      <w:r>
        <w:rPr>
          <w:rFonts w:ascii="Arial" w:cs="Arial" w:eastAsia="Arial" w:hAnsi="Arial"/>
          <w:sz w:val="17"/>
          <w:szCs w:val="17"/>
          <w:color w:val="auto"/>
        </w:rPr>
        <w:t xml:space="preserve">”) at the Per Share Price (as defined below), for the sole purpose of generating cash to satisfy (i) the tax withholding due in connection with the Series E Sale (as defined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Tax Withholding Amount</w:t>
      </w:r>
      <w:r>
        <w:rPr>
          <w:rFonts w:ascii="Arial" w:cs="Arial" w:eastAsia="Arial" w:hAnsi="Arial"/>
          <w:sz w:val="17"/>
          <w:szCs w:val="17"/>
          <w:color w:val="auto"/>
        </w:rPr>
        <w:t xml:space="preserve">”), (ii) other applicable taxes, including Medicare (as defined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Other Taxes Amount</w:t>
      </w:r>
      <w:r>
        <w:rPr>
          <w:rFonts w:ascii="Arial" w:cs="Arial" w:eastAsia="Arial" w:hAnsi="Arial"/>
          <w:sz w:val="17"/>
          <w:szCs w:val="17"/>
          <w:color w:val="auto"/>
        </w:rPr>
        <w:t xml:space="preserve">”) and (iii) the tax liability in respect of the capital gains realized in connection with the sale of the Shares to the Company pursuant to this Agreement (as defined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Capital Gains Tax Liability Amount</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under the Company’s Amended and Restated Bylaws, the Selling Stockholder may not sell Lock-Up Securities (as defined in Section 5.04 of the Company’s Amended and Restated Bylaws) until January 19, 2022 without the prior written consent of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which the Board may grant in its sole discretion at any time;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Selling Stockholder desires to sell the Shares to the Company, and the Company desires to repurchase the Shares from the Selling Stockholder, on the terms and conditions set forth herein, in order to satisfy the Tax Withholding Amount, the Other Taxes Amount and the Capital Gains Tax Liability Amount.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NOW, THEREFORE, in consideration of the mutual promises and covenants set forth in this Agreement, and other good and valuable consideration, the receipt and sufficiency of which is hereby acknowledged, the parties hereby agree as follows:</w:t>
      </w:r>
    </w:p>
    <w:p>
      <w:pPr>
        <w:spacing w:after="0" w:line="170" w:lineRule="exact"/>
        <w:rPr>
          <w:sz w:val="20"/>
          <w:szCs w:val="20"/>
          <w:color w:val="auto"/>
        </w:rPr>
      </w:pPr>
    </w:p>
    <w:p>
      <w:pPr>
        <w:ind w:left="620" w:hanging="612"/>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Repurchase of Shares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color w:val="auto"/>
        </w:rPr>
        <w:t>Repurchase</w:t>
      </w:r>
      <w:r>
        <w:rPr>
          <w:rFonts w:ascii="Arial" w:cs="Arial" w:eastAsia="Arial" w:hAnsi="Arial"/>
          <w:sz w:val="17"/>
          <w:szCs w:val="17"/>
          <w:color w:val="auto"/>
        </w:rPr>
        <w:t>. Subject to the terms and conditions of this Agreement, the Selling Stockholder hereby agrees to sell to the Company, and the Company hereby agrees to purchase from the Selling Stockholder, the Shares, at the average closing price on the Nasdaq Global Select Market of the Common Stock for the three trading day period ending on and including the second trading day immediately preceding the Closing Date (the “</w:t>
      </w:r>
      <w:r>
        <w:rPr>
          <w:rFonts w:ascii="Arial" w:cs="Arial" w:eastAsia="Arial" w:hAnsi="Arial"/>
          <w:sz w:val="17"/>
          <w:szCs w:val="17"/>
          <w:b w:val="1"/>
          <w:bCs w:val="1"/>
          <w:color w:val="auto"/>
        </w:rPr>
        <w:t>Per Share</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The product of the Shares, multiplied by the Per Share Price, is referred to in this Agreement as the Purchase Price.</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Closing</w:t>
      </w:r>
      <w:r>
        <w:rPr>
          <w:rFonts w:ascii="Arial" w:cs="Arial" w:eastAsia="Arial" w:hAnsi="Arial"/>
          <w:sz w:val="18"/>
          <w:szCs w:val="18"/>
          <w:color w:val="auto"/>
        </w:rPr>
        <w:t>. The closing shall occur on October 8, 2021 (the “</w:t>
      </w:r>
      <w:r>
        <w:rPr>
          <w:rFonts w:ascii="Arial" w:cs="Arial" w:eastAsia="Arial" w:hAnsi="Arial"/>
          <w:sz w:val="18"/>
          <w:szCs w:val="18"/>
          <w:b w:val="1"/>
          <w:bCs w:val="1"/>
          <w:color w:val="auto"/>
        </w:rPr>
        <w:t>Closing Date</w:t>
      </w:r>
      <w:r>
        <w:rPr>
          <w:rFonts w:ascii="Arial" w:cs="Arial" w:eastAsia="Arial" w:hAnsi="Arial"/>
          <w:sz w:val="18"/>
          <w:szCs w:val="18"/>
          <w:color w:val="auto"/>
        </w:rPr>
        <w:t>”), subject to deferral as set forth herein. Delivery of, and payment for, the Shares as set forth herein are referred to as the “</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166" w:lineRule="exact"/>
        <w:rPr>
          <w:sz w:val="20"/>
          <w:szCs w:val="20"/>
          <w:color w:val="auto"/>
        </w:rPr>
      </w:pPr>
    </w:p>
    <w:p>
      <w:pPr>
        <w:jc w:val="both"/>
        <w:ind w:firstLine="1413"/>
        <w:spacing w:after="0" w:line="263"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Delivery</w:t>
      </w:r>
      <w:r>
        <w:rPr>
          <w:rFonts w:ascii="Arial" w:cs="Arial" w:eastAsia="Arial" w:hAnsi="Arial"/>
          <w:sz w:val="18"/>
          <w:szCs w:val="18"/>
          <w:color w:val="auto"/>
        </w:rPr>
        <w:t xml:space="preserve">. On or before the Closing Date, the Selling Stockholder shall deliver to the Company (i) a Stock Power duly executed in blank by Seller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assigning all of Selling Stockholder’s right, title and interest in and to the Shares, and (ii) an amount of cash equal to the Cash Remittance (as defined in Annex A), if any.</w:t>
      </w:r>
    </w:p>
    <w:p>
      <w:pPr>
        <w:spacing w:after="0" w:line="184" w:lineRule="exact"/>
        <w:rPr>
          <w:sz w:val="20"/>
          <w:szCs w:val="20"/>
          <w:color w:val="auto"/>
        </w:rPr>
      </w:pPr>
    </w:p>
    <w:p>
      <w:pPr>
        <w:jc w:val="both"/>
        <w:ind w:firstLine="1386"/>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Payment</w:t>
      </w:r>
      <w:r>
        <w:rPr>
          <w:rFonts w:ascii="Arial" w:cs="Arial" w:eastAsia="Arial" w:hAnsi="Arial"/>
          <w:sz w:val="18"/>
          <w:szCs w:val="18"/>
          <w:color w:val="auto"/>
        </w:rPr>
        <w:t xml:space="preserve">. Promptly after the Closing Date, subject to the satisfaction of the terms and conditions hereof, the Company shall deliver cash to the applicable tax authorities in the amount of the Tax Withholding Amount plus the Other Taxes Amount plus the Capital Gains Tax Liability plus the Cash Remittance (as defined in </w:t>
      </w:r>
      <w:r>
        <w:rPr>
          <w:rFonts w:ascii="Arial" w:cs="Arial" w:eastAsia="Arial" w:hAnsi="Arial"/>
          <w:sz w:val="18"/>
          <w:szCs w:val="18"/>
          <w:u w:val="single" w:color="auto"/>
          <w:color w:val="auto"/>
        </w:rPr>
        <w:t>Annex A</w:t>
      </w:r>
      <w:r>
        <w:rPr>
          <w:rFonts w:ascii="Arial" w:cs="Arial" w:eastAsia="Arial" w:hAnsi="Arial"/>
          <w:sz w:val="18"/>
          <w:szCs w:val="18"/>
          <w:color w:val="auto"/>
        </w:rPr>
        <w:t>). The Selling Stockholder acknowledges and agrees that the Company will not deliver any payment for the Shares to the Selling Stockholder.</w:t>
      </w:r>
    </w:p>
    <w:p>
      <w:pPr>
        <w:spacing w:after="0" w:line="187" w:lineRule="exact"/>
        <w:rPr>
          <w:sz w:val="20"/>
          <w:szCs w:val="20"/>
          <w:color w:val="auto"/>
        </w:rPr>
      </w:pPr>
    </w:p>
    <w:p>
      <w:pPr>
        <w:ind w:firstLine="8"/>
        <w:spacing w:after="0" w:line="277" w:lineRule="auto"/>
        <w:tabs>
          <w:tab w:leader="none" w:pos="629"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Warranties and Covenants of the Selling Stockholder</w:t>
      </w:r>
      <w:r>
        <w:rPr>
          <w:rFonts w:ascii="Arial" w:cs="Arial" w:eastAsia="Arial" w:hAnsi="Arial"/>
          <w:sz w:val="18"/>
          <w:szCs w:val="18"/>
          <w:color w:val="auto"/>
        </w:rPr>
        <w:t>. The Selling Stockholder hereby represents, warrants and covenants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as follows: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Authority to Sell Shares</w:t>
      </w:r>
      <w:r>
        <w:rPr>
          <w:rFonts w:ascii="Arial" w:cs="Arial" w:eastAsia="Arial" w:hAnsi="Arial"/>
          <w:sz w:val="18"/>
          <w:szCs w:val="18"/>
          <w:color w:val="auto"/>
        </w:rPr>
        <w:t>. As of immediately prior to settlement on the Closing Date the Selling Stockholder will hold the Shares, free and clear of any pledge, lien, security interest, encumbrance, claim or equitable interest other than pursuant to this Agreement and upon transfer of the Shares to the Company, the Company will acquire good, marketable and unencumbered title thereto.</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Authority; Enforceability</w:t>
      </w:r>
      <w:r>
        <w:rPr>
          <w:rFonts w:ascii="Arial" w:cs="Arial" w:eastAsia="Arial" w:hAnsi="Arial"/>
          <w:sz w:val="18"/>
          <w:szCs w:val="18"/>
          <w:color w:val="auto"/>
        </w:rPr>
        <w:t>. The Selling Stockholder has all requisite power and authority to execute and deliver this Agreement and to carry out and perform the obligations under the terms hereof and the transactions contemplated hereby. If the Selling Stockholder is married or in a civil union or domestic partnership, the spouse or partner of the Selling Stockholder has duly executed this Agreement, and references to “Selling Stockholder” refer to the Selling Stockholder together with the Selling Stockholder’s spouse or partner, as applicable. This Agreement has been duly authorized, executed and delivered by the Selling Stockholder and constitutes the valid and binding obligation of the Selling Stockholder, enforceable in accordance with its terms, subject to laws of general application relating to bankruptcy, insolvency and the relief of debtors, and rules of law governing specific performance, injunctive relief or other equitable remedies.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48"/>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No Conflicts</w:t>
      </w:r>
      <w:r>
        <w:rPr>
          <w:rFonts w:ascii="Arial" w:cs="Arial" w:eastAsia="Arial" w:hAnsi="Arial"/>
          <w:sz w:val="16"/>
          <w:szCs w:val="16"/>
          <w:color w:val="auto"/>
        </w:rPr>
        <w:t>. Other than the transfer restrictions that apply to the Selling Stockholder in Article 5 Section 5.04 of the Company’s Amended and Restated Bylaws, which the Board has duly waived for the repurchase of Shares described in this Agreement, the execution, delivery and performance of this Agreement by the Selling Stockholder and compliance by the Selling Stockholder with all provisions hereof and the consummation of the transactions contemplated hereby, will not (i) require any consent, approval, authorization or other order of, or qualification with, any court or governmental body or agency (except as may be required under the securities or Blue Sky laws of the various states), (ii) constitute a breach or violation of any of the terms or provisions of, or result in a default under any material indenture, loan agreement, mortgage, lease or other agreement or instrument to which any of the Selling Stockholder is a party or by which it is bound, or (iii) violate or conflict with any applicable law or any rule, regulation, judgment, decision, order or decree of any court or any governmental body or agency having jurisdiction over the Selling Stockholder.</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i w:val="1"/>
          <w:iCs w:val="1"/>
          <w:color w:val="auto"/>
        </w:rPr>
        <w:t>Opportunity to Obtain Legal, Tax, or Investment Advice</w:t>
      </w:r>
      <w:r>
        <w:rPr>
          <w:rFonts w:ascii="Arial" w:cs="Arial" w:eastAsia="Arial" w:hAnsi="Arial"/>
          <w:sz w:val="16"/>
          <w:szCs w:val="16"/>
          <w:color w:val="auto"/>
        </w:rPr>
        <w:t>. The Selling Stockholder has had an opportunity to review the federal, state, local, and non-U.S. tax consequences of its sale of the Shares to the Company. The Selling Stockholder understands that nothing in this Agreement or any other materials presented to the Selling Stockholder by the Company in connection with the sale and purchase of the Shares constitutes legal, tax, or investment advice. The Company has made available to the Selling Stockholder, at the Company’s expense, certain tax and advisory services provided by Deloitte LLP. Selling Stockholder acknowledges that the Company has not provided, and is not providing, tax advice to the Selling Stockholder. The Selling Stockholder has consulted such legal, tax, and investment advisors as the Selling Stockholder, in the Selling Stockholder’s sole discretion, has deemed necessary or appropriate in connection with the sale of the Shares hereunder. The Selling Stockholder acknowledges responsibility for any tax liability that may arise as a result of the sale of the Shares to the Company or the transactions contemplated by this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Available Information</w:t>
      </w:r>
      <w:r>
        <w:rPr>
          <w:rFonts w:ascii="Arial" w:cs="Arial" w:eastAsia="Arial" w:hAnsi="Arial"/>
          <w:sz w:val="18"/>
          <w:szCs w:val="18"/>
          <w:color w:val="auto"/>
        </w:rPr>
        <w:t>. The Selling Stockholder has adequate information concerning the business and financial condition of the Company as, in the Selling Stockholder’s judgment, is necessary to make an informed decision with respect to the Shares and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Tax Treatment of Repurchase.</w:t>
      </w:r>
      <w:r>
        <w:rPr>
          <w:rFonts w:ascii="Arial" w:cs="Arial" w:eastAsia="Arial" w:hAnsi="Arial"/>
          <w:sz w:val="18"/>
          <w:szCs w:val="18"/>
          <w:color w:val="auto"/>
        </w:rPr>
        <w:t xml:space="preserve"> The purchase of Shares pursuant to this Agreement shall be treated as a redemption described in Section 302(a)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Accredited Purchaser.</w:t>
      </w:r>
      <w:r>
        <w:rPr>
          <w:rFonts w:ascii="Arial" w:cs="Arial" w:eastAsia="Arial" w:hAnsi="Arial"/>
          <w:sz w:val="18"/>
          <w:szCs w:val="18"/>
          <w:color w:val="auto"/>
        </w:rPr>
        <w:t xml:space="preserve"> The Selling Stockholder is an accredited investor as defined in Rule 501(a) of Regulation D promulgated under the Securities Act.</w:t>
      </w:r>
    </w:p>
    <w:p>
      <w:pPr>
        <w:spacing w:after="0" w:line="170" w:lineRule="exact"/>
        <w:rPr>
          <w:sz w:val="20"/>
          <w:szCs w:val="20"/>
          <w:color w:val="auto"/>
        </w:rPr>
      </w:pPr>
    </w:p>
    <w:p>
      <w:pPr>
        <w:ind w:firstLine="8"/>
        <w:spacing w:after="0" w:line="277" w:lineRule="auto"/>
        <w:tabs>
          <w:tab w:leader="none" w:pos="93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Warranties and Covenants of the Company</w:t>
      </w:r>
      <w:r>
        <w:rPr>
          <w:rFonts w:ascii="Arial" w:cs="Arial" w:eastAsia="Arial" w:hAnsi="Arial"/>
          <w:sz w:val="18"/>
          <w:szCs w:val="18"/>
          <w:color w:val="auto"/>
        </w:rPr>
        <w:t>. The Company hereby represents and warrants and covenants to the Selling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as follows: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Authority; Enforceability</w:t>
      </w:r>
      <w:r>
        <w:rPr>
          <w:rFonts w:ascii="Arial" w:cs="Arial" w:eastAsia="Arial" w:hAnsi="Arial"/>
          <w:sz w:val="18"/>
          <w:szCs w:val="18"/>
          <w:color w:val="auto"/>
        </w:rPr>
        <w:t>. The Company has full right, power and authority to execute and deliver this Agreement, and all action required to be taken for the due and proper authorization, execution and delivery by it of this Agreement and the consummation by it of the transactions contemplated hereby has been duly and validly taken and has taken all action necessary to authorize the transactions effected hereby. The Agreement has been duly authorized, executed and delivered by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648"/>
        <w:spacing w:after="0" w:line="28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No Conflicts</w:t>
      </w:r>
      <w:r>
        <w:rPr>
          <w:rFonts w:ascii="Arial" w:cs="Arial" w:eastAsia="Arial" w:hAnsi="Arial"/>
          <w:sz w:val="16"/>
          <w:szCs w:val="16"/>
          <w:color w:val="auto"/>
        </w:rPr>
        <w:t>. Other than the transfer restrictions in Article 5 Section 5.04 of the Company’s Amended and Restated Bylaws, which the Board has duly waived with respect to the repurchase of Shares contemplated by this Agreement, the execution, delivery and performance of this Agreement and the consummation of the transactions contemplated hereby, including the repurchase of the Shares, do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in each case, applicable to the Company, except, in the case of clauses</w:t>
      </w:r>
    </w:p>
    <w:p>
      <w:pPr>
        <w:spacing w:after="0" w:line="6" w:lineRule="exact"/>
        <w:rPr>
          <w:sz w:val="20"/>
          <w:szCs w:val="20"/>
          <w:color w:val="auto"/>
        </w:rPr>
      </w:pPr>
    </w:p>
    <w:p>
      <w:pPr>
        <w:ind w:firstLine="8"/>
        <w:spacing w:after="0" w:line="260" w:lineRule="auto"/>
        <w:tabs>
          <w:tab w:leader="none" w:pos="2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and (iii) above, for any such conflict, breach or violation that would not, individually or in the aggregate, have a material adverse effect on the Company and its subsidiaries, taken as a whole.</w:t>
      </w:r>
    </w:p>
    <w:p>
      <w:pPr>
        <w:spacing w:after="0" w:line="185"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Conditions to Company’s Obligations</w:t>
      </w:r>
      <w:r>
        <w:rPr>
          <w:rFonts w:ascii="Arial" w:cs="Arial" w:eastAsia="Arial" w:hAnsi="Arial"/>
          <w:sz w:val="17"/>
          <w:szCs w:val="17"/>
          <w:color w:val="auto"/>
        </w:rPr>
        <w:t>. The Company’s obligation to purchase the Shares at the Closing is subject to the fulfillment to the Company’s satisfaction on or prior to the Closing of the following conditions, any of which may be waived in whole or in part by Company:</w:t>
      </w:r>
    </w:p>
    <w:p>
      <w:pPr>
        <w:spacing w:after="0" w:line="146" w:lineRule="exact"/>
        <w:rPr>
          <w:sz w:val="20"/>
          <w:szCs w:val="20"/>
          <w:color w:val="auto"/>
        </w:rPr>
      </w:pPr>
    </w:p>
    <w:p>
      <w:pPr>
        <w:ind w:left="1740" w:hanging="315"/>
        <w:spacing w:after="0" w:line="277" w:lineRule="auto"/>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representations and warranties made by the Selling Stockholder in Section 2 hereof shall be true and correct when made and as of the Closing.</w:t>
      </w:r>
    </w:p>
    <w:p>
      <w:pPr>
        <w:spacing w:after="0" w:line="170" w:lineRule="exact"/>
        <w:rPr>
          <w:rFonts w:ascii="Arial" w:cs="Arial" w:eastAsia="Arial" w:hAnsi="Arial"/>
          <w:sz w:val="18"/>
          <w:szCs w:val="18"/>
          <w:color w:val="auto"/>
        </w:rPr>
      </w:pPr>
    </w:p>
    <w:p>
      <w:pPr>
        <w:ind w:left="1740" w:hanging="315"/>
        <w:spacing w:after="0" w:line="277" w:lineRule="auto"/>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covenants, agreements and conditions contained in this Agreement to be performed by the Selling Stockholder on or prior to the Closing shall have been performed or complied with.</w:t>
      </w:r>
    </w:p>
    <w:p>
      <w:pPr>
        <w:spacing w:after="0" w:line="170" w:lineRule="exact"/>
        <w:rPr>
          <w:rFonts w:ascii="Arial" w:cs="Arial" w:eastAsia="Arial" w:hAnsi="Arial"/>
          <w:sz w:val="18"/>
          <w:szCs w:val="18"/>
          <w:color w:val="auto"/>
        </w:rPr>
      </w:pPr>
    </w:p>
    <w:p>
      <w:pPr>
        <w:jc w:val="both"/>
        <w:ind w:left="1740" w:hanging="315"/>
        <w:spacing w:after="0" w:line="259" w:lineRule="auto"/>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action shall have been taken and no statute, rule, regulation or order shall have been enacted, promulgated or issued or deemed applicable to the proposed transactions by any legislature, administrative agency, court or other governmental authority which would make consummation of the proposed transactions pursuant to this Agreement illegal or render Company or the Selling Stockholder unable to consummate the proposed transactions.</w:t>
      </w:r>
    </w:p>
    <w:p>
      <w:pPr>
        <w:spacing w:after="0" w:line="186" w:lineRule="exact"/>
        <w:rPr>
          <w:rFonts w:ascii="Arial" w:cs="Arial" w:eastAsia="Arial" w:hAnsi="Arial"/>
          <w:sz w:val="18"/>
          <w:szCs w:val="18"/>
          <w:color w:val="auto"/>
        </w:rPr>
      </w:pPr>
    </w:p>
    <w:p>
      <w:pPr>
        <w:ind w:left="1740" w:right="20" w:hanging="315"/>
        <w:spacing w:after="0" w:line="342" w:lineRule="auto"/>
        <w:tabs>
          <w:tab w:leader="none" w:pos="1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Selling Stockholder shall have provided the Company with a completed and executed copy of IRS Form W-4 (2021), Form W-9, IRS Form W-8ECI, IRS Form W-8BEN or IRS Form W-8BEN-E, as applicable, with respect to the Selling Stockholder.</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Conditions to Obligations of the Selling Stockholder</w:t>
      </w:r>
      <w:r>
        <w:rPr>
          <w:rFonts w:ascii="Arial" w:cs="Arial" w:eastAsia="Arial" w:hAnsi="Arial"/>
          <w:sz w:val="18"/>
          <w:szCs w:val="18"/>
          <w:color w:val="auto"/>
        </w:rPr>
        <w:t>. The obligations of the Selling Stockholder to sell and convey the Shares at the Closing is subject to the fulfillment to the satisfaction of the Selling Stockholder, on or prior to the Closing of the following conditions, any of which may be waived in whole or in part by the Selling Stockholder:</w:t>
      </w:r>
    </w:p>
    <w:p>
      <w:pPr>
        <w:spacing w:after="0" w:line="184" w:lineRule="exact"/>
        <w:rPr>
          <w:sz w:val="20"/>
          <w:szCs w:val="20"/>
          <w:color w:val="auto"/>
        </w:rPr>
      </w:pPr>
    </w:p>
    <w:p>
      <w:pPr>
        <w:ind w:left="1400"/>
        <w:spacing w:after="0"/>
        <w:tabs>
          <w:tab w:leader="none" w:pos="23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representations made by Company in Section 3 hereof shall be true and correct when made and as of the Closing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1386"/>
        <w:spacing w:after="0" w:line="277" w:lineRule="auto"/>
        <w:rPr>
          <w:sz w:val="20"/>
          <w:szCs w:val="20"/>
          <w:color w:val="auto"/>
        </w:rPr>
      </w:pPr>
      <w:r>
        <w:rPr>
          <w:rFonts w:ascii="Arial" w:cs="Arial" w:eastAsia="Arial" w:hAnsi="Arial"/>
          <w:sz w:val="18"/>
          <w:szCs w:val="18"/>
          <w:color w:val="auto"/>
        </w:rPr>
        <w:t>4.2.2. All covenants, agreements and conditions contained in this Agreement to be performed by the Company on or prior to the Closing Date shall have been performed or complied with.</w:t>
      </w:r>
    </w:p>
    <w:p>
      <w:pPr>
        <w:spacing w:after="0" w:line="170" w:lineRule="exact"/>
        <w:rPr>
          <w:sz w:val="20"/>
          <w:szCs w:val="20"/>
          <w:color w:val="auto"/>
        </w:rPr>
      </w:pPr>
    </w:p>
    <w:p>
      <w:pPr>
        <w:jc w:val="both"/>
        <w:ind w:firstLine="1386"/>
        <w:spacing w:after="0" w:line="259" w:lineRule="auto"/>
        <w:rPr>
          <w:sz w:val="20"/>
          <w:szCs w:val="20"/>
          <w:color w:val="auto"/>
        </w:rPr>
      </w:pPr>
      <w:r>
        <w:rPr>
          <w:rFonts w:ascii="Arial" w:cs="Arial" w:eastAsia="Arial" w:hAnsi="Arial"/>
          <w:sz w:val="18"/>
          <w:szCs w:val="18"/>
          <w:color w:val="auto"/>
        </w:rPr>
        <w:t>4.2.3. No action shall have been taken and no statute, rule, regulation or order shall have been enacted, promulgated or issued or deemed applicable to the proposed transactions by any legislature, administrative agency, court or other governmental authority which would make consummation of the proposed transactions pursuant to this Agreement illegal or render the Company or the Selling Stockholder unable to consummate the proposed transactions.</w:t>
      </w:r>
    </w:p>
    <w:p>
      <w:pPr>
        <w:spacing w:after="0" w:line="187" w:lineRule="exact"/>
        <w:rPr>
          <w:sz w:val="20"/>
          <w:szCs w:val="20"/>
          <w:color w:val="auto"/>
        </w:rPr>
      </w:pPr>
    </w:p>
    <w:p>
      <w:pPr>
        <w:ind w:left="680" w:hanging="672"/>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Governing Law</w:t>
      </w:r>
      <w:r>
        <w:rPr>
          <w:rFonts w:ascii="Arial" w:cs="Arial" w:eastAsia="Arial" w:hAnsi="Arial"/>
          <w:sz w:val="16"/>
          <w:szCs w:val="16"/>
          <w:color w:val="auto"/>
        </w:rPr>
        <w:t>. This Agreement shall be governed in all respects by the laws of the State of New York.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Successors and Assigns</w:t>
      </w:r>
      <w:r>
        <w:rPr>
          <w:rFonts w:ascii="Arial" w:cs="Arial" w:eastAsia="Arial" w:hAnsi="Arial"/>
          <w:sz w:val="18"/>
          <w:szCs w:val="18"/>
          <w:color w:val="auto"/>
        </w:rPr>
        <w:t>. Except as otherwise provided herein, the provisions hereof shall inure to the benefit of, and be binding upon, the successors, assigns, heirs, executors and administrators of the parties hereto.</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full and entire understanding and agreement among the parties regarding its subject matter. Neither this Agreement nor any term hereof may be amended, waived, discharged or terminated other than by a written instrument signed by the Company and the Selling Stockholder. If any provision of this Agreement becomes or is declared by a court of competent jurisdiction to be illegal, unenforceable or void, the Agreement shall continue in full force and effect without said provision.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required or permitted hereunder shall be given in writing and shall be personally delivered; sent by electronic transmission; or sent by registered or certified U.S. mail, return receipt requested and postage prepaid; or by private overnight mail courier service, as follows:</w:t>
      </w:r>
    </w:p>
    <w:p>
      <w:pPr>
        <w:spacing w:after="0" w:line="184" w:lineRule="exact"/>
        <w:rPr>
          <w:sz w:val="20"/>
          <w:szCs w:val="20"/>
          <w:color w:val="auto"/>
        </w:rPr>
      </w:pPr>
    </w:p>
    <w:p>
      <w:pPr>
        <w:ind w:left="1420" w:right="1180" w:hanging="764"/>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to the Company, to: Lucid Group, Inc., 7373 Gateway Blvd., Newark, CA 94560, Attention: General Counsel; Email: jonathanbutler@lucidmotors.com.</w:t>
      </w:r>
    </w:p>
    <w:p>
      <w:pPr>
        <w:spacing w:after="0" w:line="170" w:lineRule="exact"/>
        <w:rPr>
          <w:rFonts w:ascii="Arial" w:cs="Arial" w:eastAsia="Arial" w:hAnsi="Arial"/>
          <w:sz w:val="18"/>
          <w:szCs w:val="18"/>
          <w:color w:val="auto"/>
        </w:rPr>
      </w:pPr>
    </w:p>
    <w:p>
      <w:pPr>
        <w:ind w:left="1420" w:hanging="764"/>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If to the Selling Stockholder, at the email address and address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Delays or Omissions</w:t>
      </w:r>
      <w:r>
        <w:rPr>
          <w:rFonts w:ascii="Arial" w:cs="Arial" w:eastAsia="Arial" w:hAnsi="Arial"/>
          <w:sz w:val="18"/>
          <w:szCs w:val="18"/>
          <w:color w:val="auto"/>
        </w:rPr>
        <w:t>. No delay or omission to exercise any right, power or remedy accruing to any party hereto under this Agreement upon the breach or default of any other party hereto under this Agreement shall impair any such right, power or remedy, nor shall it be construed to be a waiver of any such breach or default, or an acquiescence therein, or in any similar breach or default thereafter occurring; nor shall any waiver of any single breach or default be deemed a waiver of any other breach or default theretofore or thereafter occurring. Any waiver, permit, consent or approval of any kind or character on the part of a party hereto under this Agreement of any breach or default under this Agreement, or any waiver on the part of any party hereto of any provisions or conditions of this Agreement, must be in writing and shall be effective only to the extent specifically set forth in such writing or as provided in this Agreement. All remedies, either under this Agreement or by law or otherwise afforded to a party hereto, shall be cumulative and not alternative.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Expenses</w:t>
      </w:r>
      <w:r>
        <w:rPr>
          <w:rFonts w:ascii="Arial" w:cs="Arial" w:eastAsia="Arial" w:hAnsi="Arial"/>
          <w:sz w:val="18"/>
          <w:szCs w:val="18"/>
          <w:color w:val="auto"/>
        </w:rPr>
        <w:t>. The Company and the Selling Stockholder shall each pay their own expenses, including any legal expenses, in connection with the transactions contemplated herein.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enforceable against the parties actually executing such counterparts, and all of which together shall constitute one instrument. Delivery of an executed signature page of this Agreement by e-mail or other transmission (e.g., “pdf” format) shall be effective as delivery of a manually executed counterpart hereof. Each party agrees that this Agreement and any other documents to be delivered in connection herewith may be electronically signed, and that any electronic signatures appearing on this Agreement or such other documents shall have the same legal validity and enforceability as a manually executed signature or use of a paper-based recordkeeping system to the fullest extent permitted by applicable law.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5715</wp:posOffset>
            </wp:positionV>
            <wp:extent cx="32746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SPOUSE OR PARTNER OF SELLING STOCKHOLDER:</w:t>
      </w: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Signature Page to Stock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20"/>
          </w:cols>
          <w:pgMar w:left="980" w:top="908" w:right="139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POWER</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FOR VALUE RECEIVED and pursuant to that certain Stock Repurchase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Lucid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undersigned (the “</w:t>
      </w:r>
      <w:r>
        <w:rPr>
          <w:rFonts w:ascii="Arial" w:cs="Arial" w:eastAsia="Arial" w:hAnsi="Arial"/>
          <w:sz w:val="18"/>
          <w:szCs w:val="18"/>
          <w:b w:val="1"/>
          <w:bCs w:val="1"/>
          <w:color w:val="auto"/>
        </w:rPr>
        <w:t>Transferor</w:t>
      </w:r>
      <w:r>
        <w:rPr>
          <w:rFonts w:ascii="Arial" w:cs="Arial" w:eastAsia="Arial" w:hAnsi="Arial"/>
          <w:sz w:val="18"/>
          <w:szCs w:val="18"/>
          <w:color w:val="auto"/>
        </w:rPr>
        <w:t>”) dated as of October 8, 2021, Transferor hereby assigns and transfers unto the Company shares of Class A Common Stock, par value $0.0001 per share,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standing in the name of the Transferor on the books of the Company. The Transferor hereby irrevocably constitutes and appoints any officer of the Company attorney-in-fact to transfer the Shares on the books of the Company with full power of substitution.</w:t>
      </w:r>
    </w:p>
    <w:p>
      <w:pPr>
        <w:spacing w:after="0" w:line="18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Transferor</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-121920</wp:posOffset>
            </wp:positionV>
            <wp:extent cx="32746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Spouse or Partner of Transferor</w:t>
      </w:r>
    </w:p>
    <w:p>
      <w:pPr>
        <w:spacing w:after="0" w:line="200" w:lineRule="exact"/>
        <w:rPr>
          <w:sz w:val="20"/>
          <w:szCs w:val="20"/>
          <w:color w:val="auto"/>
        </w:rPr>
      </w:pPr>
    </w:p>
    <w:p>
      <w:pPr>
        <w:spacing w:after="0" w:line="25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Name:FORMTEXT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Defined Terms in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Tax Withholding Amount: $, which equals $ less the Cash Remittance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Remittance: $ (In the absence of an indication of the amount of the Cash Remittance by the Selling Stockholder, the Cash Remittance shall be deemed to be zero.)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Taxes Amount: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Gains Tax Liability Amount: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A number of shares of Common Stock equal to the sum of the following, rounded up to the nearest whole share:</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Tax Withholding Amount divided by the Per Share Price,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Other Taxes Amount divided by the Per Share Price,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Capital Gains Tax Liability Amount divided by the Per Share Price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Instruction to draw the Shares from specified share lot(s)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there is a preference, please select the applicable share lot(s) that the Shares will be drawn from and list the applicable number of Shares for each such lot. In the absence of a selection, or in the event of insufficient selections, the Shares will be drawn from the shares of the Company’s Class A Common Stock the Selling Stockholder previously purchased in connection with the Series 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436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vMerge w:val="restart"/>
            <w:shd w:val="clear" w:color="auto" w:fill="4D4D4D"/>
          </w:tcPr>
          <w:p>
            <w:pPr>
              <w:ind w:left="1900"/>
              <w:spacing w:after="0"/>
              <w:rPr>
                <w:sz w:val="20"/>
                <w:szCs w:val="20"/>
                <w:color w:val="auto"/>
              </w:rPr>
            </w:pPr>
            <w:r>
              <w:rPr>
                <w:rFonts w:ascii="Arial" w:cs="Arial" w:eastAsia="Arial" w:hAnsi="Arial"/>
                <w:sz w:val="18"/>
                <w:szCs w:val="18"/>
                <w:color w:val="auto"/>
              </w:rPr>
              <w:t>Source</w:t>
            </w:r>
          </w:p>
        </w:tc>
        <w:tc>
          <w:tcPr>
            <w:tcW w:w="1580" w:type="dxa"/>
            <w:vAlign w:val="bottom"/>
            <w:vMerge w:val="restart"/>
            <w:shd w:val="clear" w:color="auto" w:fill="4D4D4D"/>
          </w:tcPr>
          <w:p>
            <w:pPr>
              <w:ind w:left="460"/>
              <w:spacing w:after="0"/>
              <w:rPr>
                <w:sz w:val="20"/>
                <w:szCs w:val="20"/>
                <w:color w:val="auto"/>
              </w:rPr>
            </w:pPr>
            <w:r>
              <w:rPr>
                <w:rFonts w:ascii="Arial" w:cs="Arial" w:eastAsia="Arial" w:hAnsi="Arial"/>
                <w:sz w:val="18"/>
                <w:szCs w:val="18"/>
                <w:color w:val="auto"/>
              </w:rPr>
              <w:t>Grant Date</w:t>
            </w:r>
          </w:p>
        </w:tc>
        <w:tc>
          <w:tcPr>
            <w:tcW w:w="1380" w:type="dxa"/>
            <w:vAlign w:val="bottom"/>
            <w:vMerge w:val="restart"/>
            <w:shd w:val="clear" w:color="auto" w:fill="4D4D4D"/>
          </w:tcPr>
          <w:p>
            <w:pPr>
              <w:ind w:left="320"/>
              <w:spacing w:after="0"/>
              <w:rPr>
                <w:sz w:val="20"/>
                <w:szCs w:val="20"/>
                <w:color w:val="auto"/>
              </w:rPr>
            </w:pPr>
            <w:r>
              <w:rPr>
                <w:rFonts w:ascii="Arial" w:cs="Arial" w:eastAsia="Arial" w:hAnsi="Arial"/>
                <w:sz w:val="18"/>
                <w:szCs w:val="18"/>
                <w:color w:val="auto"/>
              </w:rPr>
              <w:t>Grant Type</w:t>
            </w:r>
          </w:p>
        </w:tc>
        <w:tc>
          <w:tcPr>
            <w:tcW w:w="1860" w:type="dxa"/>
            <w:vAlign w:val="bottom"/>
            <w:shd w:val="clear" w:color="auto" w:fill="4D4D4D"/>
          </w:tcPr>
          <w:p>
            <w:pPr>
              <w:jc w:val="center"/>
              <w:spacing w:after="0"/>
              <w:rPr>
                <w:sz w:val="20"/>
                <w:szCs w:val="20"/>
                <w:color w:val="auto"/>
              </w:rPr>
            </w:pPr>
            <w:r>
              <w:rPr>
                <w:rFonts w:ascii="Arial" w:cs="Arial" w:eastAsia="Arial" w:hAnsi="Arial"/>
                <w:sz w:val="18"/>
                <w:szCs w:val="18"/>
                <w:color w:val="auto"/>
                <w:w w:val="91"/>
              </w:rPr>
              <w:t>Exercise / Purchase</w:t>
            </w:r>
          </w:p>
        </w:tc>
        <w:tc>
          <w:tcPr>
            <w:tcW w:w="1280" w:type="dxa"/>
            <w:vAlign w:val="bottom"/>
            <w:shd w:val="clear" w:color="auto" w:fill="4D4D4D"/>
          </w:tcPr>
          <w:p>
            <w:pPr>
              <w:jc w:val="center"/>
              <w:spacing w:after="0"/>
              <w:rPr>
                <w:sz w:val="20"/>
                <w:szCs w:val="20"/>
                <w:color w:val="auto"/>
              </w:rPr>
            </w:pPr>
            <w:r>
              <w:rPr>
                <w:rFonts w:ascii="Arial" w:cs="Arial" w:eastAsia="Arial" w:hAnsi="Arial"/>
                <w:sz w:val="18"/>
                <w:szCs w:val="18"/>
                <w:color w:val="auto"/>
                <w:w w:val="91"/>
              </w:rPr>
              <w:t>Exercise /</w:t>
            </w:r>
          </w:p>
        </w:tc>
        <w:tc>
          <w:tcPr>
            <w:tcW w:w="2240" w:type="dxa"/>
            <w:vAlign w:val="bottom"/>
            <w:vMerge w:val="restart"/>
            <w:shd w:val="clear" w:color="auto" w:fill="4D4D4D"/>
          </w:tcPr>
          <w:p>
            <w:pPr>
              <w:ind w:left="80"/>
              <w:spacing w:after="0"/>
              <w:rPr>
                <w:sz w:val="20"/>
                <w:szCs w:val="20"/>
                <w:color w:val="auto"/>
              </w:rPr>
            </w:pPr>
            <w:r>
              <w:rPr>
                <w:rFonts w:ascii="Arial" w:cs="Arial" w:eastAsia="Arial" w:hAnsi="Arial"/>
                <w:sz w:val="18"/>
                <w:szCs w:val="18"/>
                <w:color w:val="auto"/>
                <w:w w:val="88"/>
              </w:rPr>
              <w:t>Shares Exercised / Purchased</w:t>
            </w:r>
          </w:p>
        </w:tc>
        <w:tc>
          <w:tcPr>
            <w:tcW w:w="0" w:type="dxa"/>
            <w:vAlign w:val="bottom"/>
          </w:tcPr>
          <w:p>
            <w:pPr>
              <w:spacing w:after="0"/>
              <w:rPr>
                <w:sz w:val="1"/>
                <w:szCs w:val="1"/>
                <w:color w:val="auto"/>
              </w:rPr>
            </w:pPr>
          </w:p>
        </w:tc>
      </w:tr>
      <w:tr>
        <w:trPr>
          <w:trHeight w:val="230"/>
        </w:trPr>
        <w:tc>
          <w:tcPr>
            <w:tcW w:w="2880" w:type="dxa"/>
            <w:vAlign w:val="bottom"/>
            <w:vMerge w:val="continue"/>
            <w:shd w:val="clear" w:color="auto" w:fill="4D4D4D"/>
          </w:tcPr>
          <w:p>
            <w:pPr>
              <w:spacing w:after="0"/>
              <w:rPr>
                <w:sz w:val="20"/>
                <w:szCs w:val="20"/>
                <w:color w:val="auto"/>
              </w:rPr>
            </w:pPr>
          </w:p>
        </w:tc>
        <w:tc>
          <w:tcPr>
            <w:tcW w:w="1580" w:type="dxa"/>
            <w:vAlign w:val="bottom"/>
            <w:vMerge w:val="continue"/>
            <w:shd w:val="clear" w:color="auto" w:fill="4D4D4D"/>
          </w:tcPr>
          <w:p>
            <w:pPr>
              <w:spacing w:after="0"/>
              <w:rPr>
                <w:sz w:val="20"/>
                <w:szCs w:val="20"/>
                <w:color w:val="auto"/>
              </w:rPr>
            </w:pPr>
          </w:p>
        </w:tc>
        <w:tc>
          <w:tcPr>
            <w:tcW w:w="1380" w:type="dxa"/>
            <w:vAlign w:val="bottom"/>
            <w:vMerge w:val="continue"/>
            <w:shd w:val="clear" w:color="auto" w:fill="4D4D4D"/>
          </w:tcPr>
          <w:p>
            <w:pPr>
              <w:spacing w:after="0"/>
              <w:rPr>
                <w:sz w:val="20"/>
                <w:szCs w:val="20"/>
                <w:color w:val="auto"/>
              </w:rPr>
            </w:pPr>
          </w:p>
        </w:tc>
        <w:tc>
          <w:tcPr>
            <w:tcW w:w="1860" w:type="dxa"/>
            <w:vAlign w:val="bottom"/>
            <w:shd w:val="clear" w:color="auto" w:fill="4D4D4D"/>
          </w:tcPr>
          <w:p>
            <w:pPr>
              <w:jc w:val="center"/>
              <w:spacing w:after="0"/>
              <w:rPr>
                <w:sz w:val="20"/>
                <w:szCs w:val="20"/>
                <w:color w:val="auto"/>
              </w:rPr>
            </w:pPr>
            <w:r>
              <w:rPr>
                <w:rFonts w:ascii="Arial" w:cs="Arial" w:eastAsia="Arial" w:hAnsi="Arial"/>
                <w:sz w:val="18"/>
                <w:szCs w:val="18"/>
                <w:color w:val="auto"/>
                <w:w w:val="89"/>
              </w:rPr>
              <w:t>Date</w:t>
            </w:r>
          </w:p>
        </w:tc>
        <w:tc>
          <w:tcPr>
            <w:tcW w:w="1280" w:type="dxa"/>
            <w:vAlign w:val="bottom"/>
            <w:shd w:val="clear" w:color="auto" w:fill="4D4D4D"/>
          </w:tcPr>
          <w:p>
            <w:pPr>
              <w:jc w:val="center"/>
              <w:spacing w:after="0"/>
              <w:rPr>
                <w:sz w:val="20"/>
                <w:szCs w:val="20"/>
                <w:color w:val="auto"/>
              </w:rPr>
            </w:pPr>
            <w:r>
              <w:rPr>
                <w:rFonts w:ascii="Arial" w:cs="Arial" w:eastAsia="Arial" w:hAnsi="Arial"/>
                <w:sz w:val="18"/>
                <w:szCs w:val="18"/>
                <w:color w:val="auto"/>
                <w:w w:val="88"/>
              </w:rPr>
              <w:t>Purchase Price</w:t>
            </w:r>
          </w:p>
        </w:tc>
        <w:tc>
          <w:tcPr>
            <w:tcW w:w="2240" w:type="dxa"/>
            <w:vAlign w:val="bottom"/>
            <w:vMerge w:val="continue"/>
            <w:shd w:val="clear" w:color="auto" w:fill="4D4D4D"/>
          </w:tcPr>
          <w:p>
            <w:pPr>
              <w:spacing w:after="0"/>
              <w:rPr>
                <w:sz w:val="20"/>
                <w:szCs w:val="20"/>
                <w:color w:val="auto"/>
              </w:rPr>
            </w:pPr>
          </w:p>
        </w:tc>
        <w:tc>
          <w:tcPr>
            <w:tcW w:w="0" w:type="dxa"/>
            <w:vAlign w:val="bottom"/>
          </w:tcPr>
          <w:p>
            <w:pPr>
              <w:spacing w:after="0"/>
              <w:rPr>
                <w:sz w:val="1"/>
                <w:szCs w:val="1"/>
                <w:color w:val="auto"/>
              </w:rPr>
            </w:pPr>
          </w:p>
        </w:tc>
      </w:tr>
    </w:tbl>
    <w:p>
      <w:pPr>
        <w:ind w:left="60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Stockholder Email 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3566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Stockholder 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3566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3566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848995</wp:posOffset>
            </wp:positionV>
            <wp:extent cx="3566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1285875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Rawlinson, certify that:</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Date: November 15, 2021</w:t>
            </w:r>
          </w:p>
        </w:tc>
        <w:tc>
          <w:tcPr>
            <w:tcW w:w="5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Peter Rawlinson</w:t>
            </w:r>
          </w:p>
        </w:tc>
      </w:tr>
      <w:tr>
        <w:trPr>
          <w:trHeight w:val="195"/>
        </w:trPr>
        <w:tc>
          <w:tcPr>
            <w:tcW w:w="5620" w:type="dxa"/>
            <w:vAlign w:val="bottom"/>
          </w:tcPr>
          <w:p>
            <w:pPr>
              <w:spacing w:after="0"/>
              <w:rPr>
                <w:sz w:val="16"/>
                <w:szCs w:val="16"/>
                <w:color w:val="auto"/>
              </w:rPr>
            </w:pPr>
          </w:p>
        </w:tc>
        <w:tc>
          <w:tcPr>
            <w:tcW w:w="5620" w:type="dxa"/>
            <w:vAlign w:val="bottom"/>
          </w:tcPr>
          <w:p>
            <w:pPr>
              <w:ind w:left="40"/>
              <w:spacing w:after="0" w:line="195" w:lineRule="exact"/>
              <w:rPr>
                <w:sz w:val="20"/>
                <w:szCs w:val="20"/>
                <w:color w:val="auto"/>
              </w:rPr>
            </w:pPr>
            <w:r>
              <w:rPr>
                <w:rFonts w:ascii="Arial" w:cs="Arial" w:eastAsia="Arial" w:hAnsi="Arial"/>
                <w:sz w:val="18"/>
                <w:szCs w:val="18"/>
                <w:color w:val="auto"/>
              </w:rPr>
              <w:t>Peter Rawlinson</w:t>
            </w:r>
          </w:p>
        </w:tc>
      </w:tr>
      <w:tr>
        <w:trPr>
          <w:trHeight w:val="216"/>
        </w:trPr>
        <w:tc>
          <w:tcPr>
            <w:tcW w:w="562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Sherry House, certify that:</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Lucid Group,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140" w:hanging="320"/>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Date: November 15, 2021</w:t>
            </w:r>
          </w:p>
        </w:tc>
        <w:tc>
          <w:tcPr>
            <w:tcW w:w="5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Sherry House</w:t>
            </w:r>
          </w:p>
        </w:tc>
      </w:tr>
      <w:tr>
        <w:trPr>
          <w:trHeight w:val="195"/>
        </w:trPr>
        <w:tc>
          <w:tcPr>
            <w:tcW w:w="5620" w:type="dxa"/>
            <w:vAlign w:val="bottom"/>
          </w:tcPr>
          <w:p>
            <w:pPr>
              <w:spacing w:after="0"/>
              <w:rPr>
                <w:sz w:val="16"/>
                <w:szCs w:val="16"/>
                <w:color w:val="auto"/>
              </w:rPr>
            </w:pPr>
          </w:p>
        </w:tc>
        <w:tc>
          <w:tcPr>
            <w:tcW w:w="5620" w:type="dxa"/>
            <w:vAlign w:val="bottom"/>
          </w:tcPr>
          <w:p>
            <w:pPr>
              <w:ind w:left="60"/>
              <w:spacing w:after="0" w:line="195" w:lineRule="exact"/>
              <w:rPr>
                <w:sz w:val="20"/>
                <w:szCs w:val="20"/>
                <w:color w:val="auto"/>
              </w:rPr>
            </w:pPr>
            <w:r>
              <w:rPr>
                <w:rFonts w:ascii="Arial" w:cs="Arial" w:eastAsia="Arial" w:hAnsi="Arial"/>
                <w:sz w:val="18"/>
                <w:szCs w:val="18"/>
                <w:color w:val="auto"/>
              </w:rPr>
              <w:t>Sherry House</w:t>
            </w:r>
          </w:p>
        </w:tc>
      </w:tr>
      <w:tr>
        <w:trPr>
          <w:trHeight w:val="216"/>
        </w:trPr>
        <w:tc>
          <w:tcPr>
            <w:tcW w:w="562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(Principal Accounting Officer and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spacing w:after="0" w:line="146" w:lineRule="exact"/>
        <w:rPr>
          <w:sz w:val="20"/>
          <w:szCs w:val="20"/>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Date: November 15, 2021</w:t>
            </w:r>
          </w:p>
        </w:tc>
        <w:tc>
          <w:tcPr>
            <w:tcW w:w="5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Peter Rawlinson</w:t>
            </w:r>
          </w:p>
        </w:tc>
      </w:tr>
      <w:tr>
        <w:trPr>
          <w:trHeight w:val="195"/>
        </w:trPr>
        <w:tc>
          <w:tcPr>
            <w:tcW w:w="5620" w:type="dxa"/>
            <w:vAlign w:val="bottom"/>
          </w:tcPr>
          <w:p>
            <w:pPr>
              <w:spacing w:after="0"/>
              <w:rPr>
                <w:sz w:val="16"/>
                <w:szCs w:val="16"/>
                <w:color w:val="auto"/>
              </w:rPr>
            </w:pPr>
          </w:p>
        </w:tc>
        <w:tc>
          <w:tcPr>
            <w:tcW w:w="5620" w:type="dxa"/>
            <w:vAlign w:val="bottom"/>
          </w:tcPr>
          <w:p>
            <w:pPr>
              <w:ind w:left="40"/>
              <w:spacing w:after="0" w:line="195" w:lineRule="exact"/>
              <w:rPr>
                <w:sz w:val="20"/>
                <w:szCs w:val="20"/>
                <w:color w:val="auto"/>
              </w:rPr>
            </w:pPr>
            <w:r>
              <w:rPr>
                <w:rFonts w:ascii="Arial" w:cs="Arial" w:eastAsia="Arial" w:hAnsi="Arial"/>
                <w:sz w:val="18"/>
                <w:szCs w:val="18"/>
                <w:color w:val="auto"/>
              </w:rPr>
              <w:t>Peter Rawlinson</w:t>
            </w:r>
          </w:p>
        </w:tc>
      </w:tr>
      <w:tr>
        <w:trPr>
          <w:trHeight w:val="216"/>
        </w:trPr>
        <w:tc>
          <w:tcPr>
            <w:tcW w:w="562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 (FURNISHED HEREWITH)</w:t>
      </w:r>
    </w:p>
    <w:p>
      <w:pPr>
        <w:spacing w:after="0" w:line="18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Sherry House, Chief Financial Officer of Lucid Group, Inc. (the “Company”), certify, as of the date hereof and solely for purposes of and pursuant to 18 U.S.C. Section 1350 as adopted pursuant to Section 906 of the Sarbanes-Oxley Act of 2002, that, to my knowledge:</w:t>
      </w:r>
    </w:p>
    <w:p>
      <w:pPr>
        <w:spacing w:after="0" w:line="170" w:lineRule="exact"/>
        <w:rPr>
          <w:sz w:val="20"/>
          <w:szCs w:val="20"/>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Date: November 15, 2021</w:t>
            </w:r>
          </w:p>
        </w:tc>
        <w:tc>
          <w:tcPr>
            <w:tcW w:w="5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Sherry House</w:t>
            </w:r>
          </w:p>
        </w:tc>
      </w:tr>
      <w:tr>
        <w:trPr>
          <w:trHeight w:val="195"/>
        </w:trPr>
        <w:tc>
          <w:tcPr>
            <w:tcW w:w="5620" w:type="dxa"/>
            <w:vAlign w:val="bottom"/>
          </w:tcPr>
          <w:p>
            <w:pPr>
              <w:spacing w:after="0"/>
              <w:rPr>
                <w:sz w:val="16"/>
                <w:szCs w:val="16"/>
                <w:color w:val="auto"/>
              </w:rPr>
            </w:pPr>
          </w:p>
        </w:tc>
        <w:tc>
          <w:tcPr>
            <w:tcW w:w="5620" w:type="dxa"/>
            <w:vAlign w:val="bottom"/>
          </w:tcPr>
          <w:p>
            <w:pPr>
              <w:ind w:left="40"/>
              <w:spacing w:after="0" w:line="195" w:lineRule="exact"/>
              <w:rPr>
                <w:sz w:val="20"/>
                <w:szCs w:val="20"/>
                <w:color w:val="auto"/>
              </w:rPr>
            </w:pPr>
            <w:r>
              <w:rPr>
                <w:rFonts w:ascii="Arial" w:cs="Arial" w:eastAsia="Arial" w:hAnsi="Arial"/>
                <w:sz w:val="18"/>
                <w:szCs w:val="18"/>
                <w:color w:val="auto"/>
              </w:rPr>
              <w:t>Sherry House</w:t>
            </w:r>
          </w:p>
        </w:tc>
      </w:tr>
      <w:tr>
        <w:trPr>
          <w:trHeight w:val="216"/>
        </w:trPr>
        <w:tc>
          <w:tcPr>
            <w:tcW w:w="562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(Principal Accounting Officer and Financial Officer)</w:t>
            </w:r>
          </w:p>
        </w:tc>
      </w:tr>
      <w:tr>
        <w:trPr>
          <w:trHeight w:val="45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lvl w:ilvl="1">
      <w:lvlJc w:val="left"/>
      <w:lvlText w:val="%2"/>
      <w:numFmt w:val="decimal"/>
      <w:start w:val="104"/>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2"/>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1)"/>
      <w:numFmt w:val="lowerRoman"/>
      <w:start w:val="1"/>
    </w:lvl>
  </w:abstractNum>
  <w:abstractNum w:abstractNumId="42">
    <w:nsid w:val="38437FDB"/>
    <w:multiLevelType w:val="hybridMultilevel"/>
    <w:lvl w:ilvl="0">
      <w:lvlJc w:val="left"/>
      <w:lvlText w:val="%1."/>
      <w:numFmt w:val="decimal"/>
      <w:start w:val="4"/>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lowerRoman"/>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6"/>
    </w:lvl>
    <w:lvl w:ilvl="1">
      <w:lvlJc w:val="left"/>
      <w:lvlText w:val="%2."/>
      <w:numFmt w:val="lowerLetter"/>
      <w:start w:val="4"/>
    </w:lvl>
  </w:abstractNum>
  <w:abstractNum w:abstractNumId="49">
    <w:nsid w:val="1BA026FA"/>
    <w:multiLevelType w:val="hybridMultilevel"/>
    <w:lvl w:ilvl="0">
      <w:lvlJc w:val="left"/>
      <w:lvlText w:val="%1"/>
      <w:numFmt w:val="decimal"/>
      <w:start w:val="1"/>
    </w:lvl>
    <w:lvl w:ilvl="1">
      <w:lvlJc w:val="left"/>
      <w:lvlText w:val="%2."/>
      <w:numFmt w:val="lowerLetter"/>
      <w:start w:val="2"/>
    </w:lvl>
  </w:abstractNum>
  <w:abstractNum w:abstractNumId="50">
    <w:nsid w:val="79A1DEAA"/>
    <w:multiLevelType w:val="hybridMultilevel"/>
    <w:lvl w:ilvl="0">
      <w:lvlJc w:val="left"/>
      <w:lvlText w:val="%1."/>
      <w:numFmt w:val="lowerLetter"/>
      <w:start w:val="7"/>
    </w:lvl>
  </w:abstractNum>
  <w:abstractNum w:abstractNumId="51">
    <w:nsid w:val="75C6C33A"/>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33" Type="http://schemas.openxmlformats.org/officeDocument/2006/relationships/hyperlink" Target="http://www.sec.gov/Archives/edgar/data/0001811210/000110465921095842/tm2120294d5_ex3-1.htm" TargetMode="External"/><Relationship Id="rId134" Type="http://schemas.openxmlformats.org/officeDocument/2006/relationships/hyperlink" Target="http://www.sec.gov/Archives/edgar/data/0001811210/000110465921095842/tm2120294d5_ex3-2.htm" TargetMode="External"/><Relationship Id="rId135" Type="http://schemas.openxmlformats.org/officeDocument/2006/relationships/hyperlink" Target="http://www.sec.gov/Archives/edgar/data/0001811210/000110465921067006/tm219359d5_ex10-22.htm" TargetMode="External"/><Relationship Id="rId136" Type="http://schemas.openxmlformats.org/officeDocument/2006/relationships/hyperlink" Target="http://www.sec.gov/Archives/edgar/data/0001811210/000110465921095842/tm2120294d5_ex10-25.htm" TargetMode="External"/><Relationship Id="rId137" Type="http://schemas.openxmlformats.org/officeDocument/2006/relationships/hyperlink" Target="http://www.sec.gov/Archives/edgar/data/0001811210/000110465921095842/tm2120294d5_ex10-26.htm" TargetMode="External"/><Relationship Id="rId138" Type="http://schemas.openxmlformats.org/officeDocument/2006/relationships/hyperlink" Target="http://www.sec.gov/Archives/edgar/data/0001811210/000110465921095842/tm2120294d5_ex10-27.htm" TargetMode="External"/><Relationship Id="rId139" Type="http://schemas.openxmlformats.org/officeDocument/2006/relationships/hyperlink" Target="http://www.sec.gov/Archives/edgar/data/1811210/000110465921039318/tm219359-1_s4.htm#tANNH"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2021-11-16T05:31:24Z</dcterms:created>
  <dcterms:modified xsi:type="dcterms:W3CDTF">2021-11-16T05:31:24Z</dcterms:modified>
</cp:coreProperties>
</file>