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Bach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08/16/2024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SVP, Product &amp; Chief Engineer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89,959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2,028,268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the reporting person on the transaction date within a one dollar range. Actual prices ranged from $3.12 to $3.18. The reporting person undertakes to provide to the staff of the Securities and Exchange Commission, to any security holder of Lucid Group, Inc., or to Lucid Group, Inc., upon request, full information regarding the number of shares sold at each separate price.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08/16/2024</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Eric Bach</w:t>
            </w:r>
          </w:p>
        </w:tc>
        <w:tc>
          <w:tcPr>
            <w:tcW w:w="6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2817"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2024-08-16T18:58:41Z</dcterms:created>
  <dcterms:modified xsi:type="dcterms:W3CDTF">2024-08-16T18:58:41Z</dcterms:modified>
</cp:coreProperties>
</file>