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314570d1_s8.htm"/>
      <w:bookmarkStart w:id="1" w:name="kstm2314570d1_s8"/>
      <w:bookmarkEnd w:id="0"/>
      <w:bookmarkEnd w:id="1"/>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May 8, 2023</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spacing w:before="240" w:after="60"/>
        <w:rPr>
          <w:bdr w:val="single" w:sz="16" w:space="1" w:color="000000"/>
        </w:rPr>
      </w:pPr>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REGISTRATION STATEMENT UNDER</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THE SECURITIES ACT OF 1933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LUCID GROUP,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6315" w:type="dxa"/>
        <w:jc w:val="left"/>
        <w:tblInd w:w="0" w:type="dxa"/>
        <w:tblCellMar>
          <w:top w:w="0" w:type="dxa"/>
          <w:left w:w="0" w:type="dxa"/>
          <w:bottom w:w="0" w:type="dxa"/>
          <w:right w:w="0" w:type="dxa"/>
        </w:tblCellMar>
      </w:tblPr>
      <w:tblGrid>
        <w:gridCol w:w="2495"/>
        <w:gridCol w:w="2285"/>
        <w:gridCol w:w="1535"/>
      </w:tblGrid>
      <w:tr>
        <w:trPr/>
        <w:tc>
          <w:tcPr>
            <w:tcW w:w="2495" w:type="dxa"/>
            <w:tcBorders/>
            <w:shd w:fill="auto" w:val="clear"/>
            <w:vAlign w:val="center"/>
          </w:tcPr>
          <w:p>
            <w:pPr>
              <w:pStyle w:val="TableContents"/>
              <w:spacing w:before="0" w:after="283"/>
              <w:jc w:val="center"/>
              <w:rPr>
                <w:b/>
                <w:sz w:val="20"/>
              </w:rPr>
            </w:pPr>
            <w:r>
              <w:rPr>
                <w:b/>
                <w:sz w:val="20"/>
              </w:rPr>
              <w:t>Delaware</w:t>
            </w:r>
          </w:p>
        </w:tc>
        <w:tc>
          <w:tcPr>
            <w:tcW w:w="22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b/>
                <w:sz w:val="20"/>
              </w:rPr>
            </w:pPr>
            <w:r>
              <w:rPr>
                <w:b/>
                <w:sz w:val="20"/>
              </w:rPr>
              <w:t>85-0891392</w:t>
            </w:r>
          </w:p>
        </w:tc>
      </w:tr>
      <w:tr>
        <w:trPr/>
        <w:tc>
          <w:tcPr>
            <w:tcW w:w="2495" w:type="dxa"/>
            <w:tcBorders/>
            <w:shd w:fill="auto" w:val="clear"/>
            <w:vAlign w:val="center"/>
          </w:tcPr>
          <w:p>
            <w:pPr>
              <w:pStyle w:val="TableContents"/>
              <w:spacing w:before="0" w:after="283"/>
              <w:jc w:val="center"/>
              <w:rPr>
                <w:sz w:val="20"/>
              </w:rPr>
            </w:pPr>
            <w:r>
              <w:rPr>
                <w:sz w:val="20"/>
              </w:rPr>
              <w:t xml:space="preserve">(State or other jurisdiction of </w:t>
              <w:br/>
              <w:t>incorporation or organization)</w:t>
            </w:r>
          </w:p>
        </w:tc>
        <w:tc>
          <w:tcPr>
            <w:tcW w:w="2285" w:type="dxa"/>
            <w:tcBorders/>
            <w:shd w:fill="auto" w:val="clear"/>
            <w:vAlign w:val="center"/>
          </w:tcPr>
          <w:p>
            <w:pPr>
              <w:pStyle w:val="TableContents"/>
              <w:spacing w:before="0" w:after="283"/>
              <w:rPr/>
            </w:pPr>
            <w:r>
              <w:rPr/>
              <w:t> </w:t>
            </w:r>
          </w:p>
        </w:tc>
        <w:tc>
          <w:tcPr>
            <w:tcW w:w="1535" w:type="dxa"/>
            <w:tcBorders/>
            <w:shd w:fill="auto" w:val="clear"/>
            <w:vAlign w:val="center"/>
          </w:tcPr>
          <w:p>
            <w:pPr>
              <w:pStyle w:val="TableContents"/>
              <w:spacing w:before="0" w:after="283"/>
              <w:jc w:val="center"/>
              <w:rPr>
                <w:sz w:val="20"/>
              </w:rPr>
            </w:pPr>
            <w:r>
              <w:rPr>
                <w:sz w:val="20"/>
              </w:rPr>
              <w:t xml:space="preserve">(I.R.S. Employer </w:t>
              <w:br/>
              <w:t>Identification No.)</w:t>
            </w:r>
          </w:p>
        </w:tc>
      </w:tr>
      <w:tr>
        <w:trPr/>
        <w:tc>
          <w:tcPr>
            <w:tcW w:w="2495" w:type="dxa"/>
            <w:tcBorders/>
            <w:shd w:fill="auto" w:val="clear"/>
            <w:vAlign w:val="center"/>
          </w:tcPr>
          <w:p>
            <w:pPr>
              <w:pStyle w:val="TableContents"/>
              <w:spacing w:before="0" w:after="283"/>
              <w:rPr/>
            </w:pPr>
            <w:r>
              <w:rPr/>
              <w:t> </w:t>
            </w:r>
          </w:p>
        </w:tc>
        <w:tc>
          <w:tcPr>
            <w:tcW w:w="2285" w:type="dxa"/>
            <w:tcBorders/>
            <w:shd w:fill="auto" w:val="clear"/>
            <w:vAlign w:val="center"/>
          </w:tcPr>
          <w:p>
            <w:pPr>
              <w:pStyle w:val="TableContents"/>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7373 Gateway Blvd</w:t>
            </w:r>
          </w:p>
          <w:p>
            <w:pPr>
              <w:pStyle w:val="TableContents"/>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CA 94560</w:t>
            </w:r>
          </w:p>
          <w:p>
            <w:pPr>
              <w:pStyle w:val="TableContents"/>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(510) 648-3553</w:t>
            </w:r>
          </w:p>
        </w:tc>
        <w:tc>
          <w:tcPr>
            <w:tcW w:w="1535" w:type="dxa"/>
            <w:tcBorders/>
            <w:shd w:fill="auto" w:val="clear"/>
            <w:vAlign w:val="center"/>
          </w:tcPr>
          <w:p>
            <w:pPr>
              <w:pStyle w:val="TableContents"/>
              <w:spacing w:before="0" w:after="283"/>
              <w:rPr/>
            </w:pPr>
            <w:r>
              <w:rPr/>
              <w:t> </w:t>
            </w:r>
          </w:p>
        </w:tc>
      </w:tr>
      <w:tr>
        <w:trPr/>
        <w:tc>
          <w:tcPr>
            <w:tcW w:w="6315" w:type="dxa"/>
            <w:gridSpan w:val="3"/>
            <w:tcBorders/>
            <w:shd w:fill="auto" w:val="clear"/>
            <w:vAlign w:val="center"/>
          </w:tcPr>
          <w:p>
            <w:pPr>
              <w:pStyle w:val="TableContents"/>
              <w:spacing w:before="0" w:after="283"/>
              <w:jc w:val="center"/>
              <w:rPr>
                <w:sz w:val="20"/>
              </w:rPr>
            </w:pPr>
            <w:r>
              <w:rPr>
                <w:sz w:val="20"/>
              </w:rPr>
              <w:t>(Address of Principal Executive Offices, Including Zip Code)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Lucid Group, Inc. Second Amended and Restated 2021 Stock Incentive Plan (including the Lucid Group, Inc. 2021 Employee Stock Purchase Plan attached thereto)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Peter Rawlinson</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7373 Gateway Blvd.</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CA 94560</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(510) 648-3553</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including area code, of agent for service)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Emily Roberts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Davis Polk &amp; Wardwell LLP</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1600 El Camino Real</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Menlo Park, CA 94025</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(650) 752-2000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Jonathan Butler</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Counsel and Secretary</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Lucid Group, Inc.</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7373 Gateway Blvd.</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Newark, CA 94560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(510) 648-3553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caps w:val="false"/>
          <w:smallCaps w:val="false"/>
        </w:rPr>
      </w:pPr>
      <w:r>
        <w:rPr>
          <w:caps w:val="false"/>
          <w:smallCaps w:val="false"/>
        </w:rPr>
        <w:t> </w:t>
      </w:r>
    </w:p>
    <w:tbl>
      <w:tblPr>
        <w:tblW w:w="8635" w:type="dxa"/>
        <w:jc w:val="left"/>
        <w:tblInd w:w="0" w:type="dxa"/>
        <w:tblCellMar>
          <w:top w:w="0" w:type="dxa"/>
          <w:left w:w="0" w:type="dxa"/>
          <w:bottom w:w="0" w:type="dxa"/>
          <w:right w:w="0" w:type="dxa"/>
        </w:tblCellMar>
      </w:tblPr>
      <w:tblGrid>
        <w:gridCol w:w="6020"/>
        <w:gridCol w:w="2615"/>
      </w:tblGrid>
      <w:tr>
        <w:trPr/>
        <w:tc>
          <w:tcPr>
            <w:tcW w:w="6020" w:type="dxa"/>
            <w:tcBorders/>
            <w:shd w:fill="auto" w:val="clear"/>
            <w:vAlign w:val="center"/>
          </w:tcPr>
          <w:p>
            <w:pPr>
              <w:pStyle w:val="TableContents"/>
              <w:spacing w:before="0" w:after="283"/>
              <w:rPr>
                <w:b/>
                <w:sz w:val="20"/>
              </w:rPr>
            </w:pPr>
            <w:r>
              <w:rPr>
                <w:b/>
                <w:sz w:val="20"/>
              </w:rPr>
              <w:t>Large accelerated filer ☒</w:t>
            </w:r>
          </w:p>
        </w:tc>
        <w:tc>
          <w:tcPr>
            <w:tcW w:w="2615" w:type="dxa"/>
            <w:tcBorders/>
            <w:shd w:fill="auto" w:val="clear"/>
            <w:vAlign w:val="center"/>
          </w:tcPr>
          <w:p>
            <w:pPr>
              <w:pStyle w:val="TableContents"/>
              <w:spacing w:before="0" w:after="283"/>
              <w:rPr>
                <w:b/>
                <w:sz w:val="20"/>
              </w:rPr>
            </w:pPr>
            <w:r>
              <w:rPr>
                <w:b/>
                <w:sz w:val="20"/>
              </w:rPr>
              <w:t>Accelerated filer ☐</w:t>
            </w:r>
          </w:p>
        </w:tc>
      </w:tr>
      <w:tr>
        <w:trPr/>
        <w:tc>
          <w:tcPr>
            <w:tcW w:w="602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 </w:t>
            </w:r>
          </w:p>
        </w:tc>
      </w:tr>
      <w:tr>
        <w:trPr/>
        <w:tc>
          <w:tcPr>
            <w:tcW w:w="6020" w:type="dxa"/>
            <w:tcBorders/>
            <w:shd w:fill="auto" w:val="clear"/>
            <w:vAlign w:val="center"/>
          </w:tcPr>
          <w:p>
            <w:pPr>
              <w:pStyle w:val="TableContents"/>
              <w:spacing w:before="0" w:after="283"/>
              <w:rPr>
                <w:b/>
                <w:sz w:val="20"/>
              </w:rPr>
            </w:pPr>
            <w:r>
              <w:rPr>
                <w:b/>
                <w:sz w:val="20"/>
              </w:rPr>
              <w:t xml:space="preserve">Non-accelerated filer ☐ (Do not check if a smaller reporting company) </w:t>
            </w:r>
          </w:p>
        </w:tc>
        <w:tc>
          <w:tcPr>
            <w:tcW w:w="2615" w:type="dxa"/>
            <w:tcBorders/>
            <w:shd w:fill="auto" w:val="clear"/>
            <w:vAlign w:val="center"/>
          </w:tcPr>
          <w:p>
            <w:pPr>
              <w:pStyle w:val="TableContents"/>
              <w:spacing w:before="0" w:after="283"/>
              <w:rPr>
                <w:b/>
                <w:sz w:val="20"/>
              </w:rPr>
            </w:pPr>
            <w:r>
              <w:rPr>
                <w:b/>
                <w:sz w:val="20"/>
              </w:rPr>
              <w:t>Smaller reporting company ☐</w:t>
            </w:r>
          </w:p>
        </w:tc>
      </w:tr>
      <w:tr>
        <w:trPr/>
        <w:tc>
          <w:tcPr>
            <w:tcW w:w="602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pPr>
            <w:r>
              <w:rPr/>
              <w:t> </w:t>
            </w:r>
          </w:p>
        </w:tc>
      </w:tr>
      <w:tr>
        <w:trPr/>
        <w:tc>
          <w:tcPr>
            <w:tcW w:w="602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rPr>
                <w:b/>
                <w:sz w:val="20"/>
              </w:rPr>
            </w:pPr>
            <w:r>
              <w:rPr>
                <w:b/>
                <w:sz w:val="20"/>
              </w:rPr>
              <w:t>Emerging growth company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pacing w:before="0" w:after="0"/>
        <w:ind w:left="0" w:right="0" w:hanging="0"/>
        <w:rPr>
          <w:caps w:val="false"/>
          <w:smallCaps w:val="false"/>
        </w:rPr>
      </w:pPr>
      <w:r>
        <w:rPr>
          <w:caps w:val="false"/>
          <w:smallCaps w:val="false"/>
        </w:rPr>
        <w:t> </w:t>
      </w:r>
    </w:p>
    <w:p>
      <w:pPr>
        <w:pStyle w:val="TextBody"/>
        <w:spacing w:before="60" w:after="24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Lucid Group, Inc. (the “</w:t>
      </w:r>
      <w:r>
        <w:rPr>
          <w:rFonts w:ascii="Times New Roman;Times;Serif" w:hAnsi="Times New Roman;Times;Serif"/>
          <w:b w:val="false"/>
          <w:i w:val="false"/>
          <w:caps w:val="false"/>
          <w:smallCaps w:val="false"/>
          <w:sz w:val="20"/>
          <w:highlight w:val="white"/>
          <w:u w:val="single"/>
        </w:rPr>
        <w:t>Registrant</w:t>
      </w:r>
      <w:r>
        <w:rPr>
          <w:rFonts w:ascii="Times New Roman;Times;Serif" w:hAnsi="Times New Roman;Times;Serif"/>
          <w:b w:val="false"/>
          <w:i w:val="false"/>
          <w:caps w:val="false"/>
          <w:smallCaps w:val="false"/>
          <w:sz w:val="20"/>
          <w:highlight w:val="white"/>
        </w:rPr>
        <w:t>”) is filing this Registration Statement with the Securities and Exchange Commission (the “</w:t>
      </w:r>
      <w:r>
        <w:rPr>
          <w:rFonts w:ascii="Times New Roman;Times;Serif" w:hAnsi="Times New Roman;Times;Serif"/>
          <w:b w:val="false"/>
          <w:i w:val="false"/>
          <w:caps w:val="false"/>
          <w:smallCaps w:val="false"/>
          <w:sz w:val="20"/>
          <w:highlight w:val="white"/>
          <w:u w:val="single"/>
        </w:rPr>
        <w:t>Commission</w:t>
      </w:r>
      <w:r>
        <w:rPr>
          <w:rFonts w:ascii="Times New Roman;Times;Serif" w:hAnsi="Times New Roman;Times;Serif"/>
          <w:b w:val="false"/>
          <w:i w:val="false"/>
          <w:caps w:val="false"/>
          <w:smallCaps w:val="false"/>
          <w:sz w:val="20"/>
          <w:highlight w:val="white"/>
        </w:rPr>
        <w:t>”) to register (i) an additional 39,166,575 shares of common stock, $0.0001 par value per share (the “</w:t>
      </w:r>
      <w:r>
        <w:rPr>
          <w:rFonts w:ascii="Times New Roman;Times;Serif" w:hAnsi="Times New Roman;Times;Serif"/>
          <w:b w:val="false"/>
          <w:i w:val="false"/>
          <w:caps w:val="false"/>
          <w:smallCaps w:val="false"/>
          <w:sz w:val="20"/>
          <w:highlight w:val="white"/>
          <w:u w:val="single"/>
        </w:rPr>
        <w:t>Common Stock</w:t>
      </w:r>
      <w:r>
        <w:rPr>
          <w:rFonts w:ascii="Times New Roman;Times;Serif" w:hAnsi="Times New Roman;Times;Serif"/>
          <w:b w:val="false"/>
          <w:i w:val="false"/>
          <w:caps w:val="false"/>
          <w:smallCaps w:val="false"/>
          <w:sz w:val="20"/>
          <w:highlight w:val="white"/>
        </w:rPr>
        <w:t>”), issuable to eligible persons under the Lucid Group, Inc. Second Amended and Restated 2021 Stock Incentive Plan (the “</w:t>
      </w:r>
      <w:r>
        <w:rPr>
          <w:rFonts w:ascii="Times New Roman;Times;Serif" w:hAnsi="Times New Roman;Times;Serif"/>
          <w:b w:val="false"/>
          <w:i w:val="false"/>
          <w:caps w:val="false"/>
          <w:smallCaps w:val="false"/>
          <w:sz w:val="20"/>
          <w:highlight w:val="white"/>
          <w:u w:val="single"/>
        </w:rPr>
        <w:t>Incentive Plan</w:t>
      </w:r>
      <w:r>
        <w:rPr>
          <w:rFonts w:ascii="Times New Roman;Times;Serif" w:hAnsi="Times New Roman;Times;Serif"/>
          <w:b w:val="false"/>
          <w:i w:val="false"/>
          <w:caps w:val="false"/>
          <w:smallCaps w:val="false"/>
          <w:sz w:val="20"/>
          <w:highlight w:val="white"/>
        </w:rPr>
        <w:t>”) and (ii) an additional 3,215,226 shares of Common Stock issuable to eligible persons under the Incentive Plan by reason of the recycling provisions of Section 5 of the Incentive Plan.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pPr>
      <w:r>
        <w:rPr>
          <w:rFonts w:ascii="Times New Roman;Times;Serif" w:hAnsi="Times New Roman;Times;Serif"/>
          <w:b w:val="false"/>
          <w:i w:val="false"/>
          <w:caps w:val="false"/>
          <w:smallCaps w:val="false"/>
          <w:sz w:val="20"/>
          <w:highlight w:val="white"/>
        </w:rPr>
        <w:t>The</w:t>
      </w:r>
      <w:r>
        <w:rPr>
          <w:rFonts w:ascii="Times New Roman;Times;Serif" w:hAnsi="Times New Roman;Times;Serif"/>
          <w:b w:val="false"/>
          <w:i w:val="false"/>
          <w:caps w:val="false"/>
          <w:smallCaps w:val="false"/>
          <w:sz w:val="20"/>
        </w:rPr>
        <w:t xml:space="preserve"> Registrant previously filed with the Commission a registration statement on </w:t>
      </w:r>
      <w:hyperlink r:id="rId2">
        <w:r>
          <w:rPr>
            <w:rStyle w:val="InternetLink"/>
            <w:rFonts w:ascii="Times New Roman;Times;Serif" w:hAnsi="Times New Roman;Times;Serif"/>
            <w:b w:val="false"/>
            <w:i w:val="false"/>
            <w:caps w:val="false"/>
            <w:smallCaps w:val="false"/>
            <w:sz w:val="20"/>
          </w:rPr>
          <w:t>Form S-8 on September 24, 2021 (File No. 333-259794)</w:t>
        </w:r>
      </w:hyperlink>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Prior Registration Statement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highlight w:val="white"/>
        </w:rPr>
        <w:t>This Registration Statement relates to securities of the same class as those to which the Prior Registration Statement relates. Pursuant to General Instruction E of Form S-8, the contents of the Prior Registration Statement are incorporated herein by reference, including all attachments and exhibits thereto, except to the extent supplemented, amended or superseded by the information set forth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are incorporated herein by reference: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pPr>
      <w:r>
        <w:rPr>
          <w:rFonts w:ascii="Times New Roman;Times;Serif" w:hAnsi="Times New Roman;Times;Serif"/>
          <w:b w:val="false"/>
          <w:i w:val="false"/>
          <w:caps w:val="false"/>
          <w:smallCaps w:val="false"/>
          <w:sz w:val="20"/>
        </w:rPr>
        <w:t>(a) </w:t>
      </w:r>
      <w:hyperlink r:id="rId3">
        <w:r>
          <w:rPr>
            <w:rStyle w:val="InternetLink"/>
            <w:rFonts w:ascii="Times New Roman;Times;Serif" w:hAnsi="Times New Roman;Times;Serif"/>
            <w:b w:val="false"/>
            <w:i w:val="false"/>
            <w:caps w:val="false"/>
            <w:smallCaps w:val="false"/>
            <w:sz w:val="20"/>
          </w:rPr>
          <w:t>The Registrant’s Annual Report on Form 10-K for the year ended December 31, 2022, as filed with the Commission on February 28, 2023 (the “</w:t>
        </w:r>
      </w:hyperlink>
      <w:hyperlink r:id="rId4">
        <w:r>
          <w:rPr>
            <w:rStyle w:val="InternetLink"/>
            <w:rFonts w:ascii="Times New Roman;Times;Serif" w:hAnsi="Times New Roman;Times;Serif"/>
            <w:b w:val="false"/>
            <w:i w:val="false"/>
            <w:caps w:val="false"/>
            <w:smallCaps w:val="false"/>
            <w:sz w:val="20"/>
            <w:u w:val="single"/>
          </w:rPr>
          <w:t>Annual Report</w:t>
        </w:r>
      </w:hyperlink>
      <w:hyperlink r:id="rId5">
        <w:r>
          <w:rPr>
            <w:rStyle w:val="InternetLink"/>
            <w:rFonts w:ascii="Times New Roman;Times;Serif" w:hAnsi="Times New Roman;Times;Serif"/>
            <w:b w:val="false"/>
            <w:i w:val="false"/>
            <w:caps w:val="false"/>
            <w:smallCaps w:val="false"/>
            <w:sz w:val="20"/>
          </w:rPr>
          <w:t>”);</w:t>
        </w:r>
      </w:hyperlink>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pPr>
      <w:r>
        <w:rPr>
          <w:rFonts w:ascii="Times New Roman;Times;Serif" w:hAnsi="Times New Roman;Times;Serif"/>
          <w:b w:val="false"/>
          <w:i w:val="false"/>
          <w:caps w:val="false"/>
          <w:smallCaps w:val="false"/>
          <w:sz w:val="20"/>
        </w:rPr>
        <w:t>(b) </w:t>
      </w:r>
      <w:hyperlink r:id="rId6">
        <w:r>
          <w:rPr>
            <w:rStyle w:val="InternetLink"/>
            <w:rFonts w:ascii="Times New Roman;Times;Serif" w:hAnsi="Times New Roman;Times;Serif"/>
            <w:b w:val="false"/>
            <w:i w:val="false"/>
            <w:caps w:val="false"/>
            <w:smallCaps w:val="false"/>
            <w:sz w:val="20"/>
          </w:rPr>
          <w:t>The portions of the Registrant’s Definitive Proxy Statement on Schedule 14A, as filed with the Commission on March 13, 2023, that are incorporated by reference into the Annual Report</w:t>
        </w:r>
      </w:hyperlink>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pPr>
      <w:r>
        <w:rPr>
          <w:rFonts w:ascii="Times New Roman;Times;Serif" w:hAnsi="Times New Roman;Times;Serif"/>
          <w:b w:val="false"/>
          <w:i w:val="false"/>
          <w:caps w:val="false"/>
          <w:smallCaps w:val="false"/>
          <w:sz w:val="20"/>
        </w:rPr>
        <w:t>(c) </w:t>
      </w:r>
      <w:hyperlink r:id="rId7">
        <w:r>
          <w:rPr>
            <w:rStyle w:val="InternetLink"/>
            <w:rFonts w:ascii="Times New Roman;Times;Serif" w:hAnsi="Times New Roman;Times;Serif"/>
            <w:b w:val="false"/>
            <w:i w:val="false"/>
            <w:caps w:val="false"/>
            <w:smallCaps w:val="false"/>
            <w:sz w:val="20"/>
          </w:rPr>
          <w:t>The Registrant’s Quarterly Report on Form 10-Q for the quarter ended March 31, 2023, as filed with the Commission on May 8, 2023</w:t>
        </w:r>
      </w:hyperlink>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pPr>
      <w:r>
        <w:rPr>
          <w:rFonts w:ascii="Times New Roman;Times;Serif" w:hAnsi="Times New Roman;Times;Serif"/>
          <w:b w:val="false"/>
          <w:i w:val="false"/>
          <w:caps w:val="false"/>
          <w:smallCaps w:val="false"/>
          <w:sz w:val="20"/>
        </w:rPr>
        <w:t xml:space="preserve">(d) The Registrant’s Current Reports on Form 8-K, as filed with the Commission on </w:t>
      </w:r>
      <w:hyperlink r:id="rId8">
        <w:r>
          <w:rPr>
            <w:rStyle w:val="InternetLink"/>
            <w:rFonts w:ascii="Times New Roman;Times;Serif" w:hAnsi="Times New Roman;Times;Serif"/>
            <w:b w:val="false"/>
            <w:i w:val="false"/>
            <w:caps w:val="false"/>
            <w:smallCaps w:val="false"/>
            <w:sz w:val="20"/>
          </w:rPr>
          <w:t>January 27, 2023</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February 1, 2023</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February 6, 2023</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February 22, 2023</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March 3, 2023</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March 28, 2023</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April 25, 2023</w:t>
        </w:r>
      </w:hyperlink>
      <w:r>
        <w:rPr>
          <w:rFonts w:ascii="Times New Roman;Times;Serif" w:hAnsi="Times New Roman;Times;Serif"/>
          <w:b w:val="false"/>
          <w:i w:val="false"/>
          <w:caps w:val="false"/>
          <w:smallCaps w:val="false"/>
          <w:sz w:val="20"/>
        </w:rPr>
        <w:t xml:space="preserve"> and </w:t>
      </w:r>
      <w:hyperlink r:id="rId15">
        <w:r>
          <w:rPr>
            <w:rStyle w:val="InternetLink"/>
            <w:rFonts w:ascii="Times New Roman;Times;Serif" w:hAnsi="Times New Roman;Times;Serif"/>
            <w:b w:val="false"/>
            <w:i w:val="false"/>
            <w:caps w:val="false"/>
            <w:smallCaps w:val="false"/>
            <w:sz w:val="20"/>
            <w:highlight w:val="white"/>
          </w:rPr>
          <w:t>May 2, 2023</w:t>
        </w:r>
      </w:hyperlink>
      <w:r>
        <w:rPr>
          <w:rFonts w:ascii="Times New Roman;Times;Serif" w:hAnsi="Times New Roman;Times;Serif"/>
          <w:b w:val="false"/>
          <w:i w:val="false"/>
          <w:caps w:val="false"/>
          <w:smallCaps w:val="false"/>
          <w:sz w:val="20"/>
          <w:highlight w:val="white"/>
        </w:rPr>
        <w:t xml:space="preserve"> (except for any portions of such Current Reports on Form 8-K furnished pursuant to Item 2.02 and/or Item 7.01 thereof and any corresponding exhibits thereto not filed with the Commission); and</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pPr>
      <w:r>
        <w:rPr>
          <w:rFonts w:ascii="Times New Roman;Times;Serif" w:hAnsi="Times New Roman;Times;Serif"/>
          <w:b w:val="false"/>
          <w:i w:val="false"/>
          <w:caps w:val="false"/>
          <w:smallCaps w:val="false"/>
          <w:sz w:val="20"/>
        </w:rPr>
        <w:t xml:space="preserve">(e) The description of the Registrant’s capital stock which is contained in </w:t>
      </w:r>
      <w:hyperlink r:id="rId16">
        <w:r>
          <w:rPr>
            <w:rStyle w:val="InternetLink"/>
            <w:rFonts w:ascii="Times New Roman;Times;Serif" w:hAnsi="Times New Roman;Times;Serif"/>
            <w:b w:val="false"/>
            <w:i w:val="false"/>
            <w:caps w:val="false"/>
            <w:smallCaps w:val="false"/>
            <w:sz w:val="20"/>
          </w:rPr>
          <w:t>Exhibit 4.6</w:t>
        </w:r>
      </w:hyperlink>
      <w:r>
        <w:rPr>
          <w:rFonts w:ascii="Times New Roman;Times;Serif" w:hAnsi="Times New Roman;Times;Serif"/>
          <w:b w:val="false"/>
          <w:i w:val="false"/>
          <w:caps w:val="false"/>
          <w:smallCaps w:val="false"/>
          <w:sz w:val="20"/>
        </w:rPr>
        <w:t xml:space="preserve"> of the Annual Report, including any amendment or report filed for the purpose of updating such description.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filed by the Registrant pursuant to Sections 13(a), 13(c), 14 or 15(d)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after the date of this Registration Statement and prior to the filing of a post-effective amendment that indicates that all securities offered hereby have been sold or which deregisters all securities then remaining unsold, are incorporated by reference in this Registration Statement and are a part hereof from the date of filing of such documents; except as to any portion of any future annual or quarterly report to stockholders or document or current report furnished under current Items 2.02 or 7.01 of Form 8-K that is not deemed filed under such provisions.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shd w:fill="auto" w:val="clear"/>
            <w:vAlign w:val="center"/>
          </w:tcPr>
          <w:p>
            <w:pPr>
              <w:pStyle w:val="TableContents"/>
              <w:spacing w:before="0" w:after="283"/>
              <w:jc w:val="center"/>
              <w:rPr>
                <w:b/>
              </w:rPr>
            </w:pPr>
            <w:r>
              <w:rPr>
                <w:b/>
              </w:rPr>
              <w:t>Exhibit </w:t>
              <w:br/>
              <w:t>Number</w:t>
            </w:r>
          </w:p>
        </w:tc>
        <w:tc>
          <w:tcPr>
            <w:tcW w:w="60" w:type="dxa"/>
            <w:tcBorders/>
            <w:shd w:fill="auto" w:val="clear"/>
            <w:tcMar>
              <w:bottom w:w="0" w:type="dxa"/>
            </w:tcMar>
            <w:vAlign w:val="center"/>
          </w:tcPr>
          <w:p>
            <w:pPr>
              <w:pStyle w:val="TableContents"/>
              <w:spacing w:before="0" w:after="283"/>
              <w:jc w:val="center"/>
              <w:rPr/>
            </w:pPr>
            <w:r>
              <w:rPr/>
              <w:t> </w:t>
            </w:r>
          </w:p>
        </w:tc>
        <w:tc>
          <w:tcPr>
            <w:tcW w:w="9255" w:type="dxa"/>
            <w:tcBorders>
              <w:bottom w:val="single" w:sz="8" w:space="0" w:color="000000"/>
            </w:tcBorders>
            <w:shd w:fill="auto" w:val="clear"/>
            <w:vAlign w:val="center"/>
          </w:tcPr>
          <w:p>
            <w:pPr>
              <w:pStyle w:val="TableContents"/>
              <w:spacing w:before="0" w:after="283"/>
              <w:jc w:val="center"/>
              <w:rPr>
                <w:b/>
              </w:rPr>
            </w:pPr>
            <w:r>
              <w:rPr>
                <w:b/>
              </w:rPr>
              <w:t>Description</w:t>
            </w:r>
          </w:p>
        </w:tc>
      </w:tr>
      <w:tr>
        <w:trPr/>
        <w:tc>
          <w:tcPr>
            <w:tcW w:w="890" w:type="dxa"/>
            <w:tcBorders/>
            <w:shd w:fill="auto" w:val="clear"/>
            <w:tcMar>
              <w:bottom w:w="0" w:type="dxa"/>
            </w:tcMar>
            <w:vAlign w:val="center"/>
          </w:tcPr>
          <w:p>
            <w:pPr>
              <w:pStyle w:val="TableContents"/>
              <w:spacing w:before="0" w:after="283"/>
              <w:rPr/>
            </w:pPr>
            <w:hyperlink w:anchor="tm2314570d1_ex5-1.htm">
              <w:r>
                <w:rPr>
                  <w:rStyle w:val="InternetLink"/>
                </w:rPr>
                <w:t>5.1</w:t>
              </w:r>
            </w:hyperlink>
          </w:p>
        </w:tc>
        <w:tc>
          <w:tcPr>
            <w:tcW w:w="60" w:type="dxa"/>
            <w:tcBorders/>
            <w:shd w:fill="auto" w:val="clear"/>
            <w:tcMar>
              <w:bottom w:w="0" w:type="dxa"/>
            </w:tcMar>
            <w:vAlign w:val="center"/>
          </w:tcPr>
          <w:p>
            <w:pPr>
              <w:pStyle w:val="TableContents"/>
              <w:spacing w:before="0" w:after="283"/>
              <w:rPr/>
            </w:pPr>
            <w:r>
              <w:rPr/>
              <w:t> </w:t>
            </w:r>
          </w:p>
        </w:tc>
        <w:tc>
          <w:tcPr>
            <w:tcW w:w="9255" w:type="dxa"/>
            <w:tcBorders/>
            <w:shd w:fill="auto" w:val="clear"/>
            <w:tcMar>
              <w:bottom w:w="0" w:type="dxa"/>
            </w:tcMar>
            <w:vAlign w:val="center"/>
          </w:tcPr>
          <w:p>
            <w:pPr>
              <w:pStyle w:val="TableContents"/>
              <w:spacing w:before="0" w:after="283"/>
              <w:rPr/>
            </w:pPr>
            <w:hyperlink w:anchor="tm2314570d1_ex5-1.htm">
              <w:r>
                <w:rPr>
                  <w:rStyle w:val="InternetLink"/>
                </w:rPr>
                <w:t>Opinion of Davis Polk &amp; Wardwell LLP (filed herewith)</w:t>
              </w:r>
            </w:hyperlink>
          </w:p>
        </w:tc>
      </w:tr>
      <w:tr>
        <w:trPr/>
        <w:tc>
          <w:tcPr>
            <w:tcW w:w="890" w:type="dxa"/>
            <w:tcBorders/>
            <w:shd w:fill="auto" w:val="clear"/>
            <w:tcMar>
              <w:bottom w:w="0" w:type="dxa"/>
            </w:tcMar>
            <w:vAlign w:val="center"/>
          </w:tcPr>
          <w:p>
            <w:pPr>
              <w:pStyle w:val="TableContents"/>
              <w:spacing w:before="0" w:after="283"/>
              <w:rPr/>
            </w:pPr>
            <w:hyperlink w:anchor="tm2314570d1_ex23-1.htm">
              <w:r>
                <w:rPr>
                  <w:rStyle w:val="InternetLink"/>
                </w:rPr>
                <w:t>23.1</w:t>
              </w:r>
            </w:hyperlink>
          </w:p>
        </w:tc>
        <w:tc>
          <w:tcPr>
            <w:tcW w:w="60" w:type="dxa"/>
            <w:tcBorders/>
            <w:shd w:fill="auto" w:val="clear"/>
            <w:tcMar>
              <w:bottom w:w="0" w:type="dxa"/>
            </w:tcMar>
            <w:vAlign w:val="center"/>
          </w:tcPr>
          <w:p>
            <w:pPr>
              <w:pStyle w:val="TableContents"/>
              <w:spacing w:before="0" w:after="283"/>
              <w:rPr/>
            </w:pPr>
            <w:r>
              <w:rPr/>
              <w:t> </w:t>
            </w:r>
          </w:p>
        </w:tc>
        <w:tc>
          <w:tcPr>
            <w:tcW w:w="9255" w:type="dxa"/>
            <w:tcBorders/>
            <w:shd w:fill="auto" w:val="clear"/>
            <w:tcMar>
              <w:bottom w:w="0" w:type="dxa"/>
            </w:tcMar>
            <w:vAlign w:val="center"/>
          </w:tcPr>
          <w:p>
            <w:pPr>
              <w:pStyle w:val="TableContents"/>
              <w:spacing w:before="0" w:after="283"/>
              <w:rPr/>
            </w:pPr>
            <w:hyperlink w:anchor="tm2314570d1_ex23-1.htm">
              <w:r>
                <w:rPr>
                  <w:rStyle w:val="InternetLink"/>
                </w:rPr>
                <w:t xml:space="preserve">Consent of Grant Thornton LLP (filed herewith) </w:t>
              </w:r>
            </w:hyperlink>
          </w:p>
        </w:tc>
      </w:tr>
      <w:tr>
        <w:trPr/>
        <w:tc>
          <w:tcPr>
            <w:tcW w:w="890" w:type="dxa"/>
            <w:tcBorders/>
            <w:shd w:fill="auto" w:val="clear"/>
            <w:tcMar>
              <w:bottom w:w="0" w:type="dxa"/>
            </w:tcMar>
            <w:vAlign w:val="center"/>
          </w:tcPr>
          <w:p>
            <w:pPr>
              <w:pStyle w:val="TableContents"/>
              <w:spacing w:before="0" w:after="283"/>
              <w:rPr/>
            </w:pPr>
            <w:hyperlink w:anchor="tm2314570d1_ex5-1.htm">
              <w:r>
                <w:rPr>
                  <w:rStyle w:val="InternetLink"/>
                </w:rPr>
                <w:t>23.2</w:t>
              </w:r>
            </w:hyperlink>
          </w:p>
        </w:tc>
        <w:tc>
          <w:tcPr>
            <w:tcW w:w="60" w:type="dxa"/>
            <w:tcBorders/>
            <w:shd w:fill="auto" w:val="clear"/>
            <w:tcMar>
              <w:bottom w:w="0" w:type="dxa"/>
            </w:tcMar>
            <w:vAlign w:val="center"/>
          </w:tcPr>
          <w:p>
            <w:pPr>
              <w:pStyle w:val="TableContents"/>
              <w:spacing w:before="0" w:after="283"/>
              <w:rPr/>
            </w:pPr>
            <w:r>
              <w:rPr/>
              <w:t> </w:t>
            </w:r>
          </w:p>
        </w:tc>
        <w:tc>
          <w:tcPr>
            <w:tcW w:w="9255" w:type="dxa"/>
            <w:tcBorders/>
            <w:shd w:fill="auto" w:val="clear"/>
            <w:tcMar>
              <w:bottom w:w="0" w:type="dxa"/>
            </w:tcMar>
            <w:vAlign w:val="center"/>
          </w:tcPr>
          <w:p>
            <w:pPr>
              <w:pStyle w:val="TableContents"/>
              <w:spacing w:before="0" w:after="283"/>
              <w:rPr/>
            </w:pPr>
            <w:hyperlink w:anchor="tm2314570d1_ex5-1.htm">
              <w:r>
                <w:rPr>
                  <w:rStyle w:val="InternetLink"/>
                </w:rPr>
                <w:t>Consent of Davis Polk &amp; Wardwell LLP (included in Exhibit 5.1)</w:t>
              </w:r>
            </w:hyperlink>
          </w:p>
        </w:tc>
      </w:tr>
      <w:tr>
        <w:trPr/>
        <w:tc>
          <w:tcPr>
            <w:tcW w:w="890" w:type="dxa"/>
            <w:tcBorders/>
            <w:shd w:fill="auto" w:val="clear"/>
            <w:tcMar>
              <w:bottom w:w="0" w:type="dxa"/>
            </w:tcMar>
            <w:vAlign w:val="center"/>
          </w:tcPr>
          <w:p>
            <w:pPr>
              <w:pStyle w:val="TableContents"/>
              <w:spacing w:before="0" w:after="283"/>
              <w:rPr/>
            </w:pPr>
            <w:hyperlink w:anchor="a_001">
              <w:r>
                <w:rPr>
                  <w:rStyle w:val="InternetLink"/>
                </w:rPr>
                <w:t>24.1</w:t>
              </w:r>
            </w:hyperlink>
          </w:p>
        </w:tc>
        <w:tc>
          <w:tcPr>
            <w:tcW w:w="60" w:type="dxa"/>
            <w:tcBorders/>
            <w:shd w:fill="auto" w:val="clear"/>
            <w:tcMar>
              <w:bottom w:w="0" w:type="dxa"/>
            </w:tcMar>
            <w:vAlign w:val="center"/>
          </w:tcPr>
          <w:p>
            <w:pPr>
              <w:pStyle w:val="TableContents"/>
              <w:spacing w:before="0" w:after="283"/>
              <w:rPr/>
            </w:pPr>
            <w:r>
              <w:rPr/>
              <w:t> </w:t>
            </w:r>
          </w:p>
        </w:tc>
        <w:tc>
          <w:tcPr>
            <w:tcW w:w="9255" w:type="dxa"/>
            <w:tcBorders/>
            <w:shd w:fill="auto" w:val="clear"/>
            <w:tcMar>
              <w:bottom w:w="0" w:type="dxa"/>
            </w:tcMar>
            <w:vAlign w:val="center"/>
          </w:tcPr>
          <w:p>
            <w:pPr>
              <w:pStyle w:val="TableContents"/>
              <w:spacing w:before="0" w:after="283"/>
              <w:rPr/>
            </w:pPr>
            <w:hyperlink w:anchor="a_001">
              <w:r>
                <w:rPr>
                  <w:rStyle w:val="InternetLink"/>
                </w:rPr>
                <w:t>Power of Attorney (included in signature page hereof)</w:t>
              </w:r>
            </w:hyperlink>
          </w:p>
        </w:tc>
      </w:tr>
      <w:tr>
        <w:trPr/>
        <w:tc>
          <w:tcPr>
            <w:tcW w:w="890" w:type="dxa"/>
            <w:tcBorders/>
            <w:shd w:fill="auto" w:val="clear"/>
            <w:tcMar>
              <w:bottom w:w="0" w:type="dxa"/>
            </w:tcMar>
            <w:vAlign w:val="center"/>
          </w:tcPr>
          <w:p>
            <w:pPr>
              <w:pStyle w:val="TableContents"/>
              <w:spacing w:before="0" w:after="283"/>
              <w:rPr/>
            </w:pPr>
            <w:hyperlink r:id="rId17">
              <w:r>
                <w:rPr>
                  <w:rStyle w:val="InternetLink"/>
                </w:rPr>
                <w:t>99.1</w:t>
              </w:r>
            </w:hyperlink>
          </w:p>
        </w:tc>
        <w:tc>
          <w:tcPr>
            <w:tcW w:w="60" w:type="dxa"/>
            <w:tcBorders/>
            <w:shd w:fill="auto" w:val="clear"/>
            <w:tcMar>
              <w:bottom w:w="0" w:type="dxa"/>
            </w:tcMar>
            <w:vAlign w:val="center"/>
          </w:tcPr>
          <w:p>
            <w:pPr>
              <w:pStyle w:val="TableContents"/>
              <w:spacing w:before="0" w:after="283"/>
              <w:rPr/>
            </w:pPr>
            <w:r>
              <w:rPr/>
              <w:t> </w:t>
            </w:r>
          </w:p>
        </w:tc>
        <w:tc>
          <w:tcPr>
            <w:tcW w:w="9255" w:type="dxa"/>
            <w:tcBorders/>
            <w:shd w:fill="auto" w:val="clear"/>
            <w:tcMar>
              <w:bottom w:w="0" w:type="dxa"/>
            </w:tcMar>
            <w:vAlign w:val="center"/>
          </w:tcPr>
          <w:p>
            <w:pPr>
              <w:pStyle w:val="TableContents"/>
              <w:spacing w:before="0" w:after="283"/>
              <w:rPr/>
            </w:pPr>
            <w:hyperlink r:id="rId18">
              <w:r>
                <w:rPr>
                  <w:rStyle w:val="InternetLink"/>
                </w:rPr>
                <w:t>Lucid Group, Inc. Second Amended and Restated 2021 Stock Incentive Plan (including the Lucid Group, Inc. 2021 Employee Stock Purchase Plan, attached thereto) (incorporated by reference to Exhibit 10.1 to the Current Report on Form 8-K filed by Lucid Group, Inc. on April 25, 2023)       </w:t>
              </w:r>
            </w:hyperlink>
          </w:p>
        </w:tc>
      </w:tr>
      <w:tr>
        <w:trPr/>
        <w:tc>
          <w:tcPr>
            <w:tcW w:w="890" w:type="dxa"/>
            <w:tcBorders/>
            <w:shd w:fill="auto" w:val="clear"/>
            <w:tcMar>
              <w:bottom w:w="0" w:type="dxa"/>
            </w:tcMar>
            <w:vAlign w:val="center"/>
          </w:tcPr>
          <w:p>
            <w:pPr>
              <w:pStyle w:val="TableContents"/>
              <w:spacing w:before="0" w:after="283"/>
              <w:rPr/>
            </w:pPr>
            <w:hyperlink w:anchor="tm2314570d1_ex-filingfees.htm">
              <w:r>
                <w:rPr>
                  <w:rStyle w:val="InternetLink"/>
                </w:rPr>
                <w:t>107</w:t>
              </w:r>
            </w:hyperlink>
          </w:p>
        </w:tc>
        <w:tc>
          <w:tcPr>
            <w:tcW w:w="60" w:type="dxa"/>
            <w:tcBorders/>
            <w:shd w:fill="auto" w:val="clear"/>
            <w:tcMar>
              <w:bottom w:w="0" w:type="dxa"/>
            </w:tcMar>
            <w:vAlign w:val="center"/>
          </w:tcPr>
          <w:p>
            <w:pPr>
              <w:pStyle w:val="TableContents"/>
              <w:spacing w:before="0" w:after="283"/>
              <w:rPr/>
            </w:pPr>
            <w:r>
              <w:rPr/>
              <w:t> </w:t>
            </w:r>
          </w:p>
        </w:tc>
        <w:tc>
          <w:tcPr>
            <w:tcW w:w="9255" w:type="dxa"/>
            <w:tcBorders/>
            <w:shd w:fill="auto" w:val="clear"/>
            <w:tcMar>
              <w:bottom w:w="0" w:type="dxa"/>
            </w:tcMar>
            <w:vAlign w:val="center"/>
          </w:tcPr>
          <w:p>
            <w:pPr>
              <w:pStyle w:val="TableContents"/>
              <w:spacing w:before="0" w:after="283"/>
              <w:rPr/>
            </w:pPr>
            <w:hyperlink w:anchor="tm2314570d1_ex-filingfees.htm">
              <w:r>
                <w:rPr>
                  <w:rStyle w:val="InternetLink"/>
                </w:rPr>
                <w:t>Filing Fee Table</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Newark, State of California on the 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May 2023</w:t>
      </w:r>
      <w:r>
        <w:rPr>
          <w:rFonts w:ascii="Times New Roman;Times;Serif" w:hAnsi="Times New Roman;Times;Serif"/>
          <w:b/>
          <w:i w:val="false"/>
          <w:caps w:val="false"/>
          <w:smallCaps w:val="false"/>
          <w:sz w:val="20"/>
        </w:rPr>
        <w:t>.</w:t>
      </w:r>
    </w:p>
    <w:p>
      <w:pPr>
        <w:pStyle w:val="TextBody"/>
        <w:spacing w:before="0" w:after="0"/>
        <w:ind w:left="0" w:right="0" w:hanging="0"/>
        <w:rPr>
          <w:caps w:val="false"/>
          <w:smallCaps w:val="false"/>
        </w:rPr>
      </w:pPr>
      <w:r>
        <w:rPr>
          <w:caps w:val="false"/>
          <w:smallCaps w:val="false"/>
        </w:rPr>
        <w:t> </w:t>
      </w:r>
    </w:p>
    <w:tbl>
      <w:tblPr>
        <w:tblW w:w="2880" w:type="dxa"/>
        <w:jc w:val="left"/>
        <w:tblInd w:w="0" w:type="dxa"/>
        <w:tblCellMar>
          <w:top w:w="0" w:type="dxa"/>
          <w:left w:w="0" w:type="dxa"/>
          <w:bottom w:w="0" w:type="dxa"/>
          <w:right w:w="0" w:type="dxa"/>
        </w:tblCellMar>
      </w:tblPr>
      <w:tblGrid>
        <w:gridCol w:w="75"/>
        <w:gridCol w:w="320"/>
        <w:gridCol w:w="590"/>
        <w:gridCol w:w="1895"/>
      </w:tblGrid>
      <w:tr>
        <w:trPr/>
        <w:tc>
          <w:tcPr>
            <w:tcW w:w="75" w:type="dxa"/>
            <w:tcBorders/>
            <w:shd w:fill="auto" w:val="clear"/>
            <w:vAlign w:val="center"/>
          </w:tcPr>
          <w:p>
            <w:pPr>
              <w:pStyle w:val="TableContents"/>
              <w:spacing w:before="0" w:after="283"/>
              <w:rPr/>
            </w:pPr>
            <w:r>
              <w:rPr/>
              <w:t> </w:t>
            </w:r>
          </w:p>
        </w:tc>
        <w:tc>
          <w:tcPr>
            <w:tcW w:w="2805" w:type="dxa"/>
            <w:gridSpan w:val="3"/>
            <w:tcBorders/>
            <w:shd w:fill="auto" w:val="clear"/>
            <w:vAlign w:val="center"/>
          </w:tcPr>
          <w:p>
            <w:pPr>
              <w:pStyle w:val="TableContents"/>
              <w:spacing w:before="0" w:after="283"/>
              <w:rPr>
                <w:b/>
                <w:sz w:val="20"/>
              </w:rPr>
            </w:pPr>
            <w:r>
              <w:rPr>
                <w:b/>
                <w:sz w:val="20"/>
              </w:rPr>
              <w:t xml:space="preserve">LUCID GROUP, INC. </w:t>
            </w:r>
          </w:p>
        </w:tc>
      </w:tr>
      <w:tr>
        <w:trPr/>
        <w:tc>
          <w:tcPr>
            <w:tcW w:w="75" w:type="dxa"/>
            <w:tcBorders/>
            <w:shd w:fill="auto" w:val="clear"/>
            <w:vAlign w:val="center"/>
          </w:tcPr>
          <w:p>
            <w:pPr>
              <w:pStyle w:val="TableContents"/>
              <w:spacing w:before="0" w:after="283"/>
              <w:rPr/>
            </w:pPr>
            <w:r>
              <w:rPr/>
              <w:t> </w:t>
            </w:r>
          </w:p>
        </w:tc>
        <w:tc>
          <w:tcPr>
            <w:tcW w:w="2805" w:type="dxa"/>
            <w:gridSpan w:val="3"/>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sz w:val="20"/>
              </w:rPr>
            </w:pPr>
            <w:r>
              <w:rPr>
                <w:sz w:val="20"/>
              </w:rPr>
              <w:t>By:</w:t>
            </w:r>
          </w:p>
        </w:tc>
        <w:tc>
          <w:tcPr>
            <w:tcW w:w="2485" w:type="dxa"/>
            <w:gridSpan w:val="2"/>
            <w:tcBorders>
              <w:bottom w:val="single" w:sz="8" w:space="0" w:color="000000"/>
            </w:tcBorders>
            <w:shd w:fill="auto" w:val="clear"/>
            <w:tcMar>
              <w:bottom w:w="28" w:type="dxa"/>
            </w:tcMar>
            <w:vAlign w:val="center"/>
          </w:tcPr>
          <w:p>
            <w:pPr>
              <w:pStyle w:val="TableContents"/>
              <w:spacing w:before="0" w:after="283"/>
              <w:rPr>
                <w:sz w:val="20"/>
              </w:rPr>
            </w:pPr>
            <w:r>
              <w:rPr>
                <w:sz w:val="20"/>
              </w:rPr>
              <w:t>/s/ Sherry House</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20"/>
              </w:rPr>
            </w:pPr>
            <w:r>
              <w:rPr>
                <w:sz w:val="20"/>
              </w:rPr>
              <w:t xml:space="preserve">Name: </w:t>
            </w:r>
          </w:p>
        </w:tc>
        <w:tc>
          <w:tcPr>
            <w:tcW w:w="1895" w:type="dxa"/>
            <w:tcBorders/>
            <w:shd w:fill="auto" w:val="clear"/>
            <w:vAlign w:val="center"/>
          </w:tcPr>
          <w:p>
            <w:pPr>
              <w:pStyle w:val="TableContents"/>
              <w:spacing w:before="0" w:after="283"/>
              <w:rPr>
                <w:sz w:val="20"/>
              </w:rPr>
            </w:pPr>
            <w:r>
              <w:rPr>
                <w:sz w:val="20"/>
              </w:rPr>
              <w:t>Sherry House</w:t>
            </w:r>
          </w:p>
        </w:tc>
      </w:tr>
      <w:tr>
        <w:trPr/>
        <w:tc>
          <w:tcPr>
            <w:tcW w:w="75"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590" w:type="dxa"/>
            <w:tcBorders/>
            <w:shd w:fill="auto" w:val="clear"/>
            <w:vAlign w:val="center"/>
          </w:tcPr>
          <w:p>
            <w:pPr>
              <w:pStyle w:val="TableContents"/>
              <w:spacing w:before="0" w:after="283"/>
              <w:rPr>
                <w:sz w:val="20"/>
              </w:rPr>
            </w:pPr>
            <w:r>
              <w:rPr>
                <w:sz w:val="20"/>
              </w:rPr>
              <w:t>Title:</w:t>
            </w:r>
          </w:p>
        </w:tc>
        <w:tc>
          <w:tcPr>
            <w:tcW w:w="1895" w:type="dxa"/>
            <w:tcBorders/>
            <w:shd w:fill="auto" w:val="clear"/>
            <w:vAlign w:val="center"/>
          </w:tcPr>
          <w:p>
            <w:pPr>
              <w:pStyle w:val="TableContents"/>
              <w:spacing w:before="0" w:after="283"/>
              <w:rPr>
                <w:sz w:val="20"/>
              </w:rPr>
            </w:pPr>
            <w:r>
              <w:rPr>
                <w:sz w:val="20"/>
              </w:rPr>
              <w:t>Chief Financial Officer</w:t>
            </w:r>
          </w:p>
        </w:tc>
      </w:tr>
    </w:tbl>
    <w:p>
      <w:pPr>
        <w:pStyle w:val="TextBody"/>
        <w:spacing w:before="0" w:after="0"/>
        <w:ind w:left="0" w:right="0" w:firstLine="36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hereby constitutes and appoints Peter Rawlinson and Sherry House,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any and all additional registration statements pursuant to Rule 462(b) of the Securities Act of 1933, and to file the same, with all exhibits thereto, and all other documents in connection therewith, with the Securities and Exchange Commission, granting unto each said attorney-in-fact and agents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spacing w:before="0" w:after="0"/>
        <w:ind w:left="0" w:right="0" w:hanging="0"/>
        <w:rPr>
          <w:caps w:val="false"/>
          <w:smallCaps w:val="false"/>
        </w:rPr>
      </w:pPr>
      <w:r>
        <w:rPr>
          <w:caps w:val="false"/>
          <w:smallCaps w:val="false"/>
        </w:rPr>
        <w:t> </w:t>
      </w:r>
    </w:p>
    <w:tbl>
      <w:tblPr>
        <w:tblW w:w="8565" w:type="dxa"/>
        <w:jc w:val="left"/>
        <w:tblInd w:w="0" w:type="dxa"/>
        <w:tblCellMar>
          <w:top w:w="0" w:type="dxa"/>
          <w:left w:w="0" w:type="dxa"/>
          <w:bottom w:w="0" w:type="dxa"/>
          <w:right w:w="0" w:type="dxa"/>
        </w:tblCellMar>
      </w:tblPr>
      <w:tblGrid>
        <w:gridCol w:w="2330"/>
        <w:gridCol w:w="5165"/>
        <w:gridCol w:w="1070"/>
      </w:tblGrid>
      <w:tr>
        <w:trPr/>
        <w:tc>
          <w:tcPr>
            <w:tcW w:w="2330" w:type="dxa"/>
            <w:tcBorders/>
            <w:shd w:fill="auto" w:val="clear"/>
            <w:vAlign w:val="center"/>
          </w:tcPr>
          <w:p>
            <w:pPr>
              <w:pStyle w:val="TableContents"/>
              <w:spacing w:before="0" w:after="283"/>
              <w:jc w:val="center"/>
              <w:rPr>
                <w:b/>
                <w:sz w:val="20"/>
              </w:rPr>
            </w:pPr>
            <w:r>
              <w:rPr>
                <w:b/>
                <w:sz w:val="20"/>
              </w:rPr>
              <w:t>Name</w:t>
            </w:r>
          </w:p>
        </w:tc>
        <w:tc>
          <w:tcPr>
            <w:tcW w:w="5165" w:type="dxa"/>
            <w:tcBorders/>
            <w:shd w:fill="auto" w:val="clear"/>
            <w:vAlign w:val="center"/>
          </w:tcPr>
          <w:p>
            <w:pPr>
              <w:pStyle w:val="TableContents"/>
              <w:spacing w:before="0" w:after="283"/>
              <w:jc w:val="center"/>
              <w:rPr>
                <w:b/>
                <w:sz w:val="20"/>
              </w:rPr>
            </w:pPr>
            <w:r>
              <w:rPr>
                <w:b/>
                <w:sz w:val="20"/>
              </w:rPr>
              <w:t>Title</w:t>
            </w:r>
          </w:p>
        </w:tc>
        <w:tc>
          <w:tcPr>
            <w:tcW w:w="1070" w:type="dxa"/>
            <w:tcBorders/>
            <w:shd w:fill="auto" w:val="clear"/>
            <w:vAlign w:val="center"/>
          </w:tcPr>
          <w:p>
            <w:pPr>
              <w:pStyle w:val="TableContents"/>
              <w:spacing w:before="0" w:after="283"/>
              <w:jc w:val="center"/>
              <w:rPr>
                <w:b/>
                <w:sz w:val="20"/>
              </w:rPr>
            </w:pPr>
            <w:r>
              <w:rPr>
                <w:b/>
                <w:sz w:val="20"/>
              </w:rPr>
              <w:t>Date</w:t>
            </w:r>
          </w:p>
        </w:tc>
      </w:tr>
      <w:tr>
        <w:trPr/>
        <w:tc>
          <w:tcPr>
            <w:tcW w:w="233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pBdr>
                <w:bottom w:val="single" w:sz="8"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Peter Rawlinson</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Rawlinson</w:t>
            </w:r>
          </w:p>
        </w:tc>
        <w:tc>
          <w:tcPr>
            <w:tcW w:w="5165" w:type="dxa"/>
            <w:tcBorders/>
            <w:shd w:fill="auto" w:val="clear"/>
            <w:vAlign w:val="center"/>
          </w:tcPr>
          <w:p>
            <w:pPr>
              <w:pStyle w:val="TableContents"/>
              <w:spacing w:before="0" w:after="283"/>
              <w:jc w:val="center"/>
              <w:rPr>
                <w:sz w:val="20"/>
              </w:rPr>
            </w:pPr>
            <w:r>
              <w:rPr>
                <w:sz w:val="20"/>
              </w:rPr>
              <w:t>Chief Executive Officer, Chief Technology Officer and Director</w:t>
              <w:br/>
              <w:t>(Principal Executive Officer)</w:t>
            </w:r>
          </w:p>
        </w:tc>
        <w:tc>
          <w:tcPr>
            <w:tcW w:w="1070" w:type="dxa"/>
            <w:tcBorders/>
            <w:shd w:fill="auto" w:val="clear"/>
            <w:vAlign w:val="center"/>
          </w:tcPr>
          <w:p>
            <w:pPr>
              <w:pStyle w:val="TableContents"/>
              <w:spacing w:before="0" w:after="283"/>
              <w:jc w:val="center"/>
              <w:rPr>
                <w:sz w:val="20"/>
              </w:rPr>
            </w:pPr>
            <w:r>
              <w:rPr>
                <w:sz w:val="20"/>
              </w:rPr>
              <w:t>May 8, 2023</w:t>
            </w:r>
          </w:p>
        </w:tc>
      </w:tr>
      <w:tr>
        <w:trPr/>
        <w:tc>
          <w:tcPr>
            <w:tcW w:w="233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pBdr>
                <w:bottom w:val="single" w:sz="8"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Sherry House</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Sherry House</w:t>
            </w:r>
          </w:p>
        </w:tc>
        <w:tc>
          <w:tcPr>
            <w:tcW w:w="5165" w:type="dxa"/>
            <w:tcBorders/>
            <w:shd w:fill="auto" w:val="clear"/>
            <w:vAlign w:val="center"/>
          </w:tcPr>
          <w:p>
            <w:pPr>
              <w:pStyle w:val="TableContents"/>
              <w:spacing w:before="0" w:after="283"/>
              <w:jc w:val="center"/>
              <w:rPr>
                <w:sz w:val="20"/>
              </w:rPr>
            </w:pPr>
            <w:r>
              <w:rPr>
                <w:sz w:val="20"/>
              </w:rPr>
              <w:t>Chief Financial Officer</w:t>
              <w:br/>
              <w:t>(Principal Financial Officer)</w:t>
            </w:r>
          </w:p>
        </w:tc>
        <w:tc>
          <w:tcPr>
            <w:tcW w:w="1070" w:type="dxa"/>
            <w:tcBorders/>
            <w:shd w:fill="auto" w:val="clear"/>
            <w:vAlign w:val="center"/>
          </w:tcPr>
          <w:p>
            <w:pPr>
              <w:pStyle w:val="TableContents"/>
              <w:spacing w:before="0" w:after="283"/>
              <w:jc w:val="center"/>
              <w:rPr>
                <w:sz w:val="20"/>
              </w:rPr>
            </w:pPr>
            <w:r>
              <w:rPr>
                <w:sz w:val="20"/>
              </w:rPr>
              <w:t>May 8, 2023</w:t>
            </w:r>
          </w:p>
        </w:tc>
      </w:tr>
      <w:tr>
        <w:trPr/>
        <w:tc>
          <w:tcPr>
            <w:tcW w:w="233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jc w:val="center"/>
              <w:rPr/>
            </w:pPr>
            <w:r>
              <w:rPr/>
              <w:t> </w:t>
            </w:r>
          </w:p>
        </w:tc>
        <w:tc>
          <w:tcPr>
            <w:tcW w:w="1070" w:type="dxa"/>
            <w:tcBorders/>
            <w:shd w:fill="auto" w:val="clear"/>
            <w:vAlign w:val="center"/>
          </w:tcPr>
          <w:p>
            <w:pPr>
              <w:pStyle w:val="TableContents"/>
              <w:spacing w:before="0" w:after="283"/>
              <w:jc w:val="center"/>
              <w:rPr/>
            </w:pPr>
            <w:r>
              <w:rPr/>
              <w:t> </w:t>
            </w:r>
          </w:p>
        </w:tc>
      </w:tr>
      <w:tr>
        <w:trPr/>
        <w:tc>
          <w:tcPr>
            <w:tcW w:w="2330" w:type="dxa"/>
            <w:vMerge w:val="restart"/>
            <w:tcBorders/>
            <w:shd w:fill="auto" w:val="clear"/>
            <w:vAlign w:val="center"/>
          </w:tcPr>
          <w:p>
            <w:pPr>
              <w:pStyle w:val="TableContents"/>
              <w:pBdr>
                <w:bottom w:val="single" w:sz="8"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Gagan Dhingra</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Gagan Dhingra</w:t>
            </w:r>
          </w:p>
        </w:tc>
        <w:tc>
          <w:tcPr>
            <w:tcW w:w="5165" w:type="dxa"/>
            <w:tcBorders/>
            <w:shd w:fill="auto" w:val="clear"/>
            <w:vAlign w:val="center"/>
          </w:tcPr>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of Accounting</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Accounting Officer)</w:t>
            </w:r>
          </w:p>
        </w:tc>
        <w:tc>
          <w:tcPr>
            <w:tcW w:w="1070" w:type="dxa"/>
            <w:tcBorders/>
            <w:shd w:fill="auto" w:val="clear"/>
            <w:vAlign w:val="center"/>
          </w:tcPr>
          <w:p>
            <w:pPr>
              <w:pStyle w:val="TableContents"/>
              <w:spacing w:before="0" w:after="283"/>
              <w:jc w:val="center"/>
              <w:rPr>
                <w:sz w:val="20"/>
              </w:rPr>
            </w:pPr>
            <w:r>
              <w:rPr>
                <w:sz w:val="20"/>
              </w:rPr>
              <w:t>May 8, 2023</w:t>
            </w:r>
          </w:p>
        </w:tc>
      </w:tr>
      <w:tr>
        <w:trPr/>
        <w:tc>
          <w:tcPr>
            <w:tcW w:w="2330" w:type="dxa"/>
            <w:vMerge w:val="continue"/>
            <w:tcBorders/>
            <w:shd w:fill="auto" w:val="clear"/>
            <w:vAlign w:val="center"/>
          </w:tcPr>
          <w:p>
            <w:pPr>
              <w:pStyle w:val="Normal"/>
              <w:rPr/>
            </w:pPr>
            <w:r>
              <w:rPr/>
            </w:r>
          </w:p>
        </w:tc>
        <w:tc>
          <w:tcPr>
            <w:tcW w:w="5165"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pBdr>
                <w:bottom w:val="single" w:sz="8"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Turqi Alnowaiser</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Turqi Alnowaiser</w:t>
            </w:r>
          </w:p>
        </w:tc>
        <w:tc>
          <w:tcPr>
            <w:tcW w:w="5165" w:type="dxa"/>
            <w:tcBorders/>
            <w:shd w:fill="auto" w:val="clear"/>
            <w:vAlign w:val="center"/>
          </w:tcPr>
          <w:p>
            <w:pPr>
              <w:pStyle w:val="TableContents"/>
              <w:spacing w:before="0" w:after="283"/>
              <w:jc w:val="center"/>
              <w:rPr>
                <w:sz w:val="20"/>
              </w:rPr>
            </w:pPr>
            <w:r>
              <w:rPr>
                <w:sz w:val="20"/>
              </w:rPr>
              <w:t>Director</w:t>
            </w:r>
          </w:p>
        </w:tc>
        <w:tc>
          <w:tcPr>
            <w:tcW w:w="1070" w:type="dxa"/>
            <w:tcBorders/>
            <w:shd w:fill="auto" w:val="clear"/>
            <w:vAlign w:val="center"/>
          </w:tcPr>
          <w:p>
            <w:pPr>
              <w:pStyle w:val="TableContents"/>
              <w:spacing w:before="0" w:after="283"/>
              <w:jc w:val="center"/>
              <w:rPr>
                <w:sz w:val="20"/>
              </w:rPr>
            </w:pPr>
            <w:r>
              <w:rPr>
                <w:sz w:val="20"/>
              </w:rPr>
              <w:t>May 8, 2023</w:t>
            </w:r>
          </w:p>
        </w:tc>
      </w:tr>
      <w:tr>
        <w:trPr/>
        <w:tc>
          <w:tcPr>
            <w:tcW w:w="233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pBdr>
                <w:bottom w:val="single" w:sz="8"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Glenn R. August</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Glenn R. August</w:t>
            </w:r>
          </w:p>
        </w:tc>
        <w:tc>
          <w:tcPr>
            <w:tcW w:w="5165" w:type="dxa"/>
            <w:tcBorders/>
            <w:shd w:fill="auto" w:val="clear"/>
            <w:vAlign w:val="center"/>
          </w:tcPr>
          <w:p>
            <w:pPr>
              <w:pStyle w:val="TableContents"/>
              <w:spacing w:before="0" w:after="283"/>
              <w:jc w:val="center"/>
              <w:rPr>
                <w:sz w:val="20"/>
              </w:rPr>
            </w:pPr>
            <w:r>
              <w:rPr>
                <w:sz w:val="20"/>
              </w:rPr>
              <w:t xml:space="preserve">Director </w:t>
            </w:r>
          </w:p>
        </w:tc>
        <w:tc>
          <w:tcPr>
            <w:tcW w:w="1070" w:type="dxa"/>
            <w:tcBorders/>
            <w:shd w:fill="auto" w:val="clear"/>
            <w:vAlign w:val="center"/>
          </w:tcPr>
          <w:p>
            <w:pPr>
              <w:pStyle w:val="TableContents"/>
              <w:spacing w:before="0" w:after="283"/>
              <w:jc w:val="center"/>
              <w:rPr>
                <w:sz w:val="20"/>
              </w:rPr>
            </w:pPr>
            <w:r>
              <w:rPr>
                <w:sz w:val="20"/>
              </w:rPr>
              <w:t>May 8, 2023</w:t>
            </w:r>
          </w:p>
        </w:tc>
      </w:tr>
      <w:tr>
        <w:trPr/>
        <w:tc>
          <w:tcPr>
            <w:tcW w:w="233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pBdr>
                <w:bottom w:val="single" w:sz="8"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Liveris</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Liveris</w:t>
            </w:r>
          </w:p>
        </w:tc>
        <w:tc>
          <w:tcPr>
            <w:tcW w:w="5165" w:type="dxa"/>
            <w:tcBorders/>
            <w:shd w:fill="auto" w:val="clear"/>
            <w:vAlign w:val="center"/>
          </w:tcPr>
          <w:p>
            <w:pPr>
              <w:pStyle w:val="TableContents"/>
              <w:spacing w:before="0" w:after="283"/>
              <w:jc w:val="center"/>
              <w:rPr>
                <w:sz w:val="20"/>
              </w:rPr>
            </w:pPr>
            <w:r>
              <w:rPr>
                <w:sz w:val="20"/>
              </w:rPr>
              <w:t>Director</w:t>
            </w:r>
          </w:p>
        </w:tc>
        <w:tc>
          <w:tcPr>
            <w:tcW w:w="1070" w:type="dxa"/>
            <w:tcBorders/>
            <w:shd w:fill="auto" w:val="clear"/>
            <w:vAlign w:val="center"/>
          </w:tcPr>
          <w:p>
            <w:pPr>
              <w:pStyle w:val="TableContents"/>
              <w:spacing w:before="0" w:after="283"/>
              <w:jc w:val="center"/>
              <w:rPr>
                <w:sz w:val="20"/>
              </w:rPr>
            </w:pPr>
            <w:r>
              <w:rPr>
                <w:sz w:val="20"/>
              </w:rPr>
              <w:t>May 8, 2023</w:t>
            </w:r>
          </w:p>
        </w:tc>
      </w:tr>
      <w:tr>
        <w:trPr/>
        <w:tc>
          <w:tcPr>
            <w:tcW w:w="233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pBdr>
                <w:bottom w:val="single" w:sz="8"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Sherif Marakby</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Sherif Marakby</w:t>
            </w:r>
          </w:p>
        </w:tc>
        <w:tc>
          <w:tcPr>
            <w:tcW w:w="5165" w:type="dxa"/>
            <w:tcBorders/>
            <w:shd w:fill="auto" w:val="clear"/>
            <w:vAlign w:val="center"/>
          </w:tcPr>
          <w:p>
            <w:pPr>
              <w:pStyle w:val="TableContents"/>
              <w:spacing w:before="0" w:after="283"/>
              <w:jc w:val="center"/>
              <w:rPr>
                <w:sz w:val="20"/>
              </w:rPr>
            </w:pPr>
            <w:r>
              <w:rPr>
                <w:sz w:val="20"/>
              </w:rPr>
              <w:t>Director</w:t>
            </w:r>
          </w:p>
        </w:tc>
        <w:tc>
          <w:tcPr>
            <w:tcW w:w="1070" w:type="dxa"/>
            <w:tcBorders/>
            <w:shd w:fill="auto" w:val="clear"/>
            <w:vAlign w:val="center"/>
          </w:tcPr>
          <w:p>
            <w:pPr>
              <w:pStyle w:val="TableContents"/>
              <w:spacing w:before="0" w:after="283"/>
              <w:jc w:val="center"/>
              <w:rPr>
                <w:sz w:val="20"/>
              </w:rPr>
            </w:pPr>
            <w:r>
              <w:rPr>
                <w:sz w:val="20"/>
              </w:rPr>
              <w:t>May 8, 2023</w:t>
            </w:r>
          </w:p>
        </w:tc>
      </w:tr>
      <w:tr>
        <w:trPr/>
        <w:tc>
          <w:tcPr>
            <w:tcW w:w="233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pBdr>
                <w:bottom w:val="single" w:sz="8"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Nichelle Maynard-Elliott</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Nichelle Maynard-Elliott</w:t>
            </w:r>
          </w:p>
        </w:tc>
        <w:tc>
          <w:tcPr>
            <w:tcW w:w="5165" w:type="dxa"/>
            <w:tcBorders/>
            <w:shd w:fill="auto" w:val="clear"/>
            <w:vAlign w:val="center"/>
          </w:tcPr>
          <w:p>
            <w:pPr>
              <w:pStyle w:val="TableContents"/>
              <w:spacing w:before="0" w:after="283"/>
              <w:jc w:val="center"/>
              <w:rPr>
                <w:sz w:val="20"/>
              </w:rPr>
            </w:pPr>
            <w:r>
              <w:rPr>
                <w:sz w:val="20"/>
              </w:rPr>
              <w:t>Director</w:t>
            </w:r>
          </w:p>
        </w:tc>
        <w:tc>
          <w:tcPr>
            <w:tcW w:w="1070" w:type="dxa"/>
            <w:tcBorders/>
            <w:shd w:fill="auto" w:val="clear"/>
            <w:vAlign w:val="center"/>
          </w:tcPr>
          <w:p>
            <w:pPr>
              <w:pStyle w:val="TableContents"/>
              <w:spacing w:before="0" w:after="283"/>
              <w:jc w:val="center"/>
              <w:rPr>
                <w:sz w:val="20"/>
              </w:rPr>
            </w:pPr>
            <w:r>
              <w:rPr>
                <w:sz w:val="20"/>
              </w:rPr>
              <w:t>May 8, 2023</w:t>
            </w:r>
          </w:p>
        </w:tc>
      </w:tr>
      <w:tr>
        <w:trPr/>
        <w:tc>
          <w:tcPr>
            <w:tcW w:w="233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pBdr>
                <w:bottom w:val="single" w:sz="8"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Chabi Nouri</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Chabi Nouri</w:t>
            </w:r>
          </w:p>
        </w:tc>
        <w:tc>
          <w:tcPr>
            <w:tcW w:w="5165" w:type="dxa"/>
            <w:tcBorders/>
            <w:shd w:fill="auto" w:val="clear"/>
            <w:vAlign w:val="center"/>
          </w:tcPr>
          <w:p>
            <w:pPr>
              <w:pStyle w:val="TableContents"/>
              <w:spacing w:before="0" w:after="283"/>
              <w:jc w:val="center"/>
              <w:rPr>
                <w:sz w:val="20"/>
              </w:rPr>
            </w:pPr>
            <w:r>
              <w:rPr>
                <w:sz w:val="20"/>
              </w:rPr>
              <w:t>Director</w:t>
            </w:r>
          </w:p>
        </w:tc>
        <w:tc>
          <w:tcPr>
            <w:tcW w:w="1070" w:type="dxa"/>
            <w:tcBorders/>
            <w:shd w:fill="auto" w:val="clear"/>
            <w:vAlign w:val="center"/>
          </w:tcPr>
          <w:p>
            <w:pPr>
              <w:pStyle w:val="TableContents"/>
              <w:spacing w:before="0" w:after="283"/>
              <w:jc w:val="center"/>
              <w:rPr>
                <w:sz w:val="20"/>
              </w:rPr>
            </w:pPr>
            <w:r>
              <w:rPr>
                <w:sz w:val="20"/>
              </w:rPr>
              <w:t>May 8, 2023</w:t>
            </w:r>
          </w:p>
        </w:tc>
      </w:tr>
      <w:tr>
        <w:trPr/>
        <w:tc>
          <w:tcPr>
            <w:tcW w:w="233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pBdr>
                <w:bottom w:val="single" w:sz="8"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Ori Winitzer</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Ori Winitzer</w:t>
            </w:r>
          </w:p>
        </w:tc>
        <w:tc>
          <w:tcPr>
            <w:tcW w:w="5165" w:type="dxa"/>
            <w:tcBorders/>
            <w:shd w:fill="auto" w:val="clear"/>
            <w:vAlign w:val="center"/>
          </w:tcPr>
          <w:p>
            <w:pPr>
              <w:pStyle w:val="TableContents"/>
              <w:spacing w:before="0" w:after="283"/>
              <w:jc w:val="center"/>
              <w:rPr>
                <w:sz w:val="20"/>
              </w:rPr>
            </w:pPr>
            <w:r>
              <w:rPr>
                <w:sz w:val="20"/>
              </w:rPr>
              <w:t>Director</w:t>
            </w:r>
          </w:p>
        </w:tc>
        <w:tc>
          <w:tcPr>
            <w:tcW w:w="1070" w:type="dxa"/>
            <w:tcBorders/>
            <w:shd w:fill="auto" w:val="clear"/>
            <w:vAlign w:val="center"/>
          </w:tcPr>
          <w:p>
            <w:pPr>
              <w:pStyle w:val="TableContents"/>
              <w:spacing w:before="0" w:after="283"/>
              <w:jc w:val="center"/>
              <w:rPr>
                <w:sz w:val="20"/>
              </w:rPr>
            </w:pPr>
            <w:r>
              <w:rPr>
                <w:sz w:val="20"/>
              </w:rPr>
              <w:t>May 8, 2023</w:t>
            </w:r>
          </w:p>
        </w:tc>
      </w:tr>
      <w:tr>
        <w:trPr/>
        <w:tc>
          <w:tcPr>
            <w:tcW w:w="2330" w:type="dxa"/>
            <w:tcBorders/>
            <w:shd w:fill="auto" w:val="clear"/>
            <w:vAlign w:val="center"/>
          </w:tcPr>
          <w:p>
            <w:pPr>
              <w:pStyle w:val="TableContents"/>
              <w:spacing w:before="0" w:after="283"/>
              <w:rPr/>
            </w:pPr>
            <w:r>
              <w:rPr/>
              <w:t> </w:t>
            </w:r>
          </w:p>
        </w:tc>
        <w:tc>
          <w:tcPr>
            <w:tcW w:w="5165" w:type="dxa"/>
            <w:tcBorders/>
            <w:shd w:fill="auto" w:val="clear"/>
            <w:vAlign w:val="center"/>
          </w:tcPr>
          <w:p>
            <w:pPr>
              <w:pStyle w:val="TableContents"/>
              <w:spacing w:before="0" w:after="283"/>
              <w:rPr/>
            </w:pPr>
            <w:r>
              <w:rPr/>
              <w:t> </w:t>
            </w:r>
          </w:p>
        </w:tc>
        <w:tc>
          <w:tcPr>
            <w:tcW w:w="1070" w:type="dxa"/>
            <w:tcBorders/>
            <w:shd w:fill="auto" w:val="clear"/>
            <w:vAlign w:val="center"/>
          </w:tcPr>
          <w:p>
            <w:pPr>
              <w:pStyle w:val="TableContents"/>
              <w:spacing w:before="0" w:after="283"/>
              <w:rPr/>
            </w:pPr>
            <w:r>
              <w:rPr/>
              <w:t> </w:t>
            </w:r>
          </w:p>
        </w:tc>
      </w:tr>
      <w:tr>
        <w:trPr/>
        <w:tc>
          <w:tcPr>
            <w:tcW w:w="2330" w:type="dxa"/>
            <w:tcBorders/>
            <w:shd w:fill="auto" w:val="clear"/>
            <w:vAlign w:val="center"/>
          </w:tcPr>
          <w:p>
            <w:pPr>
              <w:pStyle w:val="TableContents"/>
              <w:pBdr>
                <w:bottom w:val="single" w:sz="8" w:space="1" w:color="000000"/>
              </w:pBd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Janet S. Wong</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Janet S. Wong</w:t>
            </w:r>
          </w:p>
        </w:tc>
        <w:tc>
          <w:tcPr>
            <w:tcW w:w="5165" w:type="dxa"/>
            <w:tcBorders/>
            <w:shd w:fill="auto" w:val="clear"/>
            <w:vAlign w:val="center"/>
          </w:tcPr>
          <w:p>
            <w:pPr>
              <w:pStyle w:val="TableContents"/>
              <w:spacing w:before="0" w:after="283"/>
              <w:jc w:val="center"/>
              <w:rPr>
                <w:sz w:val="20"/>
              </w:rPr>
            </w:pPr>
            <w:r>
              <w:rPr>
                <w:sz w:val="20"/>
              </w:rPr>
              <w:t>Director</w:t>
            </w:r>
          </w:p>
        </w:tc>
        <w:tc>
          <w:tcPr>
            <w:tcW w:w="1070" w:type="dxa"/>
            <w:tcBorders/>
            <w:shd w:fill="auto" w:val="clear"/>
            <w:vAlign w:val="center"/>
          </w:tcPr>
          <w:p>
            <w:pPr>
              <w:pStyle w:val="TableContents"/>
              <w:spacing w:before="0" w:after="283"/>
              <w:jc w:val="center"/>
              <w:rPr>
                <w:sz w:val="20"/>
              </w:rPr>
            </w:pPr>
            <w:r>
              <w:rPr>
                <w:sz w:val="20"/>
              </w:rPr>
              <w:t>May 8, 2023</w:t>
            </w:r>
          </w:p>
        </w:tc>
      </w:tr>
    </w:tbl>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rPr/>
      </w:pPr>
      <w:r>
        <w:rPr/>
        <w:t> </w:t>
      </w:r>
      <w:r>
        <w:br w:type="page"/>
      </w:r>
    </w:p>
    <w:p>
      <w:pPr>
        <w:pStyle w:val="TextBody"/>
        <w:rPr/>
      </w:pPr>
      <w:bookmarkStart w:id="3" w:name="tm2314570d1_ex5-1.htm"/>
      <w:bookmarkStart w:id="4" w:name="kstm2314570d1_ex51"/>
      <w:bookmarkEnd w:id="3"/>
      <w:bookmarkEnd w:id="4"/>
      <w:r>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5.1 AND 23.2</w:t>
      </w:r>
    </w:p>
    <w:p>
      <w:pPr>
        <w:pStyle w:val="TextBody"/>
        <w:spacing w:before="0" w:after="0"/>
        <w:ind w:left="0" w:right="0" w:hanging="0"/>
        <w:rPr>
          <w:caps w:val="false"/>
          <w:smallCaps w:val="false"/>
        </w:rPr>
      </w:pPr>
      <w:r>
        <w:rPr>
          <w:caps w:val="false"/>
          <w:smallCaps w:val="false"/>
        </w:rPr>
        <w:t> </w:t>
      </w:r>
    </w:p>
    <w:tbl>
      <w:tblPr>
        <w:tblW w:w="4855" w:type="dxa"/>
        <w:jc w:val="left"/>
        <w:tblInd w:w="0" w:type="dxa"/>
        <w:tblCellMar>
          <w:top w:w="0" w:type="dxa"/>
          <w:left w:w="0" w:type="dxa"/>
          <w:bottom w:w="0" w:type="dxa"/>
          <w:right w:w="0" w:type="dxa"/>
        </w:tblCellMar>
      </w:tblPr>
      <w:tblGrid>
        <w:gridCol w:w="2115"/>
        <w:gridCol w:w="1730"/>
        <w:gridCol w:w="1010"/>
      </w:tblGrid>
      <w:tr>
        <w:trPr/>
        <w:tc>
          <w:tcPr>
            <w:tcW w:w="211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New York</w:t>
              <w:br/>
              <w:t>Northern California</w:t>
              <w:br/>
              <w:t>Washington DC</w:t>
              <w:br/>
              <w:t>São Paulo</w:t>
              <w:br/>
              <w:t>London</w:t>
            </w:r>
          </w:p>
        </w:tc>
        <w:tc>
          <w:tcPr>
            <w:tcW w:w="101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Paris</w:t>
              <w:br/>
              <w:t>Madrid</w:t>
              <w:br/>
              <w:t>Tokyo</w:t>
              <w:br/>
              <w:t>Beijing</w:t>
              <w:br/>
              <w:t>Hong Kong</w:t>
            </w:r>
          </w:p>
        </w:tc>
      </w:tr>
      <w:tr>
        <w:trPr/>
        <w:tc>
          <w:tcPr>
            <w:tcW w:w="2115" w:type="dxa"/>
            <w:tcBorders/>
            <w:shd w:fill="auto" w:val="clear"/>
            <w:vAlign w:val="center"/>
          </w:tcPr>
          <w:p>
            <w:pPr>
              <w:pStyle w:val="TableContents"/>
              <w:spacing w:before="0" w:after="283"/>
              <w:rPr/>
            </w:pPr>
            <w:r>
              <w:rPr/>
              <w:t> </w:t>
            </w:r>
          </w:p>
        </w:tc>
        <w:tc>
          <w:tcPr>
            <w:tcW w:w="173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pPr>
            <w:r>
              <w:rPr/>
              <w:t> </w:t>
            </w:r>
          </w:p>
        </w:tc>
      </w:tr>
      <w:tr>
        <w:trPr/>
        <w:tc>
          <w:tcPr>
            <w:tcW w:w="2115" w:type="dxa"/>
            <w:tcBorders/>
            <w:shd w:fill="auto" w:val="clear"/>
            <w:vAlign w:val="center"/>
          </w:tcPr>
          <w:p>
            <w:pPr>
              <w:pStyle w:val="TableContents"/>
              <w:spacing w:before="0" w:after="283"/>
              <w:rPr/>
            </w:pPr>
            <w:r>
              <w:rPr/>
              <w:t> </w:t>
            </w:r>
            <w:r>
              <w:rPr/>
              <w:drawing>
                <wp:inline distT="0" distB="0" distL="0" distR="0">
                  <wp:extent cx="129540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9"/>
                          <a:stretch>
                            <a:fillRect/>
                          </a:stretch>
                        </pic:blipFill>
                        <pic:spPr bwMode="auto">
                          <a:xfrm>
                            <a:off x="0" y="0"/>
                            <a:ext cx="1295400" cy="247650"/>
                          </a:xfrm>
                          <a:prstGeom prst="rect">
                            <a:avLst/>
                          </a:prstGeom>
                        </pic:spPr>
                      </pic:pic>
                    </a:graphicData>
                  </a:graphic>
                </wp:inline>
              </w:drawing>
            </w:r>
          </w:p>
        </w:tc>
        <w:tc>
          <w:tcPr>
            <w:tcW w:w="1730" w:type="dxa"/>
            <w:tcBorders/>
            <w:shd w:fill="auto" w:val="clear"/>
            <w:vAlign w:val="center"/>
          </w:tcPr>
          <w:p>
            <w:pPr>
              <w:pStyle w:val="TableContents"/>
              <w:spacing w:before="0" w:after="283"/>
              <w:rPr/>
            </w:pPr>
            <w:r>
              <w:rPr/>
              <w:t> </w:t>
            </w:r>
          </w:p>
        </w:tc>
        <w:tc>
          <w:tcPr>
            <w:tcW w:w="1010" w:type="dxa"/>
            <w:tcBorders/>
            <w:shd w:fill="auto" w:val="cle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2330"/>
        <w:gridCol w:w="1460"/>
        <w:gridCol w:w="75"/>
      </w:tblGrid>
      <w:tr>
        <w:trPr/>
        <w:tc>
          <w:tcPr>
            <w:tcW w:w="233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Davis Polk &amp; Wardwell LLP</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 Lexington Avenue</w:t>
              <w:br/>
              <w:t>New York, NY 10017</w:t>
            </w:r>
          </w:p>
        </w:tc>
        <w:tc>
          <w:tcPr>
            <w:tcW w:w="1460"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212 450 4000 tel</w:t>
            </w:r>
          </w:p>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212 701 5800 fax</w:t>
            </w:r>
          </w:p>
          <w:p>
            <w:pPr>
              <w:pStyle w:val="TableContents"/>
              <w:spacing w:before="0" w:after="0"/>
              <w:ind w:left="0" w:right="0" w:hanging="0"/>
              <w:rPr>
                <w:caps w:val="false"/>
                <w:smallCaps w:val="false"/>
              </w:rPr>
            </w:pPr>
            <w:r>
              <w:rPr>
                <w:caps w:val="false"/>
                <w:smallCaps w:val="false"/>
              </w:rPr>
              <w:t> </w:t>
            </w:r>
          </w:p>
        </w:tc>
        <w:tc>
          <w:tcPr>
            <w:tcW w:w="75" w:type="dxa"/>
            <w:tcBorders/>
            <w:shd w:fill="auto" w:val="clear"/>
            <w:vAlign w:val="center"/>
          </w:tcPr>
          <w:p>
            <w:pPr>
              <w:pStyle w:val="TableContents"/>
              <w:rPr/>
            </w:pPr>
            <w:r>
              <w:rPr/>
              <w:t> </w:t>
            </w:r>
          </w:p>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OF DAVIS POLK &amp; WARDWELL LLP</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2023</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Group, Inc.</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7373 Gateway Blvd.</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Newark, CA 94560</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Lucid Group,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preparation and filing of a registration statement on Form S-8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relating to 42,381,801 shares of the Company’s Class A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issuable pursuant to the Lucid Group, Inc. Second Amended and Restated 2021 Stock Incentive Plan (the “</w:t>
      </w:r>
      <w:r>
        <w:rPr>
          <w:rFonts w:ascii="Times New Roman;Times;Serif" w:hAnsi="Times New Roman;Times;Serif"/>
          <w:b/>
          <w:i w:val="false"/>
          <w:caps w:val="false"/>
          <w:smallCaps w:val="false"/>
          <w:sz w:val="20"/>
        </w:rPr>
        <w:t>Incentive Plan</w:t>
      </w:r>
      <w:r>
        <w:rPr>
          <w:rFonts w:ascii="Times New Roman;Times;Serif" w:hAnsi="Times New Roman;Times;Serif"/>
          <w:b w:val="false"/>
          <w:i w:val="false"/>
          <w:caps w:val="false"/>
          <w:smallCaps w:val="false"/>
          <w:sz w:val="20"/>
        </w:rPr>
        <w:t>”). As counsel, we have made such legal and factual examination and inquiries as we have deemed necessary or appropriate for purposes of this opinion and have made such additional assumptions as are set forth below. This opinion is furnished pursuant to the requirements of Item 601(b)(5) of Regulation S-K.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 your counsel, have examined originals or copies of such documents and such matters of fact and law as we have deemed necessary for the purposes of rendering the opinion expressed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basis of the foregoing, we are of the opinion that the Common Stock issuable pursuant to the Incentive Plan has been duly authorized and, when and to the extent issued pursuant to the Incentive Plan upon receipt by the Company of adequate consideration for the Common Stock specified therein, will be validly issued, fully paid and non-assessable.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given as of the date hereof. We assume no obligation to update or supplement this opinion to reflect any facts or circumstances which may hereafter come to our attention of any changes in laws which may hereafter occur.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members of the Bars of the State of New York and the State of California, and the foregoing opinion is limited to the laws of the State of New York and the General Corporation Law of the State of Delaware. The opinion is strictly limited to the matters stated herein and no other or more extensive opinion is intended, implied or to be inferred beyond the matters expressly stated herein.</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giving this consent, we do not admit that we are in the category of persons whose consent is required under Section 7 of the Securities Act.</w:t>
      </w:r>
    </w:p>
    <w:p>
      <w:pPr>
        <w:pStyle w:val="TextBody"/>
        <w:spacing w:before="0" w:after="0"/>
        <w:ind w:left="0" w:right="0" w:hanging="0"/>
        <w:rPr>
          <w:caps w:val="false"/>
          <w:smallCaps w:val="false"/>
        </w:rPr>
      </w:pPr>
      <w:r>
        <w:rPr>
          <w:caps w:val="false"/>
          <w:smallCaps w:val="false"/>
        </w:rPr>
        <w:t> </w:t>
      </w:r>
    </w:p>
    <w:tbl>
      <w:tblPr>
        <w:tblW w:w="2645" w:type="dxa"/>
        <w:jc w:val="left"/>
        <w:tblInd w:w="0" w:type="dxa"/>
        <w:tblCellMar>
          <w:top w:w="0" w:type="dxa"/>
          <w:left w:w="0" w:type="dxa"/>
          <w:bottom w:w="0" w:type="dxa"/>
          <w:right w:w="0" w:type="dxa"/>
        </w:tblCellMar>
      </w:tblPr>
      <w:tblGrid>
        <w:gridCol w:w="75"/>
        <w:gridCol w:w="257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5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57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5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Davis Polk &amp; Wardwell LLP</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rPr/>
      </w:pPr>
      <w:bookmarkStart w:id="5" w:name="tm2314570d1_ex23-1.htm"/>
      <w:bookmarkStart w:id="6" w:name="kstm2314570d1_ex231"/>
      <w:bookmarkEnd w:id="5"/>
      <w:bookmarkEnd w:id="6"/>
      <w:r>
        <w:rPr/>
        <w:t> </w:t>
      </w:r>
    </w:p>
    <w:p>
      <w:pPr>
        <w:pStyle w:val="TextBody"/>
        <w:jc w:val="right"/>
        <w:rPr>
          <w:b/>
        </w:rPr>
      </w:pPr>
      <w:r>
        <w:rPr>
          <w:b/>
        </w:rPr>
        <w:t>Exhibit 23.1</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our reports dated February 28, 2023, with respect to the consolidated financial statements and internal control over financial reporting of Lucid Group, Inc. included in the Annual Report on Form 10-K for the year ended December 31, 2022, which are incorporated by reference in this Registration Statement. We consent to the incorporation by reference of the aforementioned reports in this Registration Statement.</w:t>
      </w:r>
    </w:p>
    <w:p>
      <w:pPr>
        <w:pStyle w:val="TextBody"/>
        <w:spacing w:before="0" w:after="0"/>
        <w:ind w:left="0" w:right="0" w:hanging="0"/>
        <w:rPr>
          <w:caps w:val="false"/>
          <w:smallCaps w:val="false"/>
        </w:rPr>
      </w:pPr>
      <w:r>
        <w:rPr>
          <w:caps w:val="false"/>
          <w:smallCaps w:val="false"/>
        </w:rPr>
        <w:t> </w:t>
      </w:r>
    </w:p>
    <w:tbl>
      <w:tblPr>
        <w:tblW w:w="2495" w:type="dxa"/>
        <w:jc w:val="left"/>
        <w:tblInd w:w="0" w:type="dxa"/>
        <w:tblCellMar>
          <w:top w:w="0" w:type="dxa"/>
          <w:left w:w="0" w:type="dxa"/>
          <w:bottom w:w="0" w:type="dxa"/>
          <w:right w:w="0" w:type="dxa"/>
        </w:tblCellMar>
      </w:tblPr>
      <w:tblGrid>
        <w:gridCol w:w="2420"/>
        <w:gridCol w:w="75"/>
      </w:tblGrid>
      <w:tr>
        <w:trPr/>
        <w:tc>
          <w:tcPr>
            <w:tcW w:w="24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GRANT THORNTON LLP</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20"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Francisco, California</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42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2023</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r>
        <w:br w:type="page"/>
      </w:r>
    </w:p>
    <w:p>
      <w:pPr>
        <w:pStyle w:val="TextBody"/>
        <w:jc w:val="right"/>
        <w:rPr>
          <w:b/>
        </w:rPr>
      </w:pPr>
      <w:bookmarkStart w:id="7" w:name="tm2314570d1_ex-filingfees.htm"/>
      <w:bookmarkStart w:id="8" w:name="kstm2314570d1_exfilingfees"/>
      <w:bookmarkEnd w:id="7"/>
      <w:bookmarkEnd w:id="8"/>
      <w:r>
        <w:rPr>
          <w:b/>
        </w:rPr>
        <w:t>Exhibit 107</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FEE TABLES FOR</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S-8</w:t>
      </w:r>
    </w:p>
    <w:p>
      <w:pPr>
        <w:pStyle w:val="TextBody"/>
        <w:shd w:fill="FFFFFF" w:val="clea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LUCID GROUP, INC.</w:t>
      </w:r>
    </w:p>
    <w:p>
      <w:pPr>
        <w:pStyle w:val="TextBody"/>
        <w:shd w:fill="FFFFFF" w:val="clear"/>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Newly Registered Securities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743"/>
        <w:gridCol w:w="60"/>
        <w:gridCol w:w="2049"/>
        <w:gridCol w:w="60"/>
        <w:gridCol w:w="1119"/>
        <w:gridCol w:w="60"/>
        <w:gridCol w:w="60"/>
        <w:gridCol w:w="963"/>
        <w:gridCol w:w="189"/>
        <w:gridCol w:w="60"/>
        <w:gridCol w:w="230"/>
        <w:gridCol w:w="701"/>
        <w:gridCol w:w="60"/>
        <w:gridCol w:w="60"/>
        <w:gridCol w:w="125"/>
        <w:gridCol w:w="1310"/>
        <w:gridCol w:w="60"/>
        <w:gridCol w:w="60"/>
        <w:gridCol w:w="60"/>
        <w:gridCol w:w="905"/>
        <w:gridCol w:w="60"/>
        <w:gridCol w:w="60"/>
        <w:gridCol w:w="137"/>
        <w:gridCol w:w="933"/>
        <w:gridCol w:w="81"/>
      </w:tblGrid>
      <w:tr>
        <w:trPr/>
        <w:tc>
          <w:tcPr>
            <w:tcW w:w="743"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 xml:space="preserve">Security </w:t>
              <w:br/>
              <w:t>Type</w:t>
            </w:r>
          </w:p>
        </w:tc>
        <w:tc>
          <w:tcPr>
            <w:tcW w:w="60" w:type="dxa"/>
            <w:tcBorders/>
            <w:shd w:fill="auto" w:val="clear"/>
            <w:tcMar>
              <w:bottom w:w="0" w:type="dxa"/>
            </w:tcMar>
            <w:vAlign w:val="center"/>
          </w:tcPr>
          <w:p>
            <w:pPr>
              <w:pStyle w:val="TableContents"/>
              <w:spacing w:before="0" w:after="283"/>
              <w:rPr/>
            </w:pPr>
            <w:r>
              <w:rPr/>
              <w:t> </w:t>
            </w:r>
          </w:p>
        </w:tc>
        <w:tc>
          <w:tcPr>
            <w:tcW w:w="2049" w:type="dxa"/>
            <w:tcBorders>
              <w:bottom w:val="single" w:sz="8" w:space="0" w:color="000000"/>
            </w:tcBorders>
            <w:shd w:fill="auto" w:val="clear"/>
            <w:vAlign w:val="center"/>
          </w:tcPr>
          <w:p>
            <w:pPr>
              <w:pStyle w:val="TableContents"/>
              <w:spacing w:before="0" w:after="283"/>
              <w:jc w:val="center"/>
              <w:rPr>
                <w:sz w:val="20"/>
              </w:rPr>
            </w:pPr>
            <w:r>
              <w:rPr>
                <w:rFonts w:ascii="Times New Roman;Times;Serif" w:hAnsi="Times New Roman;Times;Serif"/>
                <w:b/>
                <w:sz w:val="20"/>
              </w:rPr>
              <w:t>Title of each Class of</w:t>
            </w:r>
            <w:r>
              <w:rPr>
                <w:sz w:val="20"/>
              </w:rPr>
              <w:br/>
            </w:r>
            <w:r>
              <w:rPr>
                <w:b/>
                <w:sz w:val="20"/>
              </w:rPr>
              <w:t>Securities to be Registered</w:t>
            </w:r>
          </w:p>
        </w:tc>
        <w:tc>
          <w:tcPr>
            <w:tcW w:w="60" w:type="dxa"/>
            <w:tcBorders/>
            <w:shd w:fill="auto" w:val="clear"/>
            <w:tcMar>
              <w:bottom w:w="0" w:type="dxa"/>
            </w:tcMar>
            <w:vAlign w:val="center"/>
          </w:tcPr>
          <w:p>
            <w:pPr>
              <w:pStyle w:val="TableContents"/>
              <w:spacing w:before="0" w:after="283"/>
              <w:rPr/>
            </w:pPr>
            <w:r>
              <w:rPr/>
              <w:t> </w:t>
            </w:r>
          </w:p>
        </w:tc>
        <w:tc>
          <w:tcPr>
            <w:tcW w:w="1119" w:type="dxa"/>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Fee Calculation</w:t>
              <w:br/>
              <w:t>Rule</w:t>
            </w:r>
          </w:p>
        </w:tc>
        <w:tc>
          <w:tcPr>
            <w:tcW w:w="60" w:type="dxa"/>
            <w:tcBorders/>
            <w:shd w:fill="auto" w:val="clear"/>
            <w:tcMar>
              <w:bottom w:w="0" w:type="dxa"/>
            </w:tcMar>
            <w:vAlign w:val="center"/>
          </w:tcPr>
          <w:p>
            <w:pPr>
              <w:pStyle w:val="TableContents"/>
              <w:spacing w:before="0" w:after="283"/>
              <w:rPr/>
            </w:pPr>
            <w:r>
              <w:rPr/>
              <w:t> </w:t>
            </w:r>
          </w:p>
        </w:tc>
        <w:tc>
          <w:tcPr>
            <w:tcW w:w="1023" w:type="dxa"/>
            <w:gridSpan w:val="2"/>
            <w:tcBorders>
              <w:bottom w:val="single" w:sz="8" w:space="0" w:color="000000"/>
            </w:tcBorders>
            <w:shd w:fill="auto" w:val="clear"/>
            <w:vAlign w:val="center"/>
          </w:tcPr>
          <w:p>
            <w:pPr>
              <w:pStyle w:val="TableContents"/>
              <w:spacing w:before="0" w:after="283"/>
              <w:jc w:val="center"/>
              <w:rPr>
                <w:sz w:val="20"/>
              </w:rPr>
            </w:pPr>
            <w:r>
              <w:rPr>
                <w:rFonts w:ascii="Times New Roman;Times;Serif" w:hAnsi="Times New Roman;Times;Serif"/>
                <w:b/>
                <w:sz w:val="20"/>
              </w:rPr>
              <w:t>Amount</w:t>
            </w:r>
            <w:r>
              <w:rPr>
                <w:sz w:val="20"/>
              </w:rPr>
              <w:br/>
            </w:r>
            <w:r>
              <w:rPr>
                <w:b/>
                <w:sz w:val="20"/>
              </w:rPr>
              <w:t>to be</w:t>
            </w:r>
            <w:r>
              <w:rPr>
                <w:sz w:val="20"/>
              </w:rPr>
              <w:br/>
            </w:r>
            <w:r>
              <w:rPr>
                <w:b/>
                <w:sz w:val="20"/>
              </w:rPr>
              <w:t xml:space="preserve">Registered </w:t>
            </w:r>
            <w:r>
              <w:rPr>
                <w:sz w:val="20"/>
              </w:rPr>
              <w:t>(1)</w:t>
            </w:r>
          </w:p>
        </w:tc>
        <w:tc>
          <w:tcPr>
            <w:tcW w:w="189"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31" w:type="dxa"/>
            <w:gridSpan w:val="2"/>
            <w:tcBorders>
              <w:bottom w:val="single" w:sz="8" w:space="0" w:color="000000"/>
            </w:tcBorders>
            <w:shd w:fill="auto" w:val="clear"/>
            <w:vAlign w:val="center"/>
          </w:tcPr>
          <w:p>
            <w:pPr>
              <w:pStyle w:val="TableContents"/>
              <w:spacing w:before="0" w:after="283"/>
              <w:jc w:val="center"/>
              <w:rPr>
                <w:sz w:val="20"/>
              </w:rPr>
            </w:pPr>
            <w:r>
              <w:rPr>
                <w:rFonts w:ascii="Times New Roman;Times;Serif" w:hAnsi="Times New Roman;Times;Serif"/>
                <w:b/>
                <w:sz w:val="20"/>
              </w:rPr>
              <w:t>Proposed</w:t>
              <w:br/>
              <w:t>Maximum</w:t>
            </w:r>
            <w:r>
              <w:rPr>
                <w:sz w:val="20"/>
              </w:rPr>
              <w:br/>
            </w:r>
            <w:r>
              <w:rPr>
                <w:b/>
                <w:sz w:val="20"/>
              </w:rPr>
              <w:t>Offering Price</w:t>
            </w:r>
            <w:r>
              <w:rPr>
                <w:sz w:val="20"/>
              </w:rPr>
              <w:br/>
            </w:r>
            <w:r>
              <w:rPr>
                <w:b/>
                <w:sz w:val="20"/>
              </w:rPr>
              <w:t xml:space="preserve">Per Share </w:t>
            </w:r>
            <w:r>
              <w:rPr>
                <w:sz w:val="20"/>
              </w:rPr>
              <w:t>(3)</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435" w:type="dxa"/>
            <w:gridSpan w:val="2"/>
            <w:tcBorders>
              <w:bottom w:val="single" w:sz="8" w:space="0" w:color="000000"/>
            </w:tcBorders>
            <w:shd w:fill="auto" w:val="clear"/>
            <w:vAlign w:val="center"/>
          </w:tcPr>
          <w:p>
            <w:pPr>
              <w:pStyle w:val="TableContents"/>
              <w:spacing w:before="0" w:after="283"/>
              <w:jc w:val="center"/>
              <w:rPr>
                <w:sz w:val="20"/>
              </w:rPr>
            </w:pPr>
            <w:r>
              <w:rPr>
                <w:rFonts w:ascii="Times New Roman;Times;Serif" w:hAnsi="Times New Roman;Times;Serif"/>
                <w:b/>
                <w:sz w:val="20"/>
              </w:rPr>
              <w:t>Proposed</w:t>
              <w:br/>
              <w:t>Maximum</w:t>
            </w:r>
            <w:r>
              <w:rPr>
                <w:sz w:val="20"/>
              </w:rPr>
              <w:br/>
            </w:r>
            <w:r>
              <w:rPr>
                <w:b/>
                <w:sz w:val="20"/>
              </w:rPr>
              <w:t>Aggregate</w:t>
            </w:r>
            <w:r>
              <w:rPr>
                <w:sz w:val="20"/>
              </w:rPr>
              <w:br/>
            </w:r>
            <w:r>
              <w:rPr>
                <w:b/>
                <w:sz w:val="20"/>
              </w:rPr>
              <w:t>Offering Price</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965" w:type="dxa"/>
            <w:gridSpan w:val="2"/>
            <w:tcBorders>
              <w:bottom w:val="single" w:sz="8" w:space="0" w:color="000000"/>
            </w:tcBorders>
            <w:shd w:fill="auto" w:val="cle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Fee Rate</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070" w:type="dxa"/>
            <w:gridSpan w:val="2"/>
            <w:tcBorders>
              <w:bottom w:val="single" w:sz="8" w:space="0" w:color="000000"/>
            </w:tcBorders>
            <w:shd w:fill="auto" w:val="clear"/>
            <w:vAlign w:val="center"/>
          </w:tcPr>
          <w:p>
            <w:pPr>
              <w:pStyle w:val="TableContents"/>
              <w:spacing w:before="0" w:after="283"/>
              <w:jc w:val="center"/>
              <w:rPr>
                <w:sz w:val="20"/>
              </w:rPr>
            </w:pPr>
            <w:r>
              <w:rPr>
                <w:rFonts w:ascii="Times New Roman;Times;Serif" w:hAnsi="Times New Roman;Times;Serif"/>
                <w:b/>
                <w:sz w:val="20"/>
              </w:rPr>
              <w:t>Amount of</w:t>
            </w:r>
            <w:r>
              <w:rPr>
                <w:sz w:val="20"/>
              </w:rPr>
              <w:br/>
            </w:r>
            <w:r>
              <w:rPr>
                <w:b/>
                <w:sz w:val="20"/>
              </w:rPr>
              <w:t>Registration</w:t>
              <w:br/>
              <w:t xml:space="preserve">Fee </w:t>
            </w:r>
            <w:r>
              <w:rPr>
                <w:sz w:val="20"/>
              </w:rPr>
              <w:t>(4)</w:t>
            </w:r>
          </w:p>
        </w:tc>
        <w:tc>
          <w:tcPr>
            <w:tcW w:w="81" w:type="dxa"/>
            <w:tcBorders/>
            <w:shd w:fill="auto" w:val="clear"/>
            <w:tcMar>
              <w:bottom w:w="0" w:type="dxa"/>
            </w:tcMar>
            <w:vAlign w:val="center"/>
          </w:tcPr>
          <w:p>
            <w:pPr>
              <w:pStyle w:val="TableContents"/>
              <w:spacing w:before="0" w:after="283"/>
              <w:rPr/>
            </w:pPr>
            <w:r>
              <w:rPr/>
              <w:t> </w:t>
            </w:r>
          </w:p>
        </w:tc>
      </w:tr>
      <w:tr>
        <w:trPr/>
        <w:tc>
          <w:tcPr>
            <w:tcW w:w="743"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Equity</w:t>
            </w:r>
          </w:p>
        </w:tc>
        <w:tc>
          <w:tcPr>
            <w:tcW w:w="60" w:type="dxa"/>
            <w:tcBorders/>
            <w:shd w:fill="CCEEFF" w:val="clear"/>
            <w:tcMar>
              <w:bottom w:w="0" w:type="dxa"/>
            </w:tcMar>
            <w:vAlign w:val="center"/>
          </w:tcPr>
          <w:p>
            <w:pPr>
              <w:pStyle w:val="TableContents"/>
              <w:spacing w:before="0" w:after="283"/>
              <w:rPr/>
            </w:pPr>
            <w:r>
              <w:rPr/>
              <w:t> </w:t>
            </w:r>
          </w:p>
        </w:tc>
        <w:tc>
          <w:tcPr>
            <w:tcW w:w="204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Common Stock, $0.0001 par value per share, reserved for issuance pursuant to the Lucid Group, Inc. Second Amended and Restated 2021 Stock Incentive Plan (the “Incentive Plan”)</w:t>
            </w:r>
          </w:p>
        </w:tc>
        <w:tc>
          <w:tcPr>
            <w:tcW w:w="60" w:type="dxa"/>
            <w:tcBorders/>
            <w:shd w:fill="CCEEFF" w:val="clear"/>
            <w:tcMar>
              <w:bottom w:w="0" w:type="dxa"/>
            </w:tcMar>
            <w:vAlign w:val="center"/>
          </w:tcPr>
          <w:p>
            <w:pPr>
              <w:pStyle w:val="TableContents"/>
              <w:spacing w:before="0" w:after="283"/>
              <w:rPr/>
            </w:pPr>
            <w:r>
              <w:rPr/>
              <w:t> </w:t>
            </w:r>
          </w:p>
        </w:tc>
        <w:tc>
          <w:tcPr>
            <w:tcW w:w="1119" w:type="dxa"/>
            <w:tcBorders/>
            <w:shd w:fill="CCEEFF" w:val="clear"/>
            <w:tcMar>
              <w:bottom w:w="0"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Rule 457(c) and Rule 457(h)</w:t>
            </w:r>
          </w:p>
        </w:tc>
        <w:tc>
          <w:tcPr>
            <w:tcW w:w="60" w:type="dxa"/>
            <w:tcBorders/>
            <w:shd w:fill="CCEEFF" w:val="clear"/>
            <w:tcMar>
              <w:bottom w:w="0" w:type="dxa"/>
            </w:tcMar>
            <w:vAlign w:val="center"/>
          </w:tcPr>
          <w:p>
            <w:pPr>
              <w:pStyle w:val="TableContents"/>
              <w:spacing w:before="0" w:after="283"/>
              <w:rPr/>
            </w:pPr>
            <w:r>
              <w:rPr/>
              <w:t> </w:t>
            </w:r>
          </w:p>
        </w:tc>
        <w:tc>
          <w:tcPr>
            <w:tcW w:w="60" w:type="dxa"/>
            <w:tcBorders>
              <w:bottom w:val="single" w:sz="8" w:space="0" w:color="000000"/>
            </w:tcBorders>
            <w:shd w:fill="CCEEFF" w:val="clear"/>
            <w:vAlign w:val="center"/>
          </w:tcPr>
          <w:p>
            <w:pPr>
              <w:pStyle w:val="TableContents"/>
              <w:spacing w:before="0" w:after="283"/>
              <w:rPr/>
            </w:pPr>
            <w:r>
              <w:rPr/>
              <w:t> </w:t>
            </w:r>
          </w:p>
        </w:tc>
        <w:tc>
          <w:tcPr>
            <w:tcW w:w="96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42,381,801</w:t>
            </w:r>
          </w:p>
        </w:tc>
        <w:tc>
          <w:tcPr>
            <w:tcW w:w="189"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60" w:type="dxa"/>
            <w:tcBorders/>
            <w:shd w:fill="CCEEFF" w:val="clear"/>
            <w:tcMar>
              <w:bottom w:w="0" w:type="dxa"/>
            </w:tcMar>
            <w:vAlign w:val="center"/>
          </w:tcPr>
          <w:p>
            <w:pPr>
              <w:pStyle w:val="TableContents"/>
              <w:spacing w:before="0" w:after="283"/>
              <w:rPr/>
            </w:pPr>
            <w:r>
              <w:rPr/>
              <w:t> </w:t>
            </w:r>
          </w:p>
        </w:tc>
        <w:tc>
          <w:tcPr>
            <w:tcW w:w="230" w:type="dxa"/>
            <w:tcBorders>
              <w:bottom w:val="single" w:sz="8" w:space="0" w:color="000000"/>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01"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7.27</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25" w:type="dxa"/>
            <w:tcBorders>
              <w:bottom w:val="single" w:sz="8" w:space="0" w:color="000000"/>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310"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308,115,693.27</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bottom w:val="single" w:sz="8" w:space="0" w:color="000000"/>
            </w:tcBorders>
            <w:shd w:fill="CCEEFF" w:val="clear"/>
            <w:vAlign w:val="center"/>
          </w:tcPr>
          <w:p>
            <w:pPr>
              <w:pStyle w:val="TableContents"/>
              <w:spacing w:before="0" w:after="283"/>
              <w:rPr/>
            </w:pPr>
            <w:r>
              <w:rPr/>
              <w:t> </w:t>
            </w:r>
          </w:p>
        </w:tc>
        <w:tc>
          <w:tcPr>
            <w:tcW w:w="905"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0.0001102</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37" w:type="dxa"/>
            <w:tcBorders>
              <w:bottom w:val="single" w:sz="8" w:space="0" w:color="000000"/>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3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33,954.35</w:t>
            </w:r>
          </w:p>
        </w:tc>
        <w:tc>
          <w:tcPr>
            <w:tcW w:w="81" w:type="dxa"/>
            <w:tcBorders/>
            <w:shd w:fill="CCEEFF" w:val="clear"/>
            <w:tcMar>
              <w:bottom w:w="0" w:type="dxa"/>
            </w:tcMar>
            <w:vAlign w:val="center"/>
          </w:tcPr>
          <w:p>
            <w:pPr>
              <w:pStyle w:val="TableContents"/>
              <w:spacing w:before="0" w:after="283"/>
              <w:rPr/>
            </w:pPr>
            <w:r>
              <w:rPr/>
              <w:t> </w:t>
            </w:r>
          </w:p>
        </w:tc>
      </w:tr>
      <w:tr>
        <w:trPr/>
        <w:tc>
          <w:tcPr>
            <w:tcW w:w="74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049" w:type="dxa"/>
            <w:tcBorders/>
            <w:shd w:fill="FFFFFF" w:val="clear"/>
            <w:tcMar>
              <w:bottom w:w="0"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Total</w:t>
            </w:r>
          </w:p>
        </w:tc>
        <w:tc>
          <w:tcPr>
            <w:tcW w:w="60" w:type="dxa"/>
            <w:tcBorders/>
            <w:shd w:fill="FFFFFF" w:val="clear"/>
            <w:tcMar>
              <w:bottom w:w="0" w:type="dxa"/>
            </w:tcMar>
            <w:vAlign w:val="center"/>
          </w:tcPr>
          <w:p>
            <w:pPr>
              <w:pStyle w:val="TableContents"/>
              <w:spacing w:before="0" w:after="283"/>
              <w:rPr/>
            </w:pPr>
            <w:r>
              <w:rPr/>
              <w:t> </w:t>
            </w:r>
          </w:p>
        </w:tc>
        <w:tc>
          <w:tcPr>
            <w:tcW w:w="111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bottom w:val="single" w:sz="8" w:space="0" w:color="000000"/>
            </w:tcBorders>
            <w:shd w:fill="FFFFFF" w:val="clear"/>
            <w:vAlign w:val="center"/>
          </w:tcPr>
          <w:p>
            <w:pPr>
              <w:pStyle w:val="TableContents"/>
              <w:spacing w:before="0" w:after="283"/>
              <w:rPr/>
            </w:pPr>
            <w:r>
              <w:rPr/>
              <w:t> </w:t>
            </w:r>
          </w:p>
        </w:tc>
        <w:tc>
          <w:tcPr>
            <w:tcW w:w="96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42,381,801</w:t>
            </w:r>
          </w:p>
        </w:tc>
        <w:tc>
          <w:tcPr>
            <w:tcW w:w="18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30" w:type="dxa"/>
            <w:tcBorders/>
            <w:shd w:fill="FFFFFF" w:val="clear"/>
            <w:tcMar>
              <w:bottom w:w="0" w:type="dxa"/>
            </w:tcMar>
            <w:vAlign w:val="center"/>
          </w:tcPr>
          <w:p>
            <w:pPr>
              <w:pStyle w:val="TableContents"/>
              <w:spacing w:before="0" w:after="283"/>
              <w:rPr/>
            </w:pPr>
            <w:r>
              <w:rPr/>
              <w:t> </w:t>
            </w:r>
          </w:p>
        </w:tc>
        <w:tc>
          <w:tcPr>
            <w:tcW w:w="70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bottom w:val="single" w:sz="8" w:space="0" w:color="000000"/>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1310"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308,115,693.27</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37" w:type="dxa"/>
            <w:tcBorders>
              <w:bottom w:val="single" w:sz="8" w:space="0" w:color="000000"/>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33" w:type="dxa"/>
            <w:tcBorders>
              <w:bottom w:val="single" w:sz="8" w:space="0" w:color="000000"/>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33,954.35</w:t>
            </w:r>
          </w:p>
        </w:tc>
        <w:tc>
          <w:tcPr>
            <w:tcW w:w="81" w:type="dxa"/>
            <w:tcBorders/>
            <w:shd w:fill="FFFFFF" w:val="clear"/>
            <w:tcMar>
              <w:bottom w:w="0" w:type="dxa"/>
            </w:tcMar>
            <w:vAlign w:val="center"/>
          </w:tcPr>
          <w:p>
            <w:pPr>
              <w:pStyle w:val="TableContents"/>
              <w:spacing w:before="0" w:after="283"/>
              <w:rPr/>
            </w:pPr>
            <w:r>
              <w:rPr/>
              <w:t> </w:t>
            </w:r>
          </w:p>
        </w:tc>
      </w:tr>
      <w:tr>
        <w:trPr/>
        <w:tc>
          <w:tcPr>
            <w:tcW w:w="743"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049" w:type="dxa"/>
            <w:tcBorders/>
            <w:shd w:fill="CCEEFF" w:val="clear"/>
            <w:tcMar>
              <w:bottom w:w="0"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Total Fee Offsets (5)</w:t>
            </w:r>
          </w:p>
        </w:tc>
        <w:tc>
          <w:tcPr>
            <w:tcW w:w="60" w:type="dxa"/>
            <w:tcBorders/>
            <w:shd w:fill="CCEEFF" w:val="clear"/>
            <w:tcMar>
              <w:bottom w:w="0" w:type="dxa"/>
            </w:tcMar>
            <w:vAlign w:val="center"/>
          </w:tcPr>
          <w:p>
            <w:pPr>
              <w:pStyle w:val="TableContents"/>
              <w:spacing w:before="0" w:after="283"/>
              <w:rPr/>
            </w:pPr>
            <w:r>
              <w:rPr/>
              <w:t> </w:t>
            </w:r>
          </w:p>
        </w:tc>
        <w:tc>
          <w:tcPr>
            <w:tcW w:w="111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63" w:type="dxa"/>
            <w:tcBorders/>
            <w:shd w:fill="CCEEFF" w:val="clear"/>
            <w:tcMar>
              <w:bottom w:w="0" w:type="dxa"/>
            </w:tcMar>
            <w:vAlign w:val="center"/>
          </w:tcPr>
          <w:p>
            <w:pPr>
              <w:pStyle w:val="TableContents"/>
              <w:spacing w:before="0" w:after="283"/>
              <w:rPr/>
            </w:pPr>
            <w:r>
              <w:rPr/>
              <w:t> </w:t>
            </w:r>
          </w:p>
        </w:tc>
        <w:tc>
          <w:tcPr>
            <w:tcW w:w="189"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230" w:type="dxa"/>
            <w:tcBorders/>
            <w:shd w:fill="CCEEFF" w:val="clear"/>
            <w:tcMar>
              <w:bottom w:w="0" w:type="dxa"/>
            </w:tcMar>
            <w:vAlign w:val="center"/>
          </w:tcPr>
          <w:p>
            <w:pPr>
              <w:pStyle w:val="TableContents"/>
              <w:spacing w:before="0" w:after="283"/>
              <w:rPr/>
            </w:pPr>
            <w:r>
              <w:rPr/>
              <w:t> </w:t>
            </w:r>
          </w:p>
        </w:tc>
        <w:tc>
          <w:tcPr>
            <w:tcW w:w="701"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25" w:type="dxa"/>
            <w:tcBorders/>
            <w:shd w:fill="CCEEFF" w:val="clear"/>
            <w:tcMar>
              <w:bottom w:w="0" w:type="dxa"/>
            </w:tcMar>
            <w:vAlign w:val="center"/>
          </w:tcPr>
          <w:p>
            <w:pPr>
              <w:pStyle w:val="TableContents"/>
              <w:spacing w:before="0" w:after="283"/>
              <w:rPr/>
            </w:pPr>
            <w:r>
              <w:rPr/>
              <w:t> </w:t>
            </w:r>
          </w:p>
        </w:tc>
        <w:tc>
          <w:tcPr>
            <w:tcW w:w="131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905"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60" w:type="dxa"/>
            <w:tcBorders/>
            <w:shd w:fill="CCEEFF" w:val="clear"/>
            <w:tcMar>
              <w:bottom w:w="0" w:type="dxa"/>
            </w:tcMar>
            <w:vAlign w:val="center"/>
          </w:tcPr>
          <w:p>
            <w:pPr>
              <w:pStyle w:val="TableContents"/>
              <w:spacing w:before="0" w:after="283"/>
              <w:rPr/>
            </w:pPr>
            <w:r>
              <w:rPr/>
              <w:t> </w:t>
            </w:r>
          </w:p>
        </w:tc>
        <w:tc>
          <w:tcPr>
            <w:tcW w:w="137" w:type="dxa"/>
            <w:tcBorders>
              <w:bottom w:val="single" w:sz="8" w:space="0" w:color="000000"/>
            </w:tcBorders>
            <w:shd w:fill="CCEEFF" w:val="clear"/>
            <w:vAlign w:val="center"/>
          </w:tcPr>
          <w:p>
            <w:pPr>
              <w:pStyle w:val="TableContents"/>
              <w:spacing w:before="0" w:after="283"/>
              <w:rPr/>
            </w:pPr>
            <w:r>
              <w:rPr/>
              <w:t> </w:t>
            </w:r>
          </w:p>
        </w:tc>
        <w:tc>
          <w:tcPr>
            <w:tcW w:w="933" w:type="dxa"/>
            <w:tcBorders>
              <w:bottom w:val="single" w:sz="8" w:space="0" w:color="000000"/>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81" w:type="dxa"/>
            <w:tcBorders/>
            <w:shd w:fill="CCEEFF" w:val="clear"/>
            <w:tcMar>
              <w:bottom w:w="0" w:type="dxa"/>
            </w:tcMar>
            <w:vAlign w:val="center"/>
          </w:tcPr>
          <w:p>
            <w:pPr>
              <w:pStyle w:val="TableContents"/>
              <w:spacing w:before="0" w:after="283"/>
              <w:rPr/>
            </w:pPr>
            <w:r>
              <w:rPr/>
              <w:t> </w:t>
            </w:r>
          </w:p>
        </w:tc>
      </w:tr>
      <w:tr>
        <w:trPr/>
        <w:tc>
          <w:tcPr>
            <w:tcW w:w="743"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049" w:type="dxa"/>
            <w:tcBorders/>
            <w:shd w:fill="FFFFFF" w:val="clear"/>
            <w:tcMar>
              <w:bottom w:w="0" w:type="dxa"/>
            </w:tcM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Net Fee Due</w:t>
            </w:r>
          </w:p>
        </w:tc>
        <w:tc>
          <w:tcPr>
            <w:tcW w:w="60" w:type="dxa"/>
            <w:tcBorders/>
            <w:shd w:fill="FFFFFF" w:val="clear"/>
            <w:tcMar>
              <w:bottom w:w="0" w:type="dxa"/>
            </w:tcMar>
            <w:vAlign w:val="center"/>
          </w:tcPr>
          <w:p>
            <w:pPr>
              <w:pStyle w:val="TableContents"/>
              <w:spacing w:before="0" w:after="283"/>
              <w:rPr/>
            </w:pPr>
            <w:r>
              <w:rPr/>
              <w:t> </w:t>
            </w:r>
          </w:p>
        </w:tc>
        <w:tc>
          <w:tcPr>
            <w:tcW w:w="111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63" w:type="dxa"/>
            <w:tcBorders/>
            <w:shd w:fill="FFFFFF" w:val="clear"/>
            <w:tcMar>
              <w:bottom w:w="0" w:type="dxa"/>
            </w:tcMar>
            <w:vAlign w:val="center"/>
          </w:tcPr>
          <w:p>
            <w:pPr>
              <w:pStyle w:val="TableContents"/>
              <w:spacing w:before="0" w:after="283"/>
              <w:rPr/>
            </w:pPr>
            <w:r>
              <w:rPr/>
              <w:t> </w:t>
            </w:r>
          </w:p>
        </w:tc>
        <w:tc>
          <w:tcPr>
            <w:tcW w:w="189"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230" w:type="dxa"/>
            <w:tcBorders/>
            <w:shd w:fill="FFFFFF" w:val="clear"/>
            <w:tcMar>
              <w:bottom w:w="0" w:type="dxa"/>
            </w:tcMar>
            <w:vAlign w:val="center"/>
          </w:tcPr>
          <w:p>
            <w:pPr>
              <w:pStyle w:val="TableContents"/>
              <w:spacing w:before="0" w:after="283"/>
              <w:rPr/>
            </w:pPr>
            <w:r>
              <w:rPr/>
              <w:t> </w:t>
            </w:r>
          </w:p>
        </w:tc>
        <w:tc>
          <w:tcPr>
            <w:tcW w:w="701"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25" w:type="dxa"/>
            <w:tcBorders/>
            <w:shd w:fill="FFFFFF" w:val="clear"/>
            <w:tcMar>
              <w:bottom w:w="0" w:type="dxa"/>
            </w:tcMar>
            <w:vAlign w:val="center"/>
          </w:tcPr>
          <w:p>
            <w:pPr>
              <w:pStyle w:val="TableContents"/>
              <w:spacing w:before="0" w:after="283"/>
              <w:rPr/>
            </w:pPr>
            <w:r>
              <w:rPr/>
              <w:t> </w:t>
            </w:r>
          </w:p>
        </w:tc>
        <w:tc>
          <w:tcPr>
            <w:tcW w:w="131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905"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60" w:type="dxa"/>
            <w:tcBorders/>
            <w:shd w:fill="FFFFFF" w:val="clear"/>
            <w:tcMar>
              <w:bottom w:w="0" w:type="dxa"/>
            </w:tcMar>
            <w:vAlign w:val="center"/>
          </w:tcPr>
          <w:p>
            <w:pPr>
              <w:pStyle w:val="TableContents"/>
              <w:spacing w:before="0" w:after="283"/>
              <w:rPr/>
            </w:pPr>
            <w:r>
              <w:rPr/>
              <w:t> </w:t>
            </w:r>
          </w:p>
        </w:tc>
        <w:tc>
          <w:tcPr>
            <w:tcW w:w="137" w:type="dxa"/>
            <w:tcBorders>
              <w:bottom w:val="double" w:sz="6" w:space="0" w:color="000000"/>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933" w:type="dxa"/>
            <w:tcBorders>
              <w:bottom w:val="double" w:sz="6" w:space="0" w:color="000000"/>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33,954.35</w:t>
            </w:r>
          </w:p>
        </w:tc>
        <w:tc>
          <w:tcPr>
            <w:tcW w:w="81" w:type="dxa"/>
            <w:tcBorders/>
            <w:shd w:fill="FFFFFF" w:val="clear"/>
            <w:tcMar>
              <w:bottom w:w="0" w:type="dxa"/>
            </w:tcMar>
            <w:vAlign w:val="center"/>
          </w:tcPr>
          <w:p>
            <w:pPr>
              <w:pStyle w:val="TableContents"/>
              <w:spacing w:before="0" w:after="283"/>
              <w:rPr/>
            </w:pPr>
            <w:r>
              <w:rPr/>
              <w:t> </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98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 the event of a stock split, stock dividend or similar transaction involving the Registrant’s common stock, $0.0001 par value per share (“</w:t>
            </w:r>
            <w:r>
              <w:rPr>
                <w:rFonts w:ascii="Times New Roman;Times;Serif" w:hAnsi="Times New Roman;Times;Serif"/>
                <w:b/>
                <w:sz w:val="20"/>
              </w:rPr>
              <w:t>Common Stock</w:t>
            </w:r>
            <w:r>
              <w:rPr>
                <w:rFonts w:ascii="Times New Roman;Times;Serif" w:hAnsi="Times New Roman;Times;Serif"/>
                <w:sz w:val="20"/>
              </w:rPr>
              <w:t>”), the number of shares registered hereby shall automatically be adjusted in accordance with Rule 416 under the Securities Act of 1933, as amended (the “</w:t>
            </w:r>
            <w:r>
              <w:rPr>
                <w:rFonts w:ascii="Times New Roman;Times;Serif" w:hAnsi="Times New Roman;Times;Serif"/>
                <w:b/>
                <w:sz w:val="20"/>
              </w:rPr>
              <w:t>Securities Act</w:t>
            </w:r>
            <w:r>
              <w:rPr>
                <w:rFonts w:ascii="Times New Roman;Times;Serif" w:hAnsi="Times New Roman;Times;Serif"/>
                <w:sz w:val="20"/>
              </w:rPr>
              <w:t>”).</w:t>
            </w:r>
          </w:p>
        </w:tc>
      </w:tr>
      <w:tr>
        <w:trPr/>
        <w:tc>
          <w:tcPr>
            <w:tcW w:w="21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98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Represents (i) 39,166,575 shares of Common Stock available for future issuance under the Incentive Plan by reason of the stockholder amendment to the Incentive Plan on April 24, 2023 and (ii) 3,215,226 shares of Common Stock available for future issuance under the Incentive Plan by reason of the recycle provisions of Section 5 of the Incentive Plan.</w:t>
            </w:r>
          </w:p>
        </w:tc>
      </w:tr>
      <w:tr>
        <w:trPr/>
        <w:tc>
          <w:tcPr>
            <w:tcW w:w="21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(3)</w:t>
            </w:r>
          </w:p>
        </w:tc>
        <w:tc>
          <w:tcPr>
            <w:tcW w:w="998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Estimated solely for the purpose of calculating the registration fee pursuant to Rule 457(h) and Rule 457(c) under the Securities Act. The Proposed Maximum Offering Price Per Share is based on the average of the high and low prices of the Registrant’s Common Stock on The Nasdaq Global Select Market on May 2, 2023.</w:t>
            </w:r>
          </w:p>
        </w:tc>
      </w:tr>
      <w:tr>
        <w:trPr/>
        <w:tc>
          <w:tcPr>
            <w:tcW w:w="21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(4)</w:t>
            </w:r>
          </w:p>
        </w:tc>
        <w:tc>
          <w:tcPr>
            <w:tcW w:w="998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Rounded to the nearest cent.</w:t>
            </w:r>
          </w:p>
        </w:tc>
      </w:tr>
      <w:tr>
        <w:trPr/>
        <w:tc>
          <w:tcPr>
            <w:tcW w:w="219"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(5)</w:t>
            </w:r>
          </w:p>
        </w:tc>
        <w:tc>
          <w:tcPr>
            <w:tcW w:w="9986"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The Registrant does not have any fee offsets.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210/000095010321014588/dp158364_s8.htm" TargetMode="External"/><Relationship Id="rId3" Type="http://schemas.openxmlformats.org/officeDocument/2006/relationships/hyperlink" Target="https://www.sec.gov/ix?doc=/Archives/edgar/data/1811210/000162828023005540/lcid-20221231.htm" TargetMode="External"/><Relationship Id="rId4" Type="http://schemas.openxmlformats.org/officeDocument/2006/relationships/hyperlink" Target="https://www.sec.gov/ix?doc=/Archives/edgar/data/1811210/000162828023005540/lcid-20221231.htm" TargetMode="External"/><Relationship Id="rId5" Type="http://schemas.openxmlformats.org/officeDocument/2006/relationships/hyperlink" Target="https://www.sec.gov/ix?doc=/Archives/edgar/data/1811210/000162828023005540/lcid-20221231.htm" TargetMode="External"/><Relationship Id="rId6" Type="http://schemas.openxmlformats.org/officeDocument/2006/relationships/hyperlink" Target="http://www.sec.gov/ix?doc=/Archives/edgar/data/0001811210/000110465923031532/tm232032d5_def14a.htm" TargetMode="External"/><Relationship Id="rId7" Type="http://schemas.openxmlformats.org/officeDocument/2006/relationships/hyperlink" Target="https://www.sec.gov/ix?doc=/Archives/edgar/data/0001811210/000162828023016405/lcid-20230331.htm" TargetMode="External"/><Relationship Id="rId8" Type="http://schemas.openxmlformats.org/officeDocument/2006/relationships/hyperlink" Target="https://www.sec.gov/ix?doc=/Archives/edgar/data/1811210/000110465923007598/tm234549d1_8k.htm" TargetMode="External"/><Relationship Id="rId9" Type="http://schemas.openxmlformats.org/officeDocument/2006/relationships/hyperlink" Target="https://www.sec.gov/ix?doc=/Archives/edgar/data/1811210/000110465923008803/tm234958d1_8k.htm" TargetMode="External"/><Relationship Id="rId10" Type="http://schemas.openxmlformats.org/officeDocument/2006/relationships/hyperlink" Target="https://www.sec.gov/ix?doc=/Archives/edgar/data/1811210/000110465923010817/tm235543d1_8k.htm" TargetMode="External"/><Relationship Id="rId11" Type="http://schemas.openxmlformats.org/officeDocument/2006/relationships/hyperlink" Target="https://www.sec.gov/ix?doc=/Archives/edgar/data/1811210/000110465923023905/tm237398d1_8k.htm" TargetMode="External"/><Relationship Id="rId12" Type="http://schemas.openxmlformats.org/officeDocument/2006/relationships/hyperlink" Target="https://www.sec.gov/ix?doc=/Archives/edgar/data/1811210/000110465923028423/tm238322d1_8k.htm" TargetMode="External"/><Relationship Id="rId13" Type="http://schemas.openxmlformats.org/officeDocument/2006/relationships/hyperlink" Target="https://www.sec.gov/ix?doc=/Archives/edgar/data/1811210/000110465923037708/tm2310732d1_8k.htm" TargetMode="External"/><Relationship Id="rId14" Type="http://schemas.openxmlformats.org/officeDocument/2006/relationships/hyperlink" Target="https://www.sec.gov/ix?doc=/Archives/edgar/data/1811210/000110465923049685/tm2313633d1_8k.htm" TargetMode="External"/><Relationship Id="rId15" Type="http://schemas.openxmlformats.org/officeDocument/2006/relationships/hyperlink" Target="https://www.sec.gov/ix?doc=/Archives/edgar/data/1811210/000110465923054825/tm2314261d1_8k.htm" TargetMode="External"/><Relationship Id="rId16" Type="http://schemas.openxmlformats.org/officeDocument/2006/relationships/hyperlink" Target="https://www.sec.gov/Archives/edgar/data/1811210/000162828022004253/exhibit46descriptionofsecu.htm" TargetMode="External"/><Relationship Id="rId17" Type="http://schemas.openxmlformats.org/officeDocument/2006/relationships/hyperlink" Target="https://www.sec.gov/Archives/edgar/data/1811210/000110465923049685/tm2313633d1_ex10-1.htm" TargetMode="External"/><Relationship Id="rId18" Type="http://schemas.openxmlformats.org/officeDocument/2006/relationships/hyperlink" Target="https://www.sec.gov/Archives/edgar/data/1811210/000110465923049685/tm2313633d1_ex10-1.htm" TargetMode="External"/><Relationship Id="rId19" Type="http://schemas.openxmlformats.org/officeDocument/2006/relationships/image" Target="media/image1.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2316</Words>
  <CharactersWithSpaces>14530</CharactersWithSpaces>
  <Paragraphs>455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