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by Churchill Capital Corp IV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425 under the Securities Act of 1933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and deemed filed pursuant to Rule 14a-12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Subject Company: Churchill Capital Corp IV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 001-39408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center"/>
        <w:ind w:righ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Lucid Motors Presentation at the Deutsche Bank Auto Industry Conference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16, 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-706120</wp:posOffset>
            </wp:positionH>
            <wp:positionV relativeFrom="paragraph">
              <wp:posOffset>1648460</wp:posOffset>
            </wp:positionV>
            <wp:extent cx="713422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468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29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6468745</wp:posOffset>
            </wp:positionV>
            <wp:extent cx="71342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29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80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8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547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597535</wp:posOffset>
            </wp:positionV>
            <wp:extent cx="7196455" cy="58121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1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547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801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8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547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5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204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2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712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7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629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712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7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749935</wp:posOffset>
            </wp:positionV>
            <wp:extent cx="7196455" cy="58629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2021-06-16T14:23:22Z</dcterms:created>
  <dcterms:modified xsi:type="dcterms:W3CDTF">2021-06-16T14:23:22Z</dcterms:modified>
</cp:coreProperties>
</file>