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right"/>
        <w:ind w:right="359"/>
        <w:spacing w:after="0"/>
        <w:rPr>
          <w:sz w:val="20"/>
          <w:szCs w:val="20"/>
          <w:color w:val="auto"/>
        </w:rPr>
      </w:pPr>
      <w:r>
        <w:rPr>
          <w:rFonts w:ascii="Arial" w:cs="Arial" w:eastAsia="Arial" w:hAnsi="Arial"/>
          <w:sz w:val="18"/>
          <w:szCs w:val="18"/>
          <w:b w:val="1"/>
          <w:bCs w:val="1"/>
          <w:color w:val="auto"/>
        </w:rPr>
        <w:t> Filed Pursuant to Rule 424(b)(2)​</w:t>
      </w:r>
    </w:p>
    <w:p>
      <w:pPr>
        <w:jc w:val="right"/>
        <w:ind w:right="359"/>
        <w:spacing w:after="0"/>
        <w:rPr>
          <w:sz w:val="20"/>
          <w:szCs w:val="20"/>
          <w:color w:val="auto"/>
        </w:rPr>
      </w:pPr>
      <w:r>
        <w:rPr>
          <w:rFonts w:ascii="Arial" w:cs="Arial" w:eastAsia="Arial" w:hAnsi="Arial"/>
          <w:sz w:val="18"/>
          <w:szCs w:val="18"/>
          <w:b w:val="1"/>
          <w:bCs w:val="1"/>
          <w:color w:val="auto"/>
        </w:rPr>
        <w:t> Registration No. 333-267147​</w:t>
      </w:r>
    </w:p>
    <w:p>
      <w:pPr>
        <w:spacing w:after="0" w:line="178"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(To Prospectus Dated May 16, 2023)</w:t>
      </w:r>
    </w:p>
    <w:p>
      <w:pPr>
        <w:spacing w:after="0" w:line="189"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173,544,948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1271270</wp:posOffset>
            </wp:positionH>
            <wp:positionV relativeFrom="paragraph">
              <wp:posOffset>123190</wp:posOffset>
            </wp:positionV>
            <wp:extent cx="427799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995" cy="265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Lucid Group, Inc.</w:t>
      </w:r>
    </w:p>
    <w:p>
      <w:pPr>
        <w:spacing w:after="0" w:line="108" w:lineRule="exact"/>
        <w:rPr>
          <w:sz w:val="24"/>
          <w:szCs w:val="24"/>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153" w:lineRule="exact"/>
        <w:rPr>
          <w:sz w:val="24"/>
          <w:szCs w:val="24"/>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We are offering 173,544,948 shares of our Class A common stock, par value $0.0001 per share (“common stock”).</w:t>
      </w:r>
    </w:p>
    <w:p>
      <w:pPr>
        <w:spacing w:after="0" w:line="103" w:lineRule="exact"/>
        <w:rPr>
          <w:sz w:val="24"/>
          <w:szCs w:val="24"/>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Our common stock is listed on the Nasdaq Global Select Market (“Nasdaq”) under the symbol “LCID.” On May 31, 2023, the last reported sale price of our common stock was $7.76 per share.</w:t>
      </w:r>
    </w:p>
    <w:p>
      <w:pPr>
        <w:spacing w:after="0" w:line="103" w:lineRule="exact"/>
        <w:rPr>
          <w:sz w:val="24"/>
          <w:szCs w:val="24"/>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In addition, our majority stockholder and affiliate of the Public Investment Fund (“PIF”), Ayar Third Investment Company (“Ayar”),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common stock. We expect to settle the Ayar Investment on or about June 26, 2023 for an aggregate purchase price of approximately $1.8 billion, after expenses.</w:t>
      </w:r>
    </w:p>
    <w:p>
      <w:pPr>
        <w:spacing w:after="0" w:line="111" w:lineRule="exact"/>
        <w:rPr>
          <w:sz w:val="24"/>
          <w:szCs w:val="24"/>
          <w:color w:val="auto"/>
        </w:rPr>
      </w:pPr>
    </w:p>
    <w:p>
      <w:pPr>
        <w:jc w:val="both"/>
        <w:ind w:left="1260" w:right="639" w:firstLine="360"/>
        <w:spacing w:after="0" w:line="256"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07" w:lineRule="exact"/>
        <w:rPr>
          <w:sz w:val="24"/>
          <w:szCs w:val="24"/>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underwriters, or if there is only one underwriter, the term underwriters shall mean either the singular or plural as the context requires, has agreed to purchase the shares of common stock from us at a price of $6.83 per share, which will result in approximately $1.2 billion of net proceeds to us. The underwriters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 See “Underwriting.”</w:t>
      </w:r>
    </w:p>
    <w:p>
      <w:pPr>
        <w:spacing w:after="0" w:line="97"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Delivery of the shares of our common stock will be made on or about June 5, 2023.</w:t>
      </w:r>
    </w:p>
    <w:p>
      <w:pPr>
        <w:spacing w:after="0" w:line="154" w:lineRule="exact"/>
        <w:rPr>
          <w:sz w:val="24"/>
          <w:szCs w:val="24"/>
          <w:color w:val="auto"/>
        </w:rPr>
      </w:pPr>
    </w:p>
    <w:p>
      <w:pPr>
        <w:ind w:left="1260" w:right="519" w:firstLine="360"/>
        <w:spacing w:after="0" w:line="289" w:lineRule="auto"/>
        <w:rPr>
          <w:sz w:val="20"/>
          <w:szCs w:val="20"/>
          <w:color w:val="auto"/>
        </w:rPr>
      </w:pPr>
      <w:r>
        <w:rPr>
          <w:rFonts w:ascii="Arial" w:cs="Arial" w:eastAsia="Arial" w:hAnsi="Arial"/>
          <w:sz w:val="17"/>
          <w:szCs w:val="17"/>
          <w:b w:val="1"/>
          <w:bCs w:val="1"/>
          <w:color w:val="auto"/>
        </w:rPr>
        <w:t xml:space="preserve">Investing in our common stock involves certain risks. You should review carefully the risks and uncertainties described under the heading “Risk Factors” beginning on page </w:t>
      </w:r>
      <w:r>
        <w:rPr>
          <w:rFonts w:ascii="Arial" w:cs="Arial" w:eastAsia="Arial" w:hAnsi="Arial"/>
          <w:sz w:val="17"/>
          <w:szCs w:val="17"/>
          <w:b w:val="1"/>
          <w:bCs w:val="1"/>
          <w:u w:val="single" w:color="auto"/>
          <w:color w:val="0000EE"/>
        </w:rPr>
        <w:t>S-8</w:t>
      </w:r>
      <w:r>
        <w:rPr>
          <w:rFonts w:ascii="Arial" w:cs="Arial" w:eastAsia="Arial" w:hAnsi="Arial"/>
          <w:sz w:val="17"/>
          <w:szCs w:val="17"/>
          <w:b w:val="1"/>
          <w:bCs w:val="1"/>
          <w:color w:val="auto"/>
        </w:rPr>
        <w:t xml:space="preserve"> of this prospectus supplement and in the documents incorporated by reference into this prospectus supplement.</w:t>
      </w:r>
    </w:p>
    <w:p>
      <w:pPr>
        <w:spacing w:after="0" w:line="94" w:lineRule="exact"/>
        <w:rPr>
          <w:sz w:val="24"/>
          <w:szCs w:val="24"/>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182880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460"/>
        <w:spacing w:after="0"/>
        <w:rPr>
          <w:sz w:val="20"/>
          <w:szCs w:val="20"/>
          <w:color w:val="auto"/>
        </w:rPr>
      </w:pPr>
      <w:r>
        <w:rPr>
          <w:rFonts w:ascii="Arial" w:cs="Arial" w:eastAsia="Arial" w:hAnsi="Arial"/>
          <w:sz w:val="29"/>
          <w:szCs w:val="29"/>
          <w:b w:val="1"/>
          <w:bCs w:val="1"/>
          <w:color w:val="auto"/>
        </w:rPr>
        <w:t>BofA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228600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sectPr>
      </w:pPr>
    </w:p>
    <w:p>
      <w:pPr>
        <w:spacing w:after="0" w:line="200" w:lineRule="exact"/>
        <w:rPr>
          <w:sz w:val="24"/>
          <w:szCs w:val="24"/>
          <w:color w:val="auto"/>
        </w:rPr>
      </w:pPr>
    </w:p>
    <w:p>
      <w:pPr>
        <w:spacing w:after="0" w:line="375"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 Historical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Dividends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Ayar Investment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Considerations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7"/>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74"/>
              </w:rPr>
              <w:t xml:space="preserve">Page </w:t>
            </w:r>
            <w:r>
              <w:rPr>
                <w:rFonts w:ascii="Arial" w:cs="Arial" w:eastAsia="Arial" w:hAnsi="Arial"/>
                <w:sz w:val="28"/>
                <w:szCs w:val="28"/>
                <w:b w:val="1"/>
                <w:bCs w:val="1"/>
                <w:color w:val="auto"/>
                <w:w w:val="74"/>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03"/>
        </w:trPr>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4"/>
              </w:rPr>
              <w:t>S-ii</w:t>
            </w:r>
          </w:p>
        </w:tc>
        <w:tc>
          <w:tcPr>
            <w:tcW w:w="40" w:type="dxa"/>
            <w:vAlign w:val="bottom"/>
          </w:tcPr>
          <w:p>
            <w:pPr>
              <w:spacing w:after="0" w:line="196" w:lineRule="exact"/>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3"/>
              </w:rPr>
              <w:t>S-iii</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0"/>
              </w:rPr>
              <w:t>S-iv</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S-1</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S-5</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8"/>
              </w:rPr>
              <w:t>S-8</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-12</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-13</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-16</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-17</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4"/>
              </w:rPr>
              <w:t>S</w:t>
            </w:r>
            <w:r>
              <w:rPr>
                <w:rFonts w:ascii="Arial" w:cs="Arial" w:eastAsia="Arial" w:hAnsi="Arial"/>
                <w:sz w:val="18"/>
                <w:szCs w:val="18"/>
                <w:b w:val="1"/>
                <w:bCs w:val="1"/>
                <w:color w:val="000000"/>
                <w:w w:val="84"/>
              </w:rPr>
              <w:t>​</w:t>
            </w:r>
            <w:r>
              <w:rPr>
                <w:rFonts w:ascii="Arial" w:cs="Arial" w:eastAsia="Arial" w:hAnsi="Arial"/>
                <w:sz w:val="18"/>
                <w:szCs w:val="18"/>
                <w:color w:val="0000EE"/>
                <w:w w:val="84"/>
              </w:rPr>
              <w:t>-24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2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0000EE"/>
            </w:tcBorders>
            <w:gridSpan w:val="2"/>
          </w:tcPr>
          <w:p>
            <w:pPr>
              <w:jc w:val="right"/>
              <w:spacing w:after="0"/>
              <w:rPr>
                <w:sz w:val="20"/>
                <w:szCs w:val="20"/>
                <w:color w:val="auto"/>
              </w:rPr>
            </w:pPr>
            <w:r>
              <w:rPr>
                <w:rFonts w:ascii="Arial" w:cs="Arial" w:eastAsia="Arial" w:hAnsi="Arial"/>
                <w:sz w:val="13"/>
                <w:szCs w:val="13"/>
                <w:color w:val="0000EE"/>
                <w:w w:val="79"/>
              </w:rPr>
              <w:t>S</w:t>
            </w:r>
            <w:r>
              <w:rPr>
                <w:rFonts w:ascii="Arial" w:cs="Arial" w:eastAsia="Arial" w:hAnsi="Arial"/>
                <w:sz w:val="13"/>
                <w:szCs w:val="13"/>
                <w:b w:val="1"/>
                <w:bCs w:val="1"/>
                <w:color w:val="000000"/>
                <w:w w:val="79"/>
              </w:rPr>
              <w:t>​</w:t>
            </w:r>
            <w:r>
              <w:rPr>
                <w:rFonts w:ascii="Arial" w:cs="Arial" w:eastAsia="Arial" w:hAnsi="Arial"/>
                <w:sz w:val="13"/>
                <w:szCs w:val="13"/>
                <w:color w:val="0000EE"/>
                <w:w w:val="79"/>
              </w:rPr>
              <w:t>-24</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439"/>
        </w:trPr>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Page</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ind w:left="60"/>
              <w:spacing w:after="0"/>
              <w:rPr>
                <w:sz w:val="20"/>
                <w:szCs w:val="20"/>
                <w:color w:val="auto"/>
              </w:rPr>
            </w:pPr>
            <w:r>
              <w:rPr>
                <w:rFonts w:ascii="Arial" w:cs="Arial" w:eastAsia="Arial" w:hAnsi="Arial"/>
                <w:sz w:val="18"/>
                <w:szCs w:val="18"/>
                <w:b w:val="1"/>
                <w:bCs w:val="1"/>
                <w:color w:val="auto"/>
              </w:rPr>
              <w:t>​ ​</w:t>
            </w:r>
          </w:p>
        </w:tc>
        <w:tc>
          <w:tcPr>
            <w:tcW w:w="1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r>
    </w:tbl>
    <w:p>
      <w:pPr>
        <w:spacing w:after="0" w:line="13" w:lineRule="exact"/>
        <w:rPr>
          <w:sz w:val="20"/>
          <w:szCs w:val="20"/>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ii</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iv</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v</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viii</w:t>
      </w:r>
      <w:r>
        <w:rPr>
          <w:rFonts w:ascii="Arial" w:cs="Arial" w:eastAsia="Arial" w:hAnsi="Arial"/>
          <w:sz w:val="18"/>
          <w:szCs w:val="18"/>
          <w:b w:val="1"/>
          <w:bCs w:val="1"/>
          <w:color w:val="auto"/>
        </w:rPr>
        <w:t>​</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9</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10</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26</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29</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30</w:t>
      </w:r>
    </w:p>
    <w:p>
      <w:pPr>
        <w:spacing w:after="0" w:line="50"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p>
    <w:p>
      <w:pPr>
        <w:spacing w:after="0" w:line="62"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p>
    <w:p>
      <w:pPr>
        <w:spacing w:after="0" w:line="63" w:lineRule="exact"/>
        <w:rPr>
          <w:rFonts w:ascii="Arial" w:cs="Arial" w:eastAsia="Arial" w:hAnsi="Arial"/>
          <w:sz w:val="18"/>
          <w:szCs w:val="18"/>
          <w:color w:val="auto"/>
        </w:rPr>
      </w:pPr>
    </w:p>
    <w:p>
      <w:pPr>
        <w:ind w:left="200" w:hanging="111"/>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45</w:t>
      </w:r>
    </w:p>
    <w:p>
      <w:pPr>
        <w:sectPr>
          <w:pgSz w:w="11900" w:h="16838" w:orient="portrait"/>
          <w:cols w:equalWidth="0" w:num="2">
            <w:col w:w="8180" w:space="720"/>
            <w:col w:w="9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w:t>
      </w:r>
    </w:p>
    <w:p>
      <w:pPr>
        <w:spacing w:after="0" w:line="120"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You should read both this prospectus supplement and the accompanying prospectus, together with additional information described under the heading “Where You Can Find More Information” in this prospectus supplement and the accompanying prospectus.</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Neither we nor the underwriters have authorized anyone to provide you with information that is in addition to or different from the information included or incorporated by reference into this prospectus supplement or the accompanying prospectus. Neither we nor the underwriters are making an offer of these securities in any jurisdiction where such offer is not permitted.</w:t>
      </w:r>
    </w:p>
    <w:p>
      <w:pPr>
        <w:spacing w:after="0" w:line="11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filed with the SEC a registration statement on Form S-3 under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w:t>
      </w:r>
    </w:p>
    <w:p>
      <w:pPr>
        <w:spacing w:after="0" w:line="119"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9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4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31">
        <w:r>
          <w:rPr>
            <w:rFonts w:ascii="Arial" w:cs="Arial" w:eastAsia="Arial" w:hAnsi="Arial"/>
            <w:sz w:val="18"/>
            <w:szCs w:val="18"/>
            <w:u w:val="single" w:color="auto"/>
            <w:color w:val="0000EE"/>
          </w:rPr>
          <w:t>December 31, 2022</w:t>
        </w:r>
      </w:hyperlink>
      <w:r>
        <w:rPr>
          <w:rFonts w:ascii="Arial" w:cs="Arial" w:eastAsia="Arial" w:hAnsi="Arial"/>
          <w:sz w:val="18"/>
          <w:szCs w:val="18"/>
          <w:color w:val="auto"/>
        </w:rPr>
        <w:t>, filed with the SEC on February 28, 2023;</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w:t>
      </w:r>
      <w:hyperlink r:id="rId32">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filed with the SEC on May 8, 2023;</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 xml:space="preserve">information specifically incorporated by reference into our Annual Report on Form 10-K for the </w:t>
      </w:r>
      <w:hyperlink r:id="rId33">
        <w:r>
          <w:rPr>
            <w:rFonts w:ascii="Arial" w:cs="Arial" w:eastAsia="Arial" w:hAnsi="Arial"/>
            <w:sz w:val="18"/>
            <w:szCs w:val="18"/>
            <w:color w:val="auto"/>
          </w:rPr>
          <w:t xml:space="preserve">fiscal year ended </w:t>
        </w:r>
        <w:r>
          <w:rPr>
            <w:rFonts w:ascii="Arial" w:cs="Arial" w:eastAsia="Arial" w:hAnsi="Arial"/>
            <w:sz w:val="18"/>
            <w:szCs w:val="18"/>
            <w:u w:val="single" w:color="auto"/>
            <w:color w:val="0000EE"/>
          </w:rPr>
          <w:t>December 31, 2022</w:t>
        </w:r>
        <w:r>
          <w:rPr>
            <w:rFonts w:ascii="Arial" w:cs="Arial" w:eastAsia="Arial" w:hAnsi="Arial"/>
            <w:sz w:val="18"/>
            <w:szCs w:val="18"/>
            <w:color w:val="auto"/>
          </w:rPr>
          <w:t xml:space="preserve"> from </w:t>
        </w:r>
        <w:r>
          <w:rPr>
            <w:rFonts w:ascii="Arial" w:cs="Arial" w:eastAsia="Arial" w:hAnsi="Arial"/>
            <w:sz w:val="18"/>
            <w:szCs w:val="18"/>
            <w:u w:val="single" w:color="auto"/>
            <w:color w:val="0000EE"/>
          </w:rPr>
          <w:t>our Definitive Proxy Statement on Schedule 14A filed</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with the SEC on March 13, 2023;</w:t>
        </w:r>
      </w:hyperlink>
    </w:p>
    <w:p>
      <w:pPr>
        <w:spacing w:after="0" w:line="75" w:lineRule="exact"/>
        <w:rPr>
          <w:rFonts w:ascii="Arial" w:cs="Arial" w:eastAsia="Arial" w:hAnsi="Arial"/>
          <w:sz w:val="18"/>
          <w:szCs w:val="18"/>
          <w:u w:val="single" w:color="auto"/>
          <w:color w:val="0000EE"/>
        </w:rPr>
      </w:pPr>
    </w:p>
    <w:p>
      <w:pPr>
        <w:ind w:left="1800" w:right="579" w:hanging="180"/>
        <w:spacing w:after="0" w:line="263" w:lineRule="auto"/>
        <w:tabs>
          <w:tab w:leader="none" w:pos="1800" w:val="left"/>
        </w:tabs>
        <w:numPr>
          <w:ilvl w:val="0"/>
          <w:numId w:val="2"/>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filed with the SEC on </w:t>
      </w:r>
      <w:hyperlink r:id="rId34">
        <w:r>
          <w:rPr>
            <w:rFonts w:ascii="Arial" w:cs="Arial" w:eastAsia="Arial" w:hAnsi="Arial"/>
            <w:sz w:val="18"/>
            <w:szCs w:val="18"/>
            <w:u w:val="single" w:color="auto"/>
            <w:color w:val="0000EE"/>
          </w:rPr>
          <w:t>January 27,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February 1, 2023</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February 6,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February 22,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March 3,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March 28,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April 25,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May 2, 2023</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42">
        <w:r>
          <w:rPr>
            <w:rFonts w:ascii="Arial" w:cs="Arial" w:eastAsia="Arial" w:hAnsi="Arial"/>
            <w:sz w:val="18"/>
            <w:szCs w:val="18"/>
            <w:u w:val="single" w:color="auto"/>
            <w:color w:val="0000EE"/>
          </w:rPr>
          <w:t>May 31, 2023</w:t>
        </w:r>
      </w:hyperlink>
      <w:r>
        <w:rPr>
          <w:rFonts w:ascii="Arial" w:cs="Arial" w:eastAsia="Arial" w:hAnsi="Arial"/>
          <w:sz w:val="18"/>
          <w:szCs w:val="18"/>
          <w:color w:val="000000"/>
        </w:rPr>
        <w:t>; and</w:t>
      </w:r>
    </w:p>
    <w:p>
      <w:pPr>
        <w:spacing w:after="0" w:line="75" w:lineRule="exact"/>
        <w:rPr>
          <w:rFonts w:ascii="Arial" w:cs="Arial" w:eastAsia="Arial" w:hAnsi="Arial"/>
          <w:sz w:val="18"/>
          <w:szCs w:val="18"/>
          <w:color w:val="000000"/>
        </w:rPr>
      </w:pPr>
    </w:p>
    <w:p>
      <w:pPr>
        <w:ind w:left="1800" w:right="49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Registration Statement on </w:t>
      </w:r>
      <w:hyperlink r:id="rId4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001-39408), filed with the SEC on July 23, 2021, including any amendments or reports filed for the purpose of updating such description</w:t>
      </w:r>
    </w:p>
    <w:p>
      <w:pPr>
        <w:spacing w:after="0" w:line="116" w:lineRule="exact"/>
        <w:rPr>
          <w:rFonts w:ascii="Arial" w:cs="Arial" w:eastAsia="Arial" w:hAnsi="Arial"/>
          <w:sz w:val="18"/>
          <w:szCs w:val="18"/>
          <w:color w:val="0000EE"/>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rFonts w:ascii="Arial" w:cs="Arial" w:eastAsia="Arial" w:hAnsi="Arial"/>
          <w:sz w:val="18"/>
          <w:szCs w:val="18"/>
          <w:color w:val="0000EE"/>
        </w:rPr>
      </w:pPr>
    </w:p>
    <w:p>
      <w:pPr>
        <w:ind w:left="1260" w:right="499" w:firstLine="360"/>
        <w:spacing w:after="0" w:line="252" w:lineRule="auto"/>
        <w:rPr>
          <w:sz w:val="20"/>
          <w:szCs w:val="20"/>
          <w:color w:val="auto"/>
        </w:rPr>
      </w:pPr>
      <w:r>
        <w:rPr>
          <w:rFonts w:ascii="Arial" w:cs="Arial" w:eastAsia="Arial" w:hAnsi="Arial"/>
          <w:sz w:val="18"/>
          <w:szCs w:val="18"/>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334" w:lineRule="exact"/>
        <w:rPr>
          <w:rFonts w:ascii="Arial" w:cs="Arial" w:eastAsia="Arial" w:hAnsi="Arial"/>
          <w:sz w:val="18"/>
          <w:szCs w:val="18"/>
          <w:color w:val="0000EE"/>
        </w:rPr>
      </w:pPr>
    </w:p>
    <w:p>
      <w:pPr>
        <w:ind w:left="5200"/>
        <w:spacing w:after="0"/>
        <w:rPr>
          <w:sz w:val="20"/>
          <w:szCs w:val="20"/>
          <w:color w:val="auto"/>
        </w:rPr>
      </w:pPr>
      <w:r>
        <w:rPr>
          <w:rFonts w:ascii="Arial" w:cs="Arial" w:eastAsia="Arial" w:hAnsi="Arial"/>
          <w:sz w:val="18"/>
          <w:szCs w:val="18"/>
          <w:color w:val="auto"/>
        </w:rPr>
        <w:t>S-iii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to reduce our operating expenses that was announced on March 28, 2023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92" w:lineRule="exact"/>
        <w:rPr>
          <w:sz w:val="20"/>
          <w:szCs w:val="20"/>
          <w:color w:val="auto"/>
        </w:rPr>
      </w:pPr>
    </w:p>
    <w:p>
      <w:pPr>
        <w:jc w:val="both"/>
        <w:ind w:left="1800" w:right="45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57"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62" w:lineRule="exact"/>
        <w:rPr>
          <w:rFonts w:ascii="Arial" w:cs="Arial" w:eastAsia="Arial" w:hAnsi="Arial"/>
          <w:sz w:val="18"/>
          <w:szCs w:val="18"/>
          <w:color w:val="auto"/>
        </w:rPr>
      </w:pPr>
    </w:p>
    <w:p>
      <w:pPr>
        <w:ind w:left="1800" w:right="99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its intended benefits to the extent or as quickly as anticipated;</w:t>
      </w:r>
    </w:p>
    <w:p>
      <w:pPr>
        <w:spacing w:after="0" w:line="86"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intended use of the net proceeds from this offering;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this prospectus supplement or our other filings with the SEC.</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44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550735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46"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w:t>
      </w:r>
    </w:p>
    <w:p>
      <w:pPr>
        <w:ind w:left="1280" w:right="419"/>
        <w:spacing w:after="0" w:line="234" w:lineRule="auto"/>
        <w:rPr>
          <w:sz w:val="20"/>
          <w:szCs w:val="20"/>
          <w:color w:val="auto"/>
        </w:rPr>
      </w:pPr>
      <w:r>
        <w:rPr>
          <w:rFonts w:ascii="Arial" w:cs="Arial" w:eastAsia="Arial" w:hAnsi="Arial"/>
          <w:sz w:val="18"/>
          <w:szCs w:val="18"/>
          <w:i w:val="1"/>
          <w:iCs w:val="1"/>
          <w:color w:val="auto"/>
        </w:rPr>
        <w:t>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w:t>
      </w:r>
    </w:p>
    <w:p>
      <w:pPr>
        <w:spacing w:after="0" w:line="1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35" w:lineRule="exact"/>
        <w:rPr>
          <w:sz w:val="20"/>
          <w:szCs w:val="20"/>
          <w:color w:val="auto"/>
        </w:rPr>
      </w:pPr>
    </w:p>
    <w:p>
      <w:pPr>
        <w:ind w:left="1280" w:right="519" w:firstLine="360"/>
        <w:spacing w:after="0" w:line="291"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35" w:lineRule="exact"/>
        <w:rPr>
          <w:sz w:val="20"/>
          <w:szCs w:val="20"/>
          <w:color w:val="auto"/>
        </w:rPr>
      </w:pPr>
    </w:p>
    <w:p>
      <w:pPr>
        <w:ind w:left="1280" w:right="459" w:firstLine="360"/>
        <w:spacing w:after="0" w:line="250"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14" w:lineRule="exact"/>
        <w:rPr>
          <w:sz w:val="20"/>
          <w:szCs w:val="20"/>
          <w:color w:val="auto"/>
        </w:rPr>
      </w:pPr>
    </w:p>
    <w:p>
      <w:pPr>
        <w:ind w:left="1280" w:right="499" w:firstLine="360"/>
        <w:spacing w:after="0" w:line="246"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game- changing EPA-estimated range of up to 516 miles on a single charge (depending on vehicle configuration). This range is enabled by an efficient, powerful powertrain that Lucid developed and builds in -house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and ample cargo space despite a smaller exterior footprint. The highly aerodynamic design of the Lucid Air provides longer range, driving faster miles-per-minute charging and the ability to provide equivalent range with a smaller, lower-cost battery pack.</w:t>
      </w:r>
    </w:p>
    <w:p>
      <w:pPr>
        <w:spacing w:after="0" w:line="129"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will have a manufacturing capacity of</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155,000 units per year upon completion.</w:t>
      </w:r>
    </w:p>
    <w:p>
      <w:pPr>
        <w:spacing w:after="0" w:line="128" w:lineRule="exact"/>
        <w:rPr>
          <w:sz w:val="20"/>
          <w:szCs w:val="20"/>
          <w:color w:val="auto"/>
        </w:rPr>
      </w:pPr>
    </w:p>
    <w:p>
      <w:pPr>
        <w:ind w:left="1280" w:right="399" w:firstLine="360"/>
        <w:spacing w:after="0" w:line="259" w:lineRule="auto"/>
        <w:rPr>
          <w:sz w:val="20"/>
          <w:szCs w:val="20"/>
          <w:color w:val="auto"/>
        </w:rPr>
      </w:pPr>
      <w:r>
        <w:rPr>
          <w:rFonts w:ascii="Arial" w:cs="Arial" w:eastAsia="Arial" w:hAnsi="Arial"/>
          <w:sz w:val="17"/>
          <w:szCs w:val="17"/>
          <w:color w:val="auto"/>
        </w:rPr>
        <w:t>We began delivering the Lucid Air to customers in October 2021, and have now grown the Lucid Air model line to multiple trim and powertrain variants spanning a range of price points. The Lucid Air Sapphire, our highest performance Air, was announced in August 2022 and is expected to reach customers in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right="619"/>
        <w:spacing w:after="0" w:line="245" w:lineRule="auto"/>
        <w:rPr>
          <w:sz w:val="20"/>
          <w:szCs w:val="20"/>
          <w:color w:val="auto"/>
        </w:rPr>
      </w:pPr>
      <w:r>
        <w:rPr>
          <w:rFonts w:ascii="Arial" w:cs="Arial" w:eastAsia="Arial" w:hAnsi="Arial"/>
          <w:sz w:val="18"/>
          <w:szCs w:val="18"/>
          <w:color w:val="auto"/>
        </w:rPr>
        <w:t>7373 Gateway Blvd. Newark, CA 94560 and our telephone number at that address is (510) 648-3553. Our website is located</w:t>
      </w:r>
    </w:p>
    <w:p>
      <w:pPr>
        <w:sectPr>
          <w:pgSz w:w="11900" w:h="16838" w:orient="portrait"/>
          <w:cols w:equalWidth="0" w:num="1">
            <w:col w:w="9879"/>
          </w:cols>
          <w:pgMar w:left="580" w:top="90"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280" w:right="439"/>
        <w:spacing w:after="0" w:line="263" w:lineRule="auto"/>
        <w:rPr>
          <w:sz w:val="20"/>
          <w:szCs w:val="20"/>
          <w:color w:val="auto"/>
        </w:rPr>
      </w:pPr>
      <w:r>
        <w:rPr>
          <w:rFonts w:ascii="Arial" w:cs="Arial" w:eastAsia="Arial" w:hAnsi="Arial"/>
          <w:sz w:val="18"/>
          <w:szCs w:val="18"/>
          <w:color w:val="auto"/>
        </w:rPr>
        <w:t>at https://www.lucidmotors.com. We do not incorporate the information contained on, or accessible through, our corporate website into this prospectus supplement, and you should not consider it part of this prospectus supplement.</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As of March 31, 2023, PIF, both directly and indirectly through Ayar, owned approximately 60.5%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559" w:firstLine="360"/>
        <w:spacing w:after="0" w:line="263" w:lineRule="auto"/>
        <w:rPr>
          <w:sz w:val="20"/>
          <w:szCs w:val="20"/>
          <w:color w:val="auto"/>
        </w:rPr>
      </w:pPr>
      <w:r>
        <w:rPr>
          <w:rFonts w:ascii="Arial" w:cs="Arial" w:eastAsia="Arial" w:hAnsi="Arial"/>
          <w:sz w:val="18"/>
          <w:szCs w:val="18"/>
          <w:color w:val="auto"/>
        </w:rPr>
        <w:t>The following is a brief summary of certain terms of this offering. For a more complete description of the terms of the common stock offered hereby, see the “Description of Capital Stock” section of the accompanying prospectus.</w:t>
      </w:r>
    </w:p>
    <w:p>
      <w:pPr>
        <w:spacing w:after="0" w:line="103" w:lineRule="exact"/>
        <w:rPr>
          <w:sz w:val="20"/>
          <w:szCs w:val="20"/>
          <w:color w:val="auto"/>
        </w:rPr>
      </w:pPr>
    </w:p>
    <w:p>
      <w:pPr>
        <w:ind w:left="1280" w:right="499"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Any investment in our common stock involves a high degree of risk. You should carefully consider the information set forth under “Risk Factors” beginning on page </w:t>
      </w:r>
      <w:r>
        <w:rPr>
          <w:rFonts w:ascii="Arial" w:cs="Arial" w:eastAsia="Arial" w:hAnsi="Arial"/>
          <w:sz w:val="18"/>
          <w:szCs w:val="18"/>
          <w:u w:val="single" w:color="auto"/>
          <w:color w:val="0000EE"/>
        </w:rPr>
        <w:t>S-8</w:t>
      </w:r>
      <w:r>
        <w:rPr>
          <w:rFonts w:ascii="Arial" w:cs="Arial" w:eastAsia="Arial" w:hAnsi="Arial"/>
          <w:sz w:val="18"/>
          <w:szCs w:val="18"/>
          <w:color w:val="auto"/>
        </w:rPr>
        <w:t xml:space="preserve"> of this prospectus supplement and “Risk Factors” in our Quarterly Report on Form 10-Q for the three months ended </w:t>
      </w:r>
      <w:hyperlink r:id="rId32">
        <w:r>
          <w:rPr>
            <w:rFonts w:ascii="Arial" w:cs="Arial" w:eastAsia="Arial" w:hAnsi="Arial"/>
            <w:sz w:val="18"/>
            <w:szCs w:val="18"/>
            <w:u w:val="single" w:color="auto"/>
            <w:color w:val="0000EE"/>
          </w:rPr>
          <w:t>March 31,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other information included or incorporated by reference into this prospectus supplement and the accompanying prospectus.</w:t>
      </w:r>
    </w:p>
    <w:p>
      <w:pPr>
        <w:sectPr>
          <w:pgSz w:w="11900" w:h="16838" w:orient="portrait"/>
          <w:cols w:equalWidth="0" w:num="1">
            <w:col w:w="9879"/>
          </w:cols>
          <w:pgMar w:left="580" w:top="90" w:right="1440" w:bottom="1440" w:gutter="0" w:footer="0" w:header="0"/>
        </w:sectPr>
      </w:pPr>
    </w:p>
    <w:p>
      <w:pPr>
        <w:spacing w:after="0" w:line="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Common stock offered by us</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Ayar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460" w:hanging="179"/>
        <w:spacing w:after="0" w:line="343" w:lineRule="auto"/>
        <w:rPr>
          <w:sz w:val="20"/>
          <w:szCs w:val="20"/>
          <w:color w:val="auto"/>
        </w:rPr>
      </w:pPr>
      <w:r>
        <w:rPr>
          <w:rFonts w:ascii="Arial" w:cs="Arial" w:eastAsia="Arial" w:hAnsi="Arial"/>
          <w:sz w:val="15"/>
          <w:szCs w:val="15"/>
          <w:b w:val="1"/>
          <w:bCs w:val="1"/>
          <w:color w:val="auto"/>
        </w:rPr>
        <w:t>Common stock to be outstanding after this offering and the Ayar Investment</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460" w:right="280" w:hanging="179"/>
        <w:spacing w:after="0" w:line="266" w:lineRule="auto"/>
        <w:rPr>
          <w:sz w:val="20"/>
          <w:szCs w:val="20"/>
          <w:color w:val="auto"/>
        </w:rPr>
      </w:pPr>
      <w:r>
        <w:rPr>
          <w:rFonts w:ascii="Arial" w:cs="Arial" w:eastAsia="Arial" w:hAnsi="Arial"/>
          <w:sz w:val="18"/>
          <w:szCs w:val="18"/>
          <w:b w:val="1"/>
          <w:bCs w:val="1"/>
          <w:color w:val="auto"/>
        </w:rPr>
        <w:t>Nasdaq Global Select Market ticker symbol for common stock</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173,544,948 shares of our common stock.</w:t>
      </w:r>
    </w:p>
    <w:p>
      <w:pPr>
        <w:spacing w:after="0" w:line="117"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stock. We expect to settle the Ayar Investment on or about June 26, 2023, for an aggregate purchase price of approximately $1.8 billion, after expenses.</w:t>
      </w:r>
    </w:p>
    <w:p>
      <w:pPr>
        <w:spacing w:after="0" w:line="124" w:lineRule="exact"/>
        <w:rPr>
          <w:sz w:val="20"/>
          <w:szCs w:val="20"/>
          <w:color w:val="auto"/>
        </w:rPr>
      </w:pPr>
    </w:p>
    <w:p>
      <w:pPr>
        <w:ind w:right="539"/>
        <w:spacing w:after="0" w:line="257"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20" w:lineRule="exact"/>
        <w:rPr>
          <w:sz w:val="20"/>
          <w:szCs w:val="20"/>
          <w:color w:val="auto"/>
        </w:rPr>
      </w:pPr>
    </w:p>
    <w:p>
      <w:pPr>
        <w:ind w:right="439"/>
        <w:spacing w:after="0" w:line="259" w:lineRule="auto"/>
        <w:rPr>
          <w:sz w:val="20"/>
          <w:szCs w:val="20"/>
          <w:color w:val="auto"/>
        </w:rPr>
      </w:pPr>
      <w:r>
        <w:rPr>
          <w:rFonts w:ascii="Arial" w:cs="Arial" w:eastAsia="Arial" w:hAnsi="Arial"/>
          <w:sz w:val="18"/>
          <w:szCs w:val="18"/>
          <w:color w:val="auto"/>
        </w:rPr>
        <w:t>The shares of our common stock purchased by Ayar in the Ayar Investment will be subject to our existing investor rights agreement, as amended, including the requirement to include such shares on a resale registration statement to be filed by us.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2,272,623,825 shares of our common stock.</w:t>
      </w:r>
    </w:p>
    <w:p>
      <w:pPr>
        <w:spacing w:after="0" w:line="117" w:lineRule="exact"/>
        <w:rPr>
          <w:sz w:val="20"/>
          <w:szCs w:val="20"/>
          <w:color w:val="auto"/>
        </w:rPr>
      </w:pPr>
    </w:p>
    <w:p>
      <w:pPr>
        <w:ind w:right="499"/>
        <w:spacing w:after="0" w:line="279" w:lineRule="auto"/>
        <w:rPr>
          <w:sz w:val="20"/>
          <w:szCs w:val="20"/>
          <w:color w:val="auto"/>
        </w:rPr>
      </w:pPr>
      <w:r>
        <w:rPr>
          <w:rFonts w:ascii="Arial" w:cs="Arial" w:eastAsia="Arial" w:hAnsi="Arial"/>
          <w:sz w:val="17"/>
          <w:szCs w:val="17"/>
          <w:color w:val="auto"/>
        </w:rPr>
        <w:t xml:space="preserve">We intend to use the net proceeds from the sale of our common stock in this offering and the Ayar Investment for general corporate purposes, which may include capital expenditures and working capital. See “Use of Proceeds” on page </w:t>
      </w:r>
      <w:r>
        <w:rPr>
          <w:rFonts w:ascii="Arial" w:cs="Arial" w:eastAsia="Arial" w:hAnsi="Arial"/>
          <w:sz w:val="17"/>
          <w:szCs w:val="17"/>
          <w:u w:val="single" w:color="auto"/>
          <w:color w:val="0000EE"/>
        </w:rPr>
        <w:t>S-12</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“LCID.”</w:t>
      </w:r>
    </w:p>
    <w:p>
      <w:pPr>
        <w:spacing w:after="0" w:line="245" w:lineRule="exact"/>
        <w:rPr>
          <w:sz w:val="20"/>
          <w:szCs w:val="20"/>
          <w:color w:val="auto"/>
        </w:rPr>
      </w:pPr>
    </w:p>
    <w:p>
      <w:pPr>
        <w:sectPr>
          <w:pgSz w:w="11900" w:h="16838" w:orient="portrait"/>
          <w:cols w:equalWidth="0" w:num="2">
            <w:col w:w="3720" w:space="580"/>
            <w:col w:w="557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8"/>
              </w:rPr>
              <w:t>Investing in our common stock involves risk. See “Risk Factors” in</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this prospectus supplement and “Risk Factors” in our Quarterly</w:t>
            </w:r>
          </w:p>
        </w:tc>
      </w:tr>
      <w:tr>
        <w:trPr>
          <w:trHeight w:val="190"/>
        </w:trPr>
        <w:tc>
          <w:tcPr>
            <w:tcW w:w="2540" w:type="dxa"/>
            <w:vAlign w:val="bottom"/>
          </w:tcPr>
          <w:p>
            <w:pPr>
              <w:spacing w:after="0"/>
              <w:rPr>
                <w:sz w:val="16"/>
                <w:szCs w:val="16"/>
                <w:color w:val="auto"/>
              </w:rPr>
            </w:pPr>
          </w:p>
        </w:tc>
        <w:tc>
          <w:tcPr>
            <w:tcW w:w="5640" w:type="dxa"/>
            <w:vAlign w:val="bottom"/>
            <w:gridSpan w:val="3"/>
          </w:tcPr>
          <w:p>
            <w:pPr>
              <w:ind w:left="480"/>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Report on Form 10-Q for the three months ended </w:t>
            </w:r>
            <w:hyperlink r:id="rId32">
              <w:r>
                <w:rPr>
                  <w:rFonts w:ascii="Arial" w:cs="Arial" w:eastAsia="Arial" w:hAnsi="Arial"/>
                  <w:sz w:val="18"/>
                  <w:szCs w:val="18"/>
                  <w:color w:val="0000EE"/>
                  <w:w w:val="97"/>
                </w:rPr>
                <w:t>March 31, 2023,</w:t>
              </w:r>
            </w:hyperlink>
          </w:p>
        </w:tc>
      </w:tr>
      <w:tr>
        <w:trPr>
          <w:trHeight w:val="20"/>
        </w:trPr>
        <w:tc>
          <w:tcPr>
            <w:tcW w:w="25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5"/>
              </w:rPr>
              <w:t>and the other information included or incorporated by reference into</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5"/>
              </w:rPr>
              <w:t>this prospectus supplement and the accompanying prospectus for a</w:t>
            </w:r>
          </w:p>
        </w:tc>
      </w:tr>
      <w:tr>
        <w:trPr>
          <w:trHeight w:val="216"/>
        </w:trPr>
        <w:tc>
          <w:tcPr>
            <w:tcW w:w="2540" w:type="dxa"/>
            <w:vAlign w:val="bottom"/>
          </w:tcPr>
          <w:p>
            <w:pPr>
              <w:spacing w:after="0"/>
              <w:rPr>
                <w:sz w:val="18"/>
                <w:szCs w:val="18"/>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w w:val="97"/>
              </w:rPr>
              <w:t>discussion of factors you should carefully consider before deciding</w:t>
            </w:r>
          </w:p>
        </w:tc>
      </w:tr>
      <w:tr>
        <w:trPr>
          <w:trHeight w:val="230"/>
        </w:trPr>
        <w:tc>
          <w:tcPr>
            <w:tcW w:w="2540" w:type="dxa"/>
            <w:vAlign w:val="bottom"/>
          </w:tcPr>
          <w:p>
            <w:pPr>
              <w:spacing w:after="0"/>
              <w:rPr>
                <w:sz w:val="20"/>
                <w:szCs w:val="20"/>
                <w:color w:val="auto"/>
              </w:rPr>
            </w:pP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to invest in our common stock.</w:t>
            </w: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Transfer agent and registrar</w:t>
            </w:r>
          </w:p>
        </w:tc>
        <w:tc>
          <w:tcPr>
            <w:tcW w:w="5640" w:type="dxa"/>
            <w:vAlign w:val="bottom"/>
            <w:gridSpan w:val="3"/>
          </w:tcPr>
          <w:p>
            <w:pPr>
              <w:ind w:left="480"/>
              <w:spacing w:after="0"/>
              <w:rPr>
                <w:sz w:val="20"/>
                <w:szCs w:val="20"/>
                <w:color w:val="auto"/>
              </w:rPr>
            </w:pPr>
            <w:r>
              <w:rPr>
                <w:rFonts w:ascii="Arial" w:cs="Arial" w:eastAsia="Arial" w:hAnsi="Arial"/>
                <w:sz w:val="18"/>
                <w:szCs w:val="18"/>
                <w:color w:val="auto"/>
              </w:rPr>
              <w:t>Equiniti Trust Company.</w:t>
            </w:r>
          </w:p>
        </w:tc>
      </w:tr>
    </w:tbl>
    <w:p>
      <w:pPr>
        <w:spacing w:after="0" w:line="134" w:lineRule="exact"/>
        <w:rPr>
          <w:sz w:val="20"/>
          <w:szCs w:val="20"/>
          <w:color w:val="auto"/>
        </w:rPr>
      </w:pPr>
    </w:p>
    <w:p>
      <w:pPr>
        <w:jc w:val="both"/>
        <w:ind w:left="1280" w:right="419" w:firstLine="360"/>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March 31, 2023, does not give effect to any awards of stock options or restricted stock units (“RSUs”) after March 31, 2023 or the exercise of warrants or stock options or the settlement of RSUs after March 31, 2023, and excludes:</w:t>
      </w:r>
    </w:p>
    <w:p>
      <w:pPr>
        <w:spacing w:after="0" w:line="79" w:lineRule="exact"/>
        <w:rPr>
          <w:sz w:val="20"/>
          <w:szCs w:val="20"/>
          <w:color w:val="auto"/>
        </w:rPr>
      </w:pPr>
    </w:p>
    <w:p>
      <w:pPr>
        <w:ind w:left="1820" w:right="77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44,350,000 shares of our common stock issuable upon the exercise of warrants outstanding as of March 31, 2023, each with an exercise price of $11.50 per share;</w:t>
      </w:r>
    </w:p>
    <w:p>
      <w:pPr>
        <w:spacing w:after="0" w:line="62" w:lineRule="exact"/>
        <w:rPr>
          <w:rFonts w:ascii="Arial" w:cs="Arial" w:eastAsia="Arial" w:hAnsi="Arial"/>
          <w:sz w:val="18"/>
          <w:szCs w:val="18"/>
          <w:color w:val="auto"/>
        </w:rPr>
      </w:pPr>
    </w:p>
    <w:p>
      <w:pPr>
        <w:ind w:left="1820" w:right="43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36,450,296 shares of our common stock issuable upon the exercise of stock options outstanding as of March 31, 2023 with a weighted average exercise price of $1.19 per share;</w:t>
      </w:r>
    </w:p>
    <w:p>
      <w:pPr>
        <w:spacing w:after="0" w:line="62" w:lineRule="exact"/>
        <w:rPr>
          <w:rFonts w:ascii="Arial" w:cs="Arial" w:eastAsia="Arial" w:hAnsi="Arial"/>
          <w:sz w:val="18"/>
          <w:szCs w:val="18"/>
          <w:color w:val="auto"/>
        </w:rPr>
      </w:pPr>
    </w:p>
    <w:p>
      <w:pPr>
        <w:ind w:left="1820" w:hanging="186"/>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46,154,593 shares subject to RSUs outstanding as of March 31, 2023;</w:t>
      </w:r>
    </w:p>
    <w:p>
      <w:pPr>
        <w:spacing w:after="0" w:line="117" w:lineRule="exact"/>
        <w:rPr>
          <w:rFonts w:ascii="Arial" w:cs="Arial" w:eastAsia="Arial" w:hAnsi="Arial"/>
          <w:sz w:val="18"/>
          <w:szCs w:val="18"/>
          <w:color w:val="auto"/>
        </w:rPr>
      </w:pPr>
    </w:p>
    <w:p>
      <w:pPr>
        <w:ind w:left="1820" w:right="699" w:hanging="186"/>
        <w:spacing w:after="0" w:line="286" w:lineRule="auto"/>
        <w:tabs>
          <w:tab w:leader="none" w:pos="1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19,807,360 shares of our common stock reserved for future issuance under the Lucid Group, Inc. Second Amended and Restated 2021 Stock Incentive Plan (including the Lucid Group, Inc. 2021 Employee Stock Purchase Plan, attached thereto, the “Incentive Plan”) as of March 31, 2023; and</w:t>
      </w:r>
    </w:p>
    <w:p>
      <w:pPr>
        <w:spacing w:after="0" w:line="57" w:lineRule="exact"/>
        <w:rPr>
          <w:rFonts w:ascii="Arial" w:cs="Arial" w:eastAsia="Arial" w:hAnsi="Arial"/>
          <w:sz w:val="17"/>
          <w:szCs w:val="17"/>
          <w:color w:val="auto"/>
        </w:rPr>
      </w:pPr>
    </w:p>
    <w:p>
      <w:pPr>
        <w:ind w:left="1820" w:right="419" w:hanging="186"/>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36,737,785 shares of our common stock issuable upon the conversion of our 1.25% Convertible Senior Notes due 2026 (the “2026 Convertible Notes”).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08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50735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162" w:lineRule="exact"/>
        <w:rPr>
          <w:sz w:val="20"/>
          <w:szCs w:val="20"/>
          <w:color w:val="auto"/>
        </w:rPr>
      </w:pPr>
    </w:p>
    <w:p>
      <w:pPr>
        <w:ind w:left="1280" w:right="499" w:firstLine="360"/>
        <w:spacing w:after="0" w:line="269" w:lineRule="auto"/>
        <w:rPr>
          <w:sz w:val="20"/>
          <w:szCs w:val="20"/>
          <w:color w:val="auto"/>
        </w:rPr>
      </w:pPr>
      <w:r>
        <w:rPr>
          <w:rFonts w:ascii="Arial" w:cs="Arial" w:eastAsia="Arial" w:hAnsi="Arial"/>
          <w:sz w:val="17"/>
          <w:szCs w:val="17"/>
          <w:color w:val="auto"/>
        </w:rPr>
        <w:t>The summary historical consolidated statements of operations data of Lucid for the years ended December 31, 2022, 2021 and 2020 and the summary historical consolidated balance sheets data as of December 31, 2022 and 2021 are derived from Lucid’s audited consolidated financial statements incorporated by reference into this prospectus supplement. The summary historical condensed consolidated statements of operations data of Lucid for the three months ended March 31, 2023 and 2022 and the summary historical condensed consolidated balance sheet data as of March 31, 2023 are derived from Lucid’s unaudited interim condensed consolidated financial statements incorporated by reference into this prospectus supplement. The unaudited interim condensed consolidated financial data set forth below have been prepared on the same basis as our audited annual consolidated financial statements and, in the opinion of Lucid’s management, reflect all adjustments, consisting only of normal recurring adjustments, that are necessary for the fair statement of such data.</w:t>
      </w:r>
    </w:p>
    <w:p>
      <w:pPr>
        <w:spacing w:after="0" w:line="101"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8"/>
          <w:szCs w:val="18"/>
          <w:color w:val="auto"/>
        </w:rPr>
        <w:t>Lucid’s historical results are not necessarily indicative of the results that may be expected for any other period in the future and Lucid’s results for the three months ended March 31, 2023 are not necessarily indicative of the results that may be expected for the full year ending December 31, 2023 or any other period. The following data should be read together with, and is qualified in its entirety by reference to, “Risk Factors,” “Capitalization,” “Management’s Discussion and Analysis of Financial Condition and Results of Operations” and the historical consolidated financial statements and the accompanying notes included, as applicable, in this prospectus supplement and our reports filed with the SEC incorporated by reference into this prospectus supplement. Among other things, the historical consolidated financial statements include more detailed information regarding the basis of presentation for the information in the following data.</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Operations Data</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98"/>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 March 31,</w:t>
            </w:r>
          </w:p>
        </w:tc>
        <w:tc>
          <w:tcPr>
            <w:tcW w:w="16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40" w:type="dxa"/>
            <w:vAlign w:val="bottom"/>
            <w:gridSpan w:val="9"/>
          </w:tcPr>
          <w:p>
            <w:pPr>
              <w:jc w:val="right"/>
              <w:ind w:right="120"/>
              <w:spacing w:after="0"/>
              <w:rPr>
                <w:sz w:val="20"/>
                <w:szCs w:val="20"/>
                <w:color w:val="auto"/>
              </w:rPr>
            </w:pPr>
            <w:r>
              <w:rPr>
                <w:rFonts w:ascii="Arial" w:cs="Arial" w:eastAsia="Arial" w:hAnsi="Arial"/>
                <w:sz w:val="14"/>
                <w:szCs w:val="14"/>
                <w:b w:val="1"/>
                <w:bCs w:val="1"/>
                <w:color w:val="auto"/>
                <w:w w:val="97"/>
              </w:rPr>
              <w:t>Fiscal Years Ended, December 31,</w:t>
            </w:r>
          </w:p>
        </w:tc>
        <w:tc>
          <w:tcPr>
            <w:tcW w:w="2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24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4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gridSpan w:val="10"/>
          </w:tcPr>
          <w:p>
            <w:pPr>
              <w:jc w:val="right"/>
              <w:spacing w:after="0"/>
              <w:rPr>
                <w:sz w:val="20"/>
                <w:szCs w:val="20"/>
                <w:color w:val="auto"/>
              </w:rPr>
            </w:pPr>
            <w:r>
              <w:rPr>
                <w:rFonts w:ascii="Arial" w:cs="Arial" w:eastAsia="Arial" w:hAnsi="Arial"/>
                <w:sz w:val="14"/>
                <w:szCs w:val="14"/>
                <w:b w:val="1"/>
                <w:bCs w:val="1"/>
                <w:color w:val="auto"/>
                <w:w w:val="86"/>
              </w:rPr>
              <w:t>(in thousands, except share and per share data)</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34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149,432​​​​$</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57,675​​​​$</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608,181​​​​$</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27,111​​​​$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6"/>
                <w:szCs w:val="16"/>
                <w:b w:val="1"/>
                <w:bCs w:val="1"/>
                <w:color w:val="auto"/>
              </w:rPr>
              <w:t>Costs and expenses</w:t>
            </w:r>
            <w:r>
              <w:rPr>
                <w:rFonts w:ascii="Arial" w:cs="Arial" w:eastAsia="Arial" w:hAnsi="Arial"/>
                <w:sz w:val="19"/>
                <w:szCs w:val="19"/>
                <w:b w:val="1"/>
                <w:bCs w:val="1"/>
                <w:color w:val="auto"/>
                <w:vertAlign w:val="superscript"/>
              </w:rPr>
              <w:t>(1)</w:t>
            </w:r>
          </w:p>
        </w:tc>
        <w:tc>
          <w:tcPr>
            <w:tcW w:w="3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 ​</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 ​</w:t>
            </w:r>
          </w:p>
        </w:tc>
        <w:tc>
          <w:tcPr>
            <w:tcW w:w="44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500,524​​​​</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245,970​​​​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1,646,086​​​​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154,897​​​​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229,803​​​​</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186,076​​​​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821,512​​​​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750,185​​​​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511,110​</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168,770​​​​</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223,159​​​​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734,574​​​​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652,475​​​​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Restructuring Charges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22,496​​​​</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cost and expenses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921,593​​​​</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655,205​​​​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3,202,172​​​​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1,557,557​​​​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603,203</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Loss from operations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(772,161​​​​)</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(597,530​​​​)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(2,593,991​​​​)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(1,530,446​​​​)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(599,227​)</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Change in fair value of forward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60"/>
              <w:spacing w:after="0"/>
              <w:rPr>
                <w:sz w:val="20"/>
                <w:szCs w:val="20"/>
                <w:color w:val="auto"/>
              </w:rPr>
            </w:pPr>
            <w:r>
              <w:rPr>
                <w:rFonts w:ascii="Arial" w:cs="Arial" w:eastAsia="Arial" w:hAnsi="Arial"/>
                <w:sz w:val="16"/>
                <w:szCs w:val="16"/>
                <w:color w:val="auto"/>
              </w:rPr>
              <w:t>contracts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(454,546​​​​)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(118,382​)</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Change in fair value of convertible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 warrant liability</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(6,976)​​​​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760" w:type="dxa"/>
            <w:vAlign w:val="bottom"/>
          </w:tcPr>
          <w:p>
            <w:pPr>
              <w:spacing w:after="0"/>
              <w:rPr>
                <w:sz w:val="20"/>
                <w:szCs w:val="20"/>
                <w:color w:val="auto"/>
              </w:rPr>
            </w:pPr>
            <w:r>
              <w:rPr>
                <w:rFonts w:ascii="Arial" w:cs="Arial" w:eastAsia="Arial" w:hAnsi="Arial"/>
                <w:sz w:val="16"/>
                <w:szCs w:val="16"/>
                <w:color w:val="auto"/>
              </w:rPr>
              <w:t>Change in fair value of 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760" w:type="dxa"/>
            <w:vAlign w:val="bottom"/>
          </w:tcPr>
          <w:p>
            <w:pPr>
              <w:ind w:left="160"/>
              <w:spacing w:after="0"/>
              <w:rPr>
                <w:sz w:val="20"/>
                <w:szCs w:val="20"/>
                <w:color w:val="auto"/>
              </w:rPr>
            </w:pPr>
            <w:r>
              <w:rPr>
                <w:rFonts w:ascii="Arial" w:cs="Arial" w:eastAsia="Arial" w:hAnsi="Arial"/>
                <w:sz w:val="16"/>
                <w:szCs w:val="16"/>
                <w:color w:val="auto"/>
              </w:rPr>
              <w:t>warrant liability</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(40,802​​​​)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523,330​​​​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1,254,218​​​​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(582,760​​​​)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expensed</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(2,717​​​​) ​</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Interest income</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40,005​​​​</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56,756​​​​ ​</w:t>
            </w:r>
          </w:p>
        </w:tc>
        <w:tc>
          <w:tcPr>
            <w:tcW w:w="4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(7,719)​​​​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(30,596)​​​​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(1,374)​​​​ ​</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7"/>
              </w:rPr>
              <w:t>(64)</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667​​​​</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956​​​​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9,532​​​​ ​</w:t>
            </w:r>
          </w:p>
        </w:tc>
        <w:tc>
          <w:tcPr>
            <w:tcW w:w="44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(893)​​​​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other income (expense), net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516,567​​​​ ​</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1,289,910​​​​ ​</w:t>
            </w: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(1,049,266​​​​)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7"/>
              </w:rPr>
              <w:t>(120,341​)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(779,399)​​​​</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(80,963)​​​​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(1,304,081)​​​​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(2,579,712)​​​​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(719,568)​</w:t>
            </w:r>
          </w:p>
        </w:tc>
        <w:tc>
          <w:tcPr>
            <w:tcW w:w="0" w:type="dxa"/>
            <w:vAlign w:val="bottom"/>
          </w:tcPr>
          <w:p>
            <w:pPr>
              <w:spacing w:after="0"/>
              <w:rPr>
                <w:sz w:val="1"/>
                <w:szCs w:val="1"/>
                <w:color w:val="auto"/>
              </w:rPr>
            </w:pPr>
          </w:p>
        </w:tc>
      </w:tr>
      <w:tr>
        <w:trPr>
          <w:trHeight w:val="179"/>
        </w:trPr>
        <w:tc>
          <w:tcPr>
            <w:tcW w:w="27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Provision for (benefit from) income</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taxes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323​​​​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379​​​​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49​​​​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3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(779,528​​​​)</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(81,286​​​​) ​</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(1,304,460​​​​) ​</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(2,579,761​​​​) ​</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96"/>
              </w:rPr>
              <w:t>(719,380​)</w:t>
            </w:r>
          </w:p>
        </w:tc>
        <w:tc>
          <w:tcPr>
            <w:tcW w:w="0" w:type="dxa"/>
            <w:vAlign w:val="bottom"/>
          </w:tcPr>
          <w:p>
            <w:pPr>
              <w:spacing w:after="0"/>
              <w:rPr>
                <w:sz w:val="1"/>
                <w:szCs w:val="1"/>
                <w:color w:val="auto"/>
              </w:rPr>
            </w:pPr>
          </w:p>
        </w:tc>
      </w:tr>
      <w:tr>
        <w:trPr>
          <w:trHeight w:val="193"/>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B convertible</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sect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8105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50735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198"/>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2020" w:type="dxa"/>
            <w:vAlign w:val="bottom"/>
            <w:gridSpan w:val="5"/>
          </w:tcPr>
          <w:p>
            <w:pPr>
              <w:jc w:val="center"/>
              <w:ind w:right="41"/>
              <w:spacing w:after="0"/>
              <w:rPr>
                <w:sz w:val="20"/>
                <w:szCs w:val="20"/>
                <w:color w:val="auto"/>
              </w:rPr>
            </w:pPr>
            <w:r>
              <w:rPr>
                <w:rFonts w:ascii="Arial" w:cs="Arial" w:eastAsia="Arial" w:hAnsi="Arial"/>
                <w:sz w:val="14"/>
                <w:szCs w:val="14"/>
                <w:b w:val="1"/>
                <w:bCs w:val="1"/>
                <w:color w:val="auto"/>
                <w:w w:val="91"/>
              </w:rPr>
              <w:t>Three Months Ended March 31,</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520" w:type="dxa"/>
            <w:vAlign w:val="bottom"/>
            <w:gridSpan w:val="9"/>
          </w:tcPr>
          <w:p>
            <w:pPr>
              <w:jc w:val="right"/>
              <w:ind w:right="181"/>
              <w:spacing w:after="0"/>
              <w:rPr>
                <w:sz w:val="20"/>
                <w:szCs w:val="20"/>
                <w:color w:val="auto"/>
              </w:rPr>
            </w:pPr>
            <w:r>
              <w:rPr>
                <w:rFonts w:ascii="Arial" w:cs="Arial" w:eastAsia="Arial" w:hAnsi="Arial"/>
                <w:sz w:val="14"/>
                <w:szCs w:val="14"/>
                <w:b w:val="1"/>
                <w:bCs w:val="1"/>
                <w:color w:val="auto"/>
                <w:w w:val="98"/>
              </w:rPr>
              <w:t>Fiscal Years Ended, December 31,</w:t>
            </w: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7"/>
                <w:szCs w:val="17"/>
                <w:color w:val="auto"/>
              </w:rPr>
            </w:pPr>
          </w:p>
        </w:tc>
        <w:tc>
          <w:tcPr>
            <w:tcW w:w="4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01"/>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w:t>
            </w:r>
          </w:p>
        </w:tc>
        <w:tc>
          <w:tcPr>
            <w:tcW w:w="540" w:type="dxa"/>
            <w:vAlign w:val="bottom"/>
          </w:tcPr>
          <w:p>
            <w:pPr>
              <w:spacing w:after="0"/>
              <w:rPr>
                <w:sz w:val="17"/>
                <w:szCs w:val="17"/>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86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9"/>
          </w:tcPr>
          <w:p>
            <w:pPr>
              <w:jc w:val="right"/>
              <w:spacing w:after="0"/>
              <w:rPr>
                <w:sz w:val="20"/>
                <w:szCs w:val="20"/>
                <w:color w:val="auto"/>
              </w:rPr>
            </w:pPr>
            <w:r>
              <w:rPr>
                <w:rFonts w:ascii="Arial" w:cs="Arial" w:eastAsia="Arial" w:hAnsi="Arial"/>
                <w:sz w:val="14"/>
                <w:szCs w:val="14"/>
                <w:b w:val="1"/>
                <w:bCs w:val="1"/>
                <w:color w:val="auto"/>
                <w:w w:val="89"/>
              </w:rPr>
              <w:t>(in thousands, except share and per share data)</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C convertible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5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5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12,784</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w w:val="97"/>
              </w:rPr>
              <w:t>Deemed dividend related to the issuance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tcPr>
          <w:p>
            <w:pPr>
              <w:ind w:left="160"/>
              <w:spacing w:after="0"/>
              <w:rPr>
                <w:sz w:val="20"/>
                <w:szCs w:val="20"/>
                <w:color w:val="auto"/>
              </w:rPr>
            </w:pPr>
            <w:r>
              <w:rPr>
                <w:rFonts w:ascii="Arial" w:cs="Arial" w:eastAsia="Arial" w:hAnsi="Arial"/>
                <w:sz w:val="16"/>
                <w:szCs w:val="16"/>
                <w:color w:val="auto"/>
              </w:rPr>
              <w:t>of Series E convertible preferred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stock</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 ​</w:t>
            </w:r>
          </w:p>
        </w:tc>
        <w:tc>
          <w:tcPr>
            <w:tcW w:w="54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 ​</w:t>
            </w:r>
          </w:p>
        </w:tc>
        <w:tc>
          <w:tcPr>
            <w:tcW w:w="1020" w:type="dxa"/>
            <w:vAlign w:val="bottom"/>
            <w:gridSpan w:val="4"/>
          </w:tcPr>
          <w:p>
            <w:pPr>
              <w:jc w:val="right"/>
              <w:ind w:right="60"/>
              <w:spacing w:after="0"/>
              <w:rPr>
                <w:sz w:val="20"/>
                <w:szCs w:val="20"/>
                <w:color w:val="auto"/>
              </w:rPr>
            </w:pPr>
            <w:r>
              <w:rPr>
                <w:rFonts w:ascii="Arial" w:cs="Arial" w:eastAsia="Arial" w:hAnsi="Arial"/>
                <w:sz w:val="16"/>
                <w:szCs w:val="16"/>
                <w:color w:val="auto"/>
              </w:rPr>
              <w:t>(2,167,332)​​​​ ​</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stockholders, basic</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gridSpan w:val="4"/>
            <w:shd w:val="clear" w:color="auto" w:fill="CCEEFF"/>
          </w:tcPr>
          <w:p>
            <w:pPr>
              <w:jc w:val="right"/>
              <w:ind w:right="128"/>
              <w:spacing w:after="0"/>
              <w:rPr>
                <w:sz w:val="20"/>
                <w:szCs w:val="20"/>
                <w:color w:val="auto"/>
              </w:rPr>
            </w:pPr>
            <w:r>
              <w:rPr>
                <w:rFonts w:ascii="Arial" w:cs="Arial" w:eastAsia="Arial" w:hAnsi="Arial"/>
                <w:sz w:val="16"/>
                <w:szCs w:val="16"/>
                <w:color w:val="auto"/>
              </w:rPr>
              <w:t>(779,528)​​​​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(81,286)​​​​ ​</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(1,304,460)​​​​ ​</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(4,747,093)​​​​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(705,596)</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Change in fair value of dilutive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warrants</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 ​</w:t>
            </w:r>
          </w:p>
        </w:tc>
        <w:tc>
          <w:tcPr>
            <w:tcW w:w="560" w:type="dxa"/>
            <w:vAlign w:val="bottom"/>
          </w:tcPr>
          <w:p>
            <w:pPr>
              <w:spacing w:after="0"/>
              <w:rPr>
                <w:sz w:val="18"/>
                <w:szCs w:val="18"/>
                <w:color w:val="auto"/>
              </w:rPr>
            </w:pPr>
          </w:p>
        </w:tc>
        <w:tc>
          <w:tcPr>
            <w:tcW w:w="760" w:type="dxa"/>
            <w:vAlign w:val="bottom"/>
            <w:gridSpan w:val="3"/>
          </w:tcPr>
          <w:p>
            <w:pPr>
              <w:jc w:val="right"/>
              <w:ind w:right="128"/>
              <w:spacing w:after="0"/>
              <w:rPr>
                <w:sz w:val="20"/>
                <w:szCs w:val="20"/>
                <w:color w:val="auto"/>
              </w:rPr>
            </w:pPr>
            <w:r>
              <w:rPr>
                <w:rFonts w:ascii="Arial" w:cs="Arial" w:eastAsia="Arial" w:hAnsi="Arial"/>
                <w:sz w:val="16"/>
                <w:szCs w:val="16"/>
                <w:color w:val="auto"/>
              </w:rPr>
              <w:t>—​​​​ ​</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(523,330)​​​​ ​</w:t>
            </w:r>
          </w:p>
        </w:tc>
        <w:tc>
          <w:tcPr>
            <w:tcW w:w="1080" w:type="dxa"/>
            <w:vAlign w:val="bottom"/>
            <w:gridSpan w:val="4"/>
          </w:tcPr>
          <w:p>
            <w:pPr>
              <w:jc w:val="right"/>
              <w:ind w:right="40"/>
              <w:spacing w:after="0"/>
              <w:rPr>
                <w:sz w:val="20"/>
                <w:szCs w:val="20"/>
                <w:color w:val="auto"/>
              </w:rPr>
            </w:pPr>
            <w:r>
              <w:rPr>
                <w:rFonts w:ascii="Arial" w:cs="Arial" w:eastAsia="Arial" w:hAnsi="Arial"/>
                <w:sz w:val="16"/>
                <w:szCs w:val="16"/>
                <w:color w:val="auto"/>
              </w:rPr>
              <w:t>(1,254,218)​​​​ ​</w:t>
            </w:r>
          </w:p>
        </w:tc>
        <w:tc>
          <w:tcPr>
            <w:tcW w:w="5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stockholders, diluted</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320" w:type="dxa"/>
            <w:vAlign w:val="bottom"/>
            <w:gridSpan w:val="4"/>
            <w:shd w:val="clear" w:color="auto" w:fill="CCEEFF"/>
          </w:tcPr>
          <w:p>
            <w:pPr>
              <w:jc w:val="right"/>
              <w:ind w:right="128"/>
              <w:spacing w:after="0"/>
              <w:rPr>
                <w:sz w:val="20"/>
                <w:szCs w:val="20"/>
                <w:color w:val="auto"/>
              </w:rPr>
            </w:pPr>
            <w:r>
              <w:rPr>
                <w:rFonts w:ascii="Arial" w:cs="Arial" w:eastAsia="Arial" w:hAnsi="Arial"/>
                <w:sz w:val="16"/>
                <w:szCs w:val="16"/>
                <w:color w:val="auto"/>
              </w:rPr>
              <w:t>(779,528​​​​) ​</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(604,616​​​​) ​</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(2,558,678​​​​) ​</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(4,747,093​​​​)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(705,596​)</w:t>
            </w:r>
          </w:p>
        </w:tc>
        <w:tc>
          <w:tcPr>
            <w:tcW w:w="60" w:type="dxa"/>
            <w:vAlign w:val="bottom"/>
          </w:tcPr>
          <w:p>
            <w:pPr>
              <w:spacing w:after="0"/>
              <w:rPr>
                <w:sz w:val="18"/>
                <w:szCs w:val="18"/>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w w:val="92"/>
              </w:rPr>
              <w:t>Weighted average shares outstanding used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60" w:type="dxa"/>
            <w:vAlign w:val="bottom"/>
          </w:tcPr>
          <w:p>
            <w:pPr>
              <w:ind w:left="160"/>
              <w:spacing w:after="0"/>
              <w:rPr>
                <w:sz w:val="20"/>
                <w:szCs w:val="20"/>
                <w:color w:val="auto"/>
              </w:rPr>
            </w:pPr>
            <w:r>
              <w:rPr>
                <w:rFonts w:ascii="Arial" w:cs="Arial" w:eastAsia="Arial" w:hAnsi="Arial"/>
                <w:sz w:val="16"/>
                <w:szCs w:val="16"/>
                <w:color w:val="auto"/>
              </w:rPr>
              <w:t>in computing net loss per share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tcPr>
          <w:p>
            <w:pPr>
              <w:ind w:left="160"/>
              <w:spacing w:after="0"/>
              <w:rPr>
                <w:sz w:val="20"/>
                <w:szCs w:val="20"/>
                <w:color w:val="auto"/>
              </w:rPr>
            </w:pPr>
            <w:r>
              <w:rPr>
                <w:rFonts w:ascii="Arial" w:cs="Arial" w:eastAsia="Arial" w:hAnsi="Arial"/>
                <w:sz w:val="16"/>
                <w:szCs w:val="16"/>
                <w:color w:val="auto"/>
              </w:rPr>
              <w:t>attributable to common stockholders,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60" w:type="dxa"/>
            <w:vAlign w:val="bottom"/>
          </w:tcPr>
          <w:p>
            <w:pPr>
              <w:ind w:left="160"/>
              <w:spacing w:after="0"/>
              <w:rPr>
                <w:sz w:val="20"/>
                <w:szCs w:val="20"/>
                <w:color w:val="auto"/>
              </w:rPr>
            </w:pPr>
            <w:r>
              <w:rPr>
                <w:rFonts w:ascii="Arial" w:cs="Arial" w:eastAsia="Arial" w:hAnsi="Arial"/>
                <w:sz w:val="16"/>
                <w:szCs w:val="16"/>
                <w:color w:val="auto"/>
              </w:rPr>
              <w:t>basic</w:t>
            </w:r>
          </w:p>
        </w:tc>
        <w:tc>
          <w:tcPr>
            <w:tcW w:w="5400" w:type="dxa"/>
            <w:vAlign w:val="bottom"/>
            <w:gridSpan w:val="20"/>
          </w:tcPr>
          <w:p>
            <w:pPr>
              <w:jc w:val="right"/>
              <w:spacing w:after="0"/>
              <w:rPr>
                <w:sz w:val="20"/>
                <w:szCs w:val="20"/>
                <w:color w:val="auto"/>
              </w:rPr>
            </w:pPr>
            <w:r>
              <w:rPr>
                <w:rFonts w:ascii="Arial" w:cs="Arial" w:eastAsia="Arial" w:hAnsi="Arial"/>
                <w:sz w:val="16"/>
                <w:szCs w:val="16"/>
                <w:color w:val="auto"/>
              </w:rPr>
              <w:t>​​​ ​1,831,725,009​​​​ ​1,654,322,379​​​​ ​1,678,346,079​​​​ ​740,393,759​​​​ ​24,825,944​</w:t>
            </w:r>
          </w:p>
        </w:tc>
      </w:tr>
      <w:tr>
        <w:trPr>
          <w:trHeight w:val="20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w w:val="92"/>
              </w:rPr>
              <w:t>Weighted average shares outstanding used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 computing net loss per share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attributable to common stockholders,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5340" w:type="dxa"/>
            <w:vAlign w:val="bottom"/>
            <w:gridSpan w:val="19"/>
            <w:shd w:val="clear" w:color="auto" w:fill="CCEEFF"/>
          </w:tcPr>
          <w:p>
            <w:pPr>
              <w:ind w:left="40"/>
              <w:spacing w:after="0"/>
              <w:rPr>
                <w:sz w:val="20"/>
                <w:szCs w:val="20"/>
                <w:color w:val="auto"/>
              </w:rPr>
            </w:pPr>
            <w:r>
              <w:rPr>
                <w:rFonts w:ascii="Arial" w:cs="Arial" w:eastAsia="Arial" w:hAnsi="Arial"/>
                <w:sz w:val="16"/>
                <w:szCs w:val="16"/>
                <w:color w:val="auto"/>
              </w:rPr>
              <w:t>​​​ ​1,831,725,009​​​​ ​1,681,545,859​​​​ ​1,693,258,608​​​​ ​740,393,759​​​​ ​24,825,944​</w:t>
            </w:r>
          </w:p>
        </w:tc>
        <w:tc>
          <w:tcPr>
            <w:tcW w:w="60" w:type="dxa"/>
            <w:vAlign w:val="bottom"/>
          </w:tcPr>
          <w:p>
            <w:pPr>
              <w:spacing w:after="0"/>
              <w:rPr>
                <w:sz w:val="18"/>
                <w:szCs w:val="18"/>
                <w:color w:val="auto"/>
              </w:rPr>
            </w:pPr>
          </w:p>
        </w:tc>
      </w:tr>
    </w:tbl>
    <w:p>
      <w:pPr>
        <w:spacing w:after="0" w:line="4" w:lineRule="exact"/>
        <w:rPr>
          <w:sz w:val="20"/>
          <w:szCs w:val="20"/>
          <w:color w:val="auto"/>
        </w:rPr>
      </w:pPr>
    </w:p>
    <w:p>
      <w:pPr>
        <w:sectPr>
          <w:pgSz w:w="11900" w:h="16838" w:orient="portrait"/>
          <w:cols w:equalWidth="0" w:num="1">
            <w:col w:w="9879"/>
          </w:cols>
          <w:pgMar w:left="580" w:top="90" w:right="1440" w:bottom="1440" w:gutter="0" w:footer="0" w:header="0"/>
        </w:sectPr>
      </w:pPr>
    </w:p>
    <w:p>
      <w:pPr>
        <w:ind w:left="1440" w:hanging="161"/>
        <w:spacing w:after="0" w:line="272" w:lineRule="auto"/>
        <w:rPr>
          <w:sz w:val="20"/>
          <w:szCs w:val="20"/>
          <w:color w:val="auto"/>
        </w:rPr>
      </w:pPr>
      <w:r>
        <w:rPr>
          <w:rFonts w:ascii="Arial" w:cs="Arial" w:eastAsia="Arial" w:hAnsi="Arial"/>
          <w:sz w:val="16"/>
          <w:szCs w:val="16"/>
          <w:color w:val="auto"/>
        </w:rPr>
        <w:t>Net loss per share attributable to common stockholders, basic</w:t>
      </w:r>
    </w:p>
    <w:p>
      <w:pPr>
        <w:spacing w:after="0" w:line="1" w:lineRule="exact"/>
        <w:rPr>
          <w:sz w:val="20"/>
          <w:szCs w:val="20"/>
          <w:color w:val="auto"/>
        </w:rPr>
      </w:pPr>
    </w:p>
    <w:p>
      <w:pPr>
        <w:ind w:left="1440" w:hanging="161"/>
        <w:spacing w:after="0" w:line="266" w:lineRule="auto"/>
        <w:rPr>
          <w:sz w:val="20"/>
          <w:szCs w:val="20"/>
          <w:color w:val="auto"/>
        </w:rPr>
      </w:pPr>
      <w:r>
        <w:rPr>
          <w:rFonts w:ascii="Arial" w:cs="Arial" w:eastAsia="Arial" w:hAnsi="Arial"/>
          <w:sz w:val="16"/>
          <w:szCs w:val="16"/>
          <w:color w:val="auto"/>
        </w:rPr>
        <w:t>Net loss per share attributable to common stockholders, 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48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ind w:left="300"/>
              <w:spacing w:after="0"/>
              <w:rPr>
                <w:sz w:val="20"/>
                <w:szCs w:val="20"/>
                <w:color w:val="auto"/>
              </w:rPr>
            </w:pPr>
            <w:r>
              <w:rPr>
                <w:rFonts w:ascii="Arial" w:cs="Arial" w:eastAsia="Arial" w:hAnsi="Arial"/>
                <w:sz w:val="16"/>
                <w:szCs w:val="16"/>
                <w:color w:val="auto"/>
              </w:rPr>
              <w:t>(0.43)​​​​$</w:t>
            </w:r>
          </w:p>
        </w:tc>
        <w:tc>
          <w:tcPr>
            <w:tcW w:w="1120" w:type="dxa"/>
            <w:vAlign w:val="bottom"/>
          </w:tcPr>
          <w:p>
            <w:pPr>
              <w:ind w:left="300"/>
              <w:spacing w:after="0"/>
              <w:rPr>
                <w:sz w:val="20"/>
                <w:szCs w:val="20"/>
                <w:color w:val="auto"/>
              </w:rPr>
            </w:pPr>
            <w:r>
              <w:rPr>
                <w:rFonts w:ascii="Arial" w:cs="Arial" w:eastAsia="Arial" w:hAnsi="Arial"/>
                <w:sz w:val="16"/>
                <w:szCs w:val="16"/>
                <w:color w:val="auto"/>
              </w:rPr>
              <w:t>(0.05)​​​​$</w:t>
            </w:r>
          </w:p>
        </w:tc>
        <w:tc>
          <w:tcPr>
            <w:tcW w:w="1080" w:type="dxa"/>
            <w:vAlign w:val="bottom"/>
          </w:tcPr>
          <w:p>
            <w:pPr>
              <w:ind w:left="320"/>
              <w:spacing w:after="0"/>
              <w:rPr>
                <w:sz w:val="20"/>
                <w:szCs w:val="20"/>
                <w:color w:val="auto"/>
              </w:rPr>
            </w:pPr>
            <w:r>
              <w:rPr>
                <w:rFonts w:ascii="Arial" w:cs="Arial" w:eastAsia="Arial" w:hAnsi="Arial"/>
                <w:sz w:val="16"/>
                <w:szCs w:val="16"/>
                <w:color w:val="auto"/>
              </w:rPr>
              <w:t>(0.78)​​​​$</w:t>
            </w:r>
          </w:p>
        </w:tc>
        <w:tc>
          <w:tcPr>
            <w:tcW w:w="920" w:type="dxa"/>
            <w:vAlign w:val="bottom"/>
          </w:tcPr>
          <w:p>
            <w:pPr>
              <w:ind w:left="240"/>
              <w:spacing w:after="0"/>
              <w:rPr>
                <w:sz w:val="20"/>
                <w:szCs w:val="20"/>
                <w:color w:val="auto"/>
              </w:rPr>
            </w:pPr>
            <w:r>
              <w:rPr>
                <w:rFonts w:ascii="Arial" w:cs="Arial" w:eastAsia="Arial" w:hAnsi="Arial"/>
                <w:sz w:val="16"/>
                <w:szCs w:val="16"/>
                <w:color w:val="auto"/>
              </w:rPr>
              <w:t>(6.41)​​​​$</w:t>
            </w:r>
          </w:p>
        </w:tc>
        <w:tc>
          <w:tcPr>
            <w:tcW w:w="640" w:type="dxa"/>
            <w:vAlign w:val="bottom"/>
          </w:tcPr>
          <w:p>
            <w:pPr>
              <w:ind w:left="160"/>
              <w:spacing w:after="0"/>
              <w:rPr>
                <w:sz w:val="20"/>
                <w:szCs w:val="20"/>
                <w:color w:val="auto"/>
              </w:rPr>
            </w:pPr>
            <w:r>
              <w:rPr>
                <w:rFonts w:ascii="Arial" w:cs="Arial" w:eastAsia="Arial" w:hAnsi="Arial"/>
                <w:sz w:val="16"/>
                <w:szCs w:val="16"/>
                <w:color w:val="auto"/>
                <w:w w:val="90"/>
              </w:rPr>
              <w:t>(28.42)​</w:t>
            </w:r>
          </w:p>
        </w:tc>
      </w:tr>
      <w:tr>
        <w:trPr>
          <w:trHeight w:val="418"/>
        </w:trPr>
        <w:tc>
          <w:tcPr>
            <w:tcW w:w="48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tcPr>
          <w:p>
            <w:pPr>
              <w:ind w:left="300"/>
              <w:spacing w:after="0"/>
              <w:rPr>
                <w:sz w:val="20"/>
                <w:szCs w:val="20"/>
                <w:color w:val="auto"/>
              </w:rPr>
            </w:pPr>
            <w:r>
              <w:rPr>
                <w:rFonts w:ascii="Arial" w:cs="Arial" w:eastAsia="Arial" w:hAnsi="Arial"/>
                <w:sz w:val="16"/>
                <w:szCs w:val="16"/>
                <w:color w:val="auto"/>
              </w:rPr>
              <w:t>(0.43)​​​​$</w:t>
            </w:r>
          </w:p>
        </w:tc>
        <w:tc>
          <w:tcPr>
            <w:tcW w:w="1120" w:type="dxa"/>
            <w:vAlign w:val="bottom"/>
          </w:tcPr>
          <w:p>
            <w:pPr>
              <w:ind w:left="300"/>
              <w:spacing w:after="0"/>
              <w:rPr>
                <w:sz w:val="20"/>
                <w:szCs w:val="20"/>
                <w:color w:val="auto"/>
              </w:rPr>
            </w:pPr>
            <w:r>
              <w:rPr>
                <w:rFonts w:ascii="Arial" w:cs="Arial" w:eastAsia="Arial" w:hAnsi="Arial"/>
                <w:sz w:val="16"/>
                <w:szCs w:val="16"/>
                <w:color w:val="auto"/>
              </w:rPr>
              <w:t>(0.36)​​​​$</w:t>
            </w:r>
          </w:p>
        </w:tc>
        <w:tc>
          <w:tcPr>
            <w:tcW w:w="1080" w:type="dxa"/>
            <w:vAlign w:val="bottom"/>
          </w:tcPr>
          <w:p>
            <w:pPr>
              <w:ind w:left="320"/>
              <w:spacing w:after="0"/>
              <w:rPr>
                <w:sz w:val="20"/>
                <w:szCs w:val="20"/>
                <w:color w:val="auto"/>
              </w:rPr>
            </w:pPr>
            <w:r>
              <w:rPr>
                <w:rFonts w:ascii="Arial" w:cs="Arial" w:eastAsia="Arial" w:hAnsi="Arial"/>
                <w:sz w:val="16"/>
                <w:szCs w:val="16"/>
                <w:color w:val="auto"/>
              </w:rPr>
              <w:t>(1.51)​​​​$</w:t>
            </w:r>
          </w:p>
        </w:tc>
        <w:tc>
          <w:tcPr>
            <w:tcW w:w="920" w:type="dxa"/>
            <w:vAlign w:val="bottom"/>
          </w:tcPr>
          <w:p>
            <w:pPr>
              <w:ind w:left="240"/>
              <w:spacing w:after="0"/>
              <w:rPr>
                <w:sz w:val="20"/>
                <w:szCs w:val="20"/>
                <w:color w:val="auto"/>
              </w:rPr>
            </w:pPr>
            <w:r>
              <w:rPr>
                <w:rFonts w:ascii="Arial" w:cs="Arial" w:eastAsia="Arial" w:hAnsi="Arial"/>
                <w:sz w:val="16"/>
                <w:szCs w:val="16"/>
                <w:color w:val="auto"/>
              </w:rPr>
              <w:t>(6.41)​​​​$</w:t>
            </w:r>
          </w:p>
        </w:tc>
        <w:tc>
          <w:tcPr>
            <w:tcW w:w="640" w:type="dxa"/>
            <w:vAlign w:val="bottom"/>
          </w:tcPr>
          <w:p>
            <w:pPr>
              <w:ind w:left="160"/>
              <w:spacing w:after="0"/>
              <w:rPr>
                <w:sz w:val="20"/>
                <w:szCs w:val="20"/>
                <w:color w:val="auto"/>
              </w:rPr>
            </w:pPr>
            <w:r>
              <w:rPr>
                <w:rFonts w:ascii="Arial" w:cs="Arial" w:eastAsia="Arial" w:hAnsi="Arial"/>
                <w:sz w:val="16"/>
                <w:szCs w:val="16"/>
                <w:color w:val="auto"/>
                <w:w w:val="90"/>
              </w:rPr>
              <w:t>(28.42)​</w:t>
            </w:r>
          </w:p>
        </w:tc>
      </w:tr>
    </w:tbl>
    <w:p>
      <w:pPr>
        <w:spacing w:after="0" w:line="1" w:lineRule="exact"/>
        <w:rPr>
          <w:sz w:val="20"/>
          <w:szCs w:val="20"/>
          <w:color w:val="auto"/>
        </w:rPr>
      </w:pPr>
    </w:p>
    <w:p>
      <w:pPr>
        <w:sectPr>
          <w:pgSz w:w="11900" w:h="16838" w:orient="portrait"/>
          <w:cols w:equalWidth="0" w:num="2">
            <w:col w:w="4120" w:space="60"/>
            <w:col w:w="5699"/>
          </w:cols>
          <w:pgMar w:left="580" w:top="90"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8"/>
        </w:trPr>
        <w:tc>
          <w:tcPr>
            <w:tcW w:w="2820" w:type="dxa"/>
            <w:vAlign w:val="bottom"/>
          </w:tcPr>
          <w:p>
            <w:pPr>
              <w:spacing w:after="0"/>
              <w:rPr>
                <w:sz w:val="20"/>
                <w:szCs w:val="20"/>
                <w:color w:val="auto"/>
              </w:rPr>
            </w:pPr>
            <w:r>
              <w:rPr>
                <w:rFonts w:ascii="Arial" w:cs="Arial" w:eastAsia="Arial" w:hAnsi="Arial"/>
                <w:sz w:val="16"/>
                <w:szCs w:val="16"/>
                <w:b w:val="1"/>
                <w:bCs w:val="1"/>
                <w:color w:val="auto"/>
              </w:rPr>
              <w:t>Other comprehensive income (loss)</w:t>
            </w:r>
          </w:p>
        </w:tc>
        <w:tc>
          <w:tcPr>
            <w:tcW w:w="440" w:type="dxa"/>
            <w:vAlign w:val="bottom"/>
          </w:tcPr>
          <w:p>
            <w:pPr>
              <w:ind w:left="80"/>
              <w:spacing w:after="0"/>
              <w:rPr>
                <w:sz w:val="20"/>
                <w:szCs w:val="20"/>
                <w:color w:val="auto"/>
              </w:rPr>
            </w:pPr>
            <w:r>
              <w:rPr>
                <w:rFonts w:ascii="Arial" w:cs="Arial" w:eastAsia="Arial" w:hAnsi="Arial"/>
                <w:sz w:val="16"/>
                <w:szCs w:val="16"/>
                <w:b w:val="1"/>
                <w:bCs w:val="1"/>
                <w:color w:val="auto"/>
              </w:rPr>
              <w:t>​​​ ​</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6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gains (losses) on</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net of tax</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4,035​​​​$</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(11,572​​​​)$</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3"/>
        </w:trPr>
        <w:tc>
          <w:tcPr>
            <w:tcW w:w="2820" w:type="dxa"/>
            <w:vAlign w:val="bottom"/>
          </w:tcPr>
          <w:p>
            <w:pPr>
              <w:spacing w:after="0"/>
              <w:rPr>
                <w:sz w:val="20"/>
                <w:szCs w:val="20"/>
                <w:color w:val="auto"/>
              </w:rPr>
            </w:pPr>
            <w:r>
              <w:rPr>
                <w:rFonts w:ascii="Arial" w:cs="Arial" w:eastAsia="Arial" w:hAnsi="Arial"/>
                <w:sz w:val="16"/>
                <w:szCs w:val="16"/>
                <w:b w:val="1"/>
                <w:bCs w:val="1"/>
                <w:color w:val="auto"/>
              </w:rPr>
              <w:t>Comprehensive loss</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(775,493​​​​)$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(81,286​​​​)$</w:t>
            </w:r>
          </w:p>
        </w:tc>
        <w:tc>
          <w:tcPr>
            <w:tcW w:w="1080" w:type="dxa"/>
            <w:vAlign w:val="bottom"/>
          </w:tcPr>
          <w:p>
            <w:pPr>
              <w:jc w:val="right"/>
              <w:spacing w:after="0"/>
              <w:rPr>
                <w:sz w:val="20"/>
                <w:szCs w:val="20"/>
                <w:color w:val="auto"/>
              </w:rPr>
            </w:pPr>
            <w:r>
              <w:rPr>
                <w:rFonts w:ascii="Arial" w:cs="Arial" w:eastAsia="Arial" w:hAnsi="Arial"/>
                <w:sz w:val="16"/>
                <w:szCs w:val="16"/>
                <w:color w:val="auto"/>
              </w:rPr>
              <w:t>(1,316,032​​​​)$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w w:val="99"/>
              </w:rPr>
              <w:t>(2,579,761​​​​)$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(719,380​)</w:t>
            </w:r>
          </w:p>
        </w:tc>
      </w:tr>
      <w:tr>
        <w:trPr>
          <w:trHeight w:val="20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Deemed contribution related to</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Series B convertible</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r>
      <w:tr>
        <w:trPr>
          <w:trHeight w:val="193"/>
        </w:trPr>
        <w:tc>
          <w:tcPr>
            <w:tcW w:w="2820" w:type="dxa"/>
            <w:vAlign w:val="bottom"/>
          </w:tcPr>
          <w:p>
            <w:pPr>
              <w:spacing w:after="0"/>
              <w:rPr>
                <w:sz w:val="20"/>
                <w:szCs w:val="20"/>
                <w:color w:val="auto"/>
              </w:rPr>
            </w:pPr>
            <w:r>
              <w:rPr>
                <w:rFonts w:ascii="Arial" w:cs="Arial" w:eastAsia="Arial" w:hAnsi="Arial"/>
                <w:sz w:val="16"/>
                <w:szCs w:val="16"/>
                <w:color w:val="auto"/>
              </w:rPr>
              <w:t>Deemed contribution related to</w:t>
            </w: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20" w:type="dxa"/>
            <w:vAlign w:val="bottom"/>
          </w:tcPr>
          <w:p>
            <w:pPr>
              <w:ind w:left="160"/>
              <w:spacing w:after="0"/>
              <w:rPr>
                <w:sz w:val="20"/>
                <w:szCs w:val="20"/>
                <w:color w:val="auto"/>
              </w:rPr>
            </w:pPr>
            <w:r>
              <w:rPr>
                <w:rFonts w:ascii="Arial" w:cs="Arial" w:eastAsia="Arial" w:hAnsi="Arial"/>
                <w:sz w:val="16"/>
                <w:szCs w:val="16"/>
                <w:color w:val="auto"/>
              </w:rPr>
              <w:t>repurchase of Series C convertible</w:t>
            </w: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82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12,784​</w:t>
            </w:r>
          </w:p>
        </w:tc>
      </w:tr>
      <w:tr>
        <w:trPr>
          <w:trHeight w:val="196"/>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w w:val="96"/>
              </w:rPr>
              <w:t>Deemed dividend related to the issuance</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Series E convertible preferred</w:t>
            </w: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(2,167,332​​​​)$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r>
      <w:tr>
        <w:trPr>
          <w:trHeight w:val="202"/>
        </w:trPr>
        <w:tc>
          <w:tcPr>
            <w:tcW w:w="282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w:t>
            </w: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820" w:type="dxa"/>
            <w:vAlign w:val="bottom"/>
          </w:tcPr>
          <w:p>
            <w:pPr>
              <w:ind w:left="160"/>
              <w:spacing w:after="0"/>
              <w:rPr>
                <w:sz w:val="20"/>
                <w:szCs w:val="20"/>
                <w:color w:val="auto"/>
              </w:rPr>
            </w:pPr>
            <w:r>
              <w:rPr>
                <w:rFonts w:ascii="Arial" w:cs="Arial" w:eastAsia="Arial" w:hAnsi="Arial"/>
                <w:sz w:val="16"/>
                <w:szCs w:val="16"/>
                <w:b w:val="1"/>
                <w:bCs w:val="1"/>
                <w:color w:val="auto"/>
              </w:rPr>
              <w:t>common stockholders</w:t>
            </w:r>
          </w:p>
        </w:tc>
        <w:tc>
          <w:tcPr>
            <w:tcW w:w="440" w:type="dxa"/>
            <w:vAlign w:val="bottom"/>
          </w:tcPr>
          <w:p>
            <w:pPr>
              <w:ind w:lef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(775,493​​​​)$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(81,286​​​​)$</w:t>
            </w:r>
          </w:p>
        </w:tc>
        <w:tc>
          <w:tcPr>
            <w:tcW w:w="1080" w:type="dxa"/>
            <w:vAlign w:val="bottom"/>
          </w:tcPr>
          <w:p>
            <w:pPr>
              <w:jc w:val="right"/>
              <w:spacing w:after="0"/>
              <w:rPr>
                <w:sz w:val="20"/>
                <w:szCs w:val="20"/>
                <w:color w:val="auto"/>
              </w:rPr>
            </w:pPr>
            <w:r>
              <w:rPr>
                <w:rFonts w:ascii="Arial" w:cs="Arial" w:eastAsia="Arial" w:hAnsi="Arial"/>
                <w:sz w:val="16"/>
                <w:szCs w:val="16"/>
                <w:color w:val="auto"/>
              </w:rPr>
              <w:t>(1,316,032​​​​)$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w w:val="99"/>
              </w:rPr>
              <w:t>(4,747,093​​​​)$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(705,596​)</w:t>
            </w:r>
          </w:p>
        </w:tc>
      </w:tr>
    </w:tbl>
    <w:p>
      <w:pPr>
        <w:spacing w:after="0" w:line="200" w:lineRule="exact"/>
        <w:rPr>
          <w:sz w:val="20"/>
          <w:szCs w:val="20"/>
          <w:color w:val="auto"/>
        </w:rPr>
      </w:pPr>
    </w:p>
    <w:p>
      <w:pPr>
        <w:spacing w:after="0" w:line="224"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stock-based compensation expense as follows:</w:t>
      </w:r>
    </w:p>
    <w:p>
      <w:pPr>
        <w:spacing w:after="0" w:line="23" w:lineRule="exact"/>
        <w:rPr>
          <w:sz w:val="20"/>
          <w:szCs w:val="20"/>
          <w:color w:val="auto"/>
        </w:rPr>
      </w:pPr>
    </w:p>
    <w:tbl>
      <w:tblPr>
        <w:tblLayout w:type="fixed"/>
        <w:tblInd w:w="1640" w:type="dxa"/>
        <w:tblCellMar>
          <w:top w:w="0" w:type="dxa"/>
          <w:left w:w="0" w:type="dxa"/>
          <w:bottom w:w="0" w:type="dxa"/>
          <w:right w:w="0" w:type="dxa"/>
        </w:tblCellMar>
      </w:tblPr>
      <w:tr>
        <w:trPr>
          <w:trHeight w:val="364"/>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340" w:type="dxa"/>
            <w:vAlign w:val="bottom"/>
            <w:gridSpan w:val="12"/>
          </w:tcPr>
          <w:p>
            <w:pPr>
              <w:ind w:left="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Three Months Ended March 31, </w:t>
            </w:r>
            <w:r>
              <w:rPr>
                <w:rFonts w:ascii="Arial" w:cs="Arial" w:eastAsia="Arial" w:hAnsi="Arial"/>
                <w:sz w:val="28"/>
                <w:szCs w:val="28"/>
                <w:b w:val="1"/>
                <w:bCs w:val="1"/>
                <w:color w:val="auto"/>
                <w:vertAlign w:val="subscript"/>
              </w:rPr>
              <w:t>​ ​</w:t>
            </w:r>
          </w:p>
        </w:tc>
        <w:tc>
          <w:tcPr>
            <w:tcW w:w="214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87"/>
              </w:rPr>
              <w:t>Fiscal Years Ended, December 31,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20"/>
                <w:szCs w:val="20"/>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27"/>
                <w:szCs w:val="27"/>
                <w:b w:val="1"/>
                <w:bCs w:val="1"/>
                <w:color w:val="auto"/>
                <w:vertAlign w:val="subscript"/>
              </w:rPr>
              <w:t>​</w:t>
            </w:r>
          </w:p>
        </w:tc>
        <w:tc>
          <w:tcPr>
            <w:tcW w:w="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7"/>
                <w:szCs w:val="27"/>
                <w:b w:val="1"/>
                <w:bCs w:val="1"/>
                <w:color w:val="auto"/>
                <w:vertAlign w:val="subscript"/>
              </w:rPr>
              <w:t>​</w:t>
            </w: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0" w:type="dxa"/>
            <w:vAlign w:val="bottom"/>
            <w:gridSpan w:val="5"/>
          </w:tcPr>
          <w:p>
            <w:pPr>
              <w:ind w:left="500"/>
              <w:spacing w:after="0"/>
              <w:rPr>
                <w:sz w:val="20"/>
                <w:szCs w:val="20"/>
                <w:color w:val="auto"/>
              </w:rPr>
            </w:pPr>
            <w:r>
              <w:rPr>
                <w:rFonts w:ascii="Arial" w:cs="Arial" w:eastAsia="Arial" w:hAnsi="Arial"/>
                <w:sz w:val="14"/>
                <w:szCs w:val="14"/>
                <w:b w:val="1"/>
                <w:bCs w:val="1"/>
                <w:color w:val="auto"/>
                <w:w w:val="89"/>
              </w:rPr>
              <w:t>(unaudited)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jc w:val="right"/>
              <w:ind w:right="21"/>
              <w:spacing w:after="0"/>
              <w:rPr>
                <w:sz w:val="20"/>
                <w:szCs w:val="20"/>
                <w:color w:val="auto"/>
              </w:rPr>
            </w:pPr>
            <w:r>
              <w:rPr>
                <w:rFonts w:ascii="Arial" w:cs="Arial" w:eastAsia="Arial" w:hAnsi="Arial"/>
                <w:sz w:val="1"/>
                <w:szCs w:val="1"/>
                <w:b w:val="1"/>
                <w:bCs w:val="1"/>
                <w:color w:val="auto"/>
                <w:w w:val="4294942296"/>
              </w:rPr>
              <w:t>​</w:t>
            </w:r>
          </w:p>
        </w:tc>
        <w:tc>
          <w:tcPr>
            <w:tcW w:w="32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9"/>
        </w:trPr>
        <w:tc>
          <w:tcPr>
            <w:tcW w:w="2740" w:type="dxa"/>
            <w:vAlign w:val="bottom"/>
          </w:tcPr>
          <w:p>
            <w:pP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ind w:left="100"/>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6"/>
          </w:tcPr>
          <w:p>
            <w:pPr>
              <w:ind w:left="4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​​$ 41,753​​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8,737​​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​27,983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 49,756</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 ​​ ​151,549​​</w:t>
            </w:r>
          </w:p>
        </w:tc>
        <w:tc>
          <w:tcPr>
            <w:tcW w:w="1520" w:type="dxa"/>
            <w:vAlign w:val="bottom"/>
            <w:gridSpan w:val="9"/>
          </w:tcPr>
          <w:p>
            <w:pPr>
              <w:jc w:val="right"/>
              <w:spacing w:after="0"/>
              <w:rPr>
                <w:sz w:val="20"/>
                <w:szCs w:val="20"/>
                <w:color w:val="auto"/>
              </w:rPr>
            </w:pPr>
            <w:r>
              <w:rPr>
                <w:rFonts w:ascii="Arial" w:cs="Arial" w:eastAsia="Arial" w:hAnsi="Arial"/>
                <w:sz w:val="18"/>
                <w:szCs w:val="18"/>
                <w:color w:val="auto"/>
              </w:rPr>
              <w:t>​​ ​137,303​​ ​​ ​3,724</w:t>
            </w:r>
            <w:r>
              <w:rPr>
                <w:rFonts w:ascii="Arial" w:cs="Arial" w:eastAsia="Arial" w:hAnsi="Arial"/>
                <w:sz w:val="18"/>
                <w:szCs w:val="18"/>
                <w:b w:val="1"/>
                <w:bCs w:val="1"/>
                <w:color w:val="auto"/>
              </w:rPr>
              <w:t>​</w:t>
            </w:r>
          </w:p>
        </w:tc>
      </w:tr>
      <w:tr>
        <w:trPr>
          <w:trHeight w:val="25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8"/>
                <w:shd w:val="clear" w:color="auto" w:fill="CCEEFF"/>
              </w:rPr>
              <w:t>Selling, general and administrative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shd w:val="clear" w:color="auto" w:fill="CCEEFF"/>
              </w:rPr>
              <w:t>​ ​26,705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​116,196</w:t>
            </w: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 ​230,198​​</w:t>
            </w:r>
          </w:p>
        </w:tc>
        <w:tc>
          <w:tcPr>
            <w:tcW w:w="11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​370,717​​ ​​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677</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740" w:type="dxa"/>
            <w:vAlign w:val="bottom"/>
          </w:tcPr>
          <w:p>
            <w:pPr>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gridSpan w:val="3"/>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​(1,433) </w:t>
            </w:r>
            <w:r>
              <w:rPr>
                <w:rFonts w:ascii="Arial" w:cs="Arial" w:eastAsia="Arial" w:hAnsi="Arial"/>
                <w:sz w:val="32"/>
                <w:szCs w:val="32"/>
                <w:color w:val="auto"/>
                <w:vertAlign w:val="subscript"/>
              </w:rPr>
              <w:t>​​ ​</w:t>
            </w:r>
          </w:p>
        </w:tc>
        <w:tc>
          <w:tcPr>
            <w:tcW w:w="300" w:type="dxa"/>
            <w:vAlign w:val="bottom"/>
            <w:gridSpan w:val="2"/>
          </w:tcPr>
          <w:p>
            <w:pPr>
              <w:ind w:left="12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ind w:left="100"/>
              <w:spacing w:after="0" w:line="283" w:lineRule="exact"/>
              <w:rPr>
                <w:sz w:val="20"/>
                <w:szCs w:val="20"/>
                <w:color w:val="auto"/>
              </w:rPr>
            </w:pP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660" w:type="dxa"/>
            <w:vAlign w:val="bottom"/>
            <w:gridSpan w:val="2"/>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w:t>
            </w:r>
          </w:p>
        </w:tc>
        <w:tc>
          <w:tcPr>
            <w:tcW w:w="260" w:type="dxa"/>
            <w:vAlign w:val="bottom"/>
            <w:gridSpan w:val="2"/>
          </w:tcPr>
          <w:p>
            <w:pPr>
              <w:ind w:left="40"/>
              <w:spacing w:after="0" w:line="2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p>
        </w:tc>
        <w:tc>
          <w:tcPr>
            <w:tcW w:w="900" w:type="dxa"/>
            <w:vAlign w:val="bottom"/>
            <w:gridSpan w:val="5"/>
          </w:tcPr>
          <w:p>
            <w:pPr>
              <w:jc w:val="right"/>
              <w:ind w:right="1"/>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360" w:type="dxa"/>
            <w:vAlign w:val="bottom"/>
            <w:gridSpan w:val="2"/>
          </w:tcPr>
          <w:p>
            <w:pPr>
              <w:jc w:val="right"/>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w:t>
            </w:r>
          </w:p>
        </w:tc>
      </w:tr>
      <w:tr>
        <w:trPr>
          <w:trHeight w:val="20"/>
        </w:trPr>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line="264" w:lineRule="exact"/>
              <w:rPr>
                <w:sz w:val="20"/>
                <w:szCs w:val="20"/>
                <w:color w:val="auto"/>
              </w:rPr>
            </w:pPr>
            <w:r>
              <w:rPr>
                <w:rFonts w:ascii="Arial" w:cs="Arial" w:eastAsia="Arial" w:hAnsi="Arial"/>
                <w:sz w:val="30"/>
                <w:szCs w:val="30"/>
                <w:color w:val="auto"/>
                <w:w w:val="96"/>
                <w:vertAlign w:val="subscript"/>
              </w:rPr>
              <w:t>​</w:t>
            </w:r>
            <w:r>
              <w:rPr>
                <w:rFonts w:ascii="Arial" w:cs="Arial" w:eastAsia="Arial" w:hAnsi="Arial"/>
                <w:sz w:val="16"/>
                <w:szCs w:val="16"/>
                <w:u w:val="single" w:color="auto"/>
                <w:color w:val="auto"/>
                <w:w w:val="96"/>
              </w:rPr>
              <w:t>$</w:t>
            </w:r>
            <w:r>
              <w:rPr>
                <w:rFonts w:ascii="Arial" w:cs="Arial" w:eastAsia="Arial" w:hAnsi="Arial"/>
                <w:sz w:val="16"/>
                <w:szCs w:val="16"/>
                <w:color w:val="auto"/>
                <w:w w:val="96"/>
              </w:rPr>
              <w:t>53,819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174,551</w:t>
            </w:r>
          </w:p>
        </w:tc>
        <w:tc>
          <w:tcPr>
            <w:tcW w:w="1120" w:type="dxa"/>
            <w:vAlign w:val="bottom"/>
            <w:gridSpan w:val="6"/>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423,500</w:t>
            </w:r>
            <w:r>
              <w:rPr>
                <w:rFonts w:ascii="Arial" w:cs="Arial" w:eastAsia="Arial" w:hAnsi="Arial"/>
                <w:sz w:val="30"/>
                <w:szCs w:val="30"/>
                <w:color w:val="auto"/>
                <w:vertAlign w:val="subscript"/>
              </w:rPr>
              <w:t>​​</w:t>
            </w:r>
          </w:p>
        </w:tc>
        <w:tc>
          <w:tcPr>
            <w:tcW w:w="1480" w:type="dxa"/>
            <w:vAlign w:val="bottom"/>
            <w:gridSpan w:val="8"/>
            <w:shd w:val="clear" w:color="auto" w:fill="CCEEFF"/>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u w:val="single" w:color="auto"/>
                <w:color w:val="auto"/>
              </w:rPr>
              <w:t>$</w:t>
            </w:r>
            <w:r>
              <w:rPr>
                <w:rFonts w:ascii="Arial" w:cs="Arial" w:eastAsia="Arial" w:hAnsi="Arial"/>
                <w:sz w:val="16"/>
                <w:szCs w:val="16"/>
                <w:color w:val="auto"/>
              </w:rPr>
              <w:t>516,757</w:t>
            </w:r>
            <w:r>
              <w:rPr>
                <w:rFonts w:ascii="Arial" w:cs="Arial" w:eastAsia="Arial" w:hAnsi="Arial"/>
                <w:sz w:val="30"/>
                <w:szCs w:val="30"/>
                <w:color w:val="auto"/>
                <w:vertAlign w:val="subscript"/>
              </w:rPr>
              <w:t>​​ ​​</w:t>
            </w:r>
            <w:r>
              <w:rPr>
                <w:rFonts w:ascii="Arial" w:cs="Arial" w:eastAsia="Arial" w:hAnsi="Arial"/>
                <w:sz w:val="16"/>
                <w:szCs w:val="16"/>
                <w:u w:val="single" w:color="auto"/>
                <w:color w:val="auto"/>
              </w:rPr>
              <w:t>$</w:t>
            </w:r>
            <w:r>
              <w:rPr>
                <w:rFonts w:ascii="Arial" w:cs="Arial" w:eastAsia="Arial" w:hAnsi="Arial"/>
                <w:sz w:val="16"/>
                <w:szCs w:val="16"/>
                <w:color w:val="auto"/>
              </w:rPr>
              <w:t>4,614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0" w:right="1440"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Balance Sheet Data</w:t>
      </w:r>
    </w:p>
    <w:p>
      <w:pPr>
        <w:spacing w:after="0" w:line="28" w:lineRule="exact"/>
        <w:rPr>
          <w:sz w:val="20"/>
          <w:szCs w:val="20"/>
          <w:color w:val="auto"/>
        </w:rPr>
      </w:pPr>
    </w:p>
    <w:tbl>
      <w:tblPr>
        <w:tblLayout w:type="fixed"/>
        <w:tblInd w:w="1280" w:type="dxa"/>
        <w:tblCellMar>
          <w:top w:w="0" w:type="dxa"/>
          <w:left w:w="0" w:type="dxa"/>
          <w:bottom w:w="0" w:type="dxa"/>
          <w:right w:w="0" w:type="dxa"/>
        </w:tblCellMar>
      </w:tblPr>
      <w:tr>
        <w:trPr>
          <w:trHeight w:val="364"/>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180"/>
              <w:spacing w:after="0"/>
              <w:rPr>
                <w:sz w:val="20"/>
                <w:szCs w:val="20"/>
                <w:color w:val="auto"/>
              </w:rPr>
            </w:pPr>
            <w:r>
              <w:rPr>
                <w:rFonts w:ascii="Arial" w:cs="Arial" w:eastAsia="Arial" w:hAnsi="Arial"/>
                <w:sz w:val="14"/>
                <w:szCs w:val="14"/>
                <w:b w:val="1"/>
                <w:bCs w:val="1"/>
                <w:color w:val="auto"/>
              </w:rPr>
              <w:t>​ ​</w:t>
            </w: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160" w:type="dxa"/>
            <w:vAlign w:val="bottom"/>
            <w:gridSpan w:val="9"/>
          </w:tcPr>
          <w:p>
            <w:pPr>
              <w:jc w:val="right"/>
              <w:spacing w:after="0"/>
              <w:rPr>
                <w:sz w:val="20"/>
                <w:szCs w:val="20"/>
                <w:color w:val="auto"/>
              </w:rPr>
            </w:pPr>
            <w:r>
              <w:rPr>
                <w:rFonts w:ascii="Arial" w:cs="Arial" w:eastAsia="Arial" w:hAnsi="Arial"/>
                <w:sz w:val="28"/>
                <w:szCs w:val="28"/>
                <w:b w:val="1"/>
                <w:bCs w:val="1"/>
                <w:color w:val="auto"/>
                <w:w w:val="91"/>
                <w:vertAlign w:val="subscript"/>
              </w:rPr>
              <w:t>​</w:t>
            </w:r>
            <w:r>
              <w:rPr>
                <w:rFonts w:ascii="Arial" w:cs="Arial" w:eastAsia="Arial" w:hAnsi="Arial"/>
                <w:sz w:val="14"/>
                <w:szCs w:val="14"/>
                <w:b w:val="1"/>
                <w:bCs w:val="1"/>
                <w:color w:val="auto"/>
                <w:w w:val="91"/>
              </w:rPr>
              <w:t xml:space="preserve"> Fiscal Years Ended, December 31, </w:t>
            </w:r>
            <w:r>
              <w:rPr>
                <w:rFonts w:ascii="Arial" w:cs="Arial" w:eastAsia="Arial" w:hAnsi="Arial"/>
                <w:sz w:val="28"/>
                <w:szCs w:val="28"/>
                <w:b w:val="1"/>
                <w:bCs w:val="1"/>
                <w:color w:val="auto"/>
                <w:w w:val="91"/>
                <w:vertAlign w:val="subscript"/>
              </w:rPr>
              <w:t>​</w:t>
            </w:r>
          </w:p>
        </w:tc>
      </w:tr>
      <w:tr>
        <w:trPr>
          <w:trHeight w:val="250"/>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ind w:left="80"/>
              <w:spacing w:after="0" w:line="250" w:lineRule="exact"/>
              <w:rPr>
                <w:sz w:val="20"/>
                <w:szCs w:val="20"/>
                <w:color w:val="auto"/>
              </w:rPr>
            </w:pPr>
            <w:r>
              <w:rPr>
                <w:rFonts w:ascii="Arial" w:cs="Arial" w:eastAsia="Arial" w:hAnsi="Arial"/>
                <w:sz w:val="28"/>
                <w:szCs w:val="28"/>
                <w:b w:val="1"/>
                <w:bCs w:val="1"/>
                <w:color w:val="auto"/>
                <w:w w:val="92"/>
                <w:vertAlign w:val="subscript"/>
              </w:rPr>
              <w:t>​</w:t>
            </w:r>
            <w:r>
              <w:rPr>
                <w:rFonts w:ascii="Arial" w:cs="Arial" w:eastAsia="Arial" w:hAnsi="Arial"/>
                <w:sz w:val="14"/>
                <w:szCs w:val="14"/>
                <w:b w:val="1"/>
                <w:bCs w:val="1"/>
                <w:color w:val="auto"/>
                <w:w w:val="92"/>
              </w:rPr>
              <w:t xml:space="preserve"> As of March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 ​ ​</w:t>
            </w:r>
          </w:p>
        </w:tc>
        <w:tc>
          <w:tcPr>
            <w:tcW w:w="56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rPr>
              <w:t>​ ​ ​</w:t>
            </w:r>
          </w:p>
        </w:tc>
        <w:tc>
          <w:tcPr>
            <w:tcW w:w="68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0"/>
        </w:trPr>
        <w:tc>
          <w:tcPr>
            <w:tcW w:w="2220" w:type="dxa"/>
            <w:vAlign w:val="bottom"/>
          </w:tcPr>
          <w:p>
            <w:pPr>
              <w:spacing w:after="0"/>
              <w:rPr>
                <w:sz w:val="20"/>
                <w:szCs w:val="20"/>
                <w:color w:val="auto"/>
              </w:rPr>
            </w:pPr>
            <w:r>
              <w:rPr>
                <w:rFonts w:ascii="Arial" w:cs="Arial" w:eastAsia="Arial" w:hAnsi="Arial"/>
                <w:sz w:val="14"/>
                <w:szCs w:val="14"/>
                <w:b w:val="1"/>
                <w:bCs w:val="1"/>
                <w:color w:val="auto"/>
              </w:rPr>
              <w:t>​</w:t>
            </w:r>
          </w:p>
        </w:tc>
        <w:tc>
          <w:tcPr>
            <w:tcW w:w="2300" w:type="dxa"/>
            <w:vAlign w:val="bottom"/>
          </w:tcPr>
          <w:p>
            <w:pPr>
              <w:ind w:left="2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1" w:lineRule="exact"/>
        <w:rPr>
          <w:sz w:val="20"/>
          <w:szCs w:val="20"/>
          <w:color w:val="auto"/>
        </w:rPr>
      </w:pPr>
    </w:p>
    <w:p>
      <w:pPr>
        <w:sectPr>
          <w:pgSz w:w="11900" w:h="16838" w:orient="portrait"/>
          <w:cols w:equalWidth="0" w:num="1">
            <w:col w:w="9879"/>
          </w:cols>
          <w:pgMar w:left="580" w:top="90" w:right="1440" w:bottom="1440" w:gutter="0" w:footer="0" w:header="0"/>
        </w:sectPr>
      </w:pPr>
    </w:p>
    <w:p>
      <w:pPr>
        <w:ind w:left="128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assets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Common stock warrant liability</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liabilities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Stockholders’ Equity</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Accumulated deficit</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900,038</w:t>
            </w:r>
          </w:p>
        </w:tc>
        <w:tc>
          <w:tcPr>
            <w:tcW w:w="140" w:type="dxa"/>
            <w:vAlign w:val="bottom"/>
          </w:tcPr>
          <w:p>
            <w:pPr>
              <w:spacing w:after="0"/>
              <w:rPr>
                <w:sz w:val="23"/>
                <w:szCs w:val="23"/>
                <w:color w:val="auto"/>
              </w:rPr>
            </w:pP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​​$ 1,735,765​​</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​​$ 6,262,905​</w:t>
            </w:r>
          </w:p>
        </w:tc>
        <w:tc>
          <w:tcPr>
            <w:tcW w:w="0" w:type="dxa"/>
            <w:vAlign w:val="bottom"/>
          </w:tcPr>
          <w:p>
            <w:pPr>
              <w:spacing w:after="0"/>
              <w:rPr>
                <w:sz w:val="1"/>
                <w:szCs w:val="1"/>
                <w:color w:val="auto"/>
              </w:rPr>
            </w:pPr>
          </w:p>
        </w:tc>
      </w:tr>
      <w:tr>
        <w:trPr>
          <w:trHeight w:val="270"/>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7,260,931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7,879,238</w:t>
            </w:r>
            <w:r>
              <w:rPr>
                <w:rFonts w:ascii="Arial" w:cs="Arial" w:eastAsia="Arial" w:hAnsi="Arial"/>
                <w:sz w:val="31"/>
                <w:szCs w:val="31"/>
                <w:color w:val="auto"/>
                <w:vertAlign w:val="subscript"/>
              </w:rPr>
              <w:t>​​</w:t>
            </w:r>
          </w:p>
        </w:tc>
        <w:tc>
          <w:tcPr>
            <w:tcW w:w="1040" w:type="dxa"/>
            <w:vAlign w:val="bottom"/>
            <w:gridSpan w:val="6"/>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7,881,713</w:t>
            </w:r>
            <w:r>
              <w:rPr>
                <w:rFonts w:ascii="Arial" w:cs="Arial" w:eastAsia="Arial" w:hAnsi="Arial"/>
                <w:sz w:val="31"/>
                <w:szCs w:val="3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spacing w:after="0"/>
              <w:rPr>
                <w:sz w:val="20"/>
                <w:szCs w:val="20"/>
                <w:color w:val="auto"/>
              </w:rPr>
            </w:pPr>
            <w:r>
              <w:rPr>
                <w:rFonts w:ascii="Arial" w:cs="Arial" w:eastAsia="Arial" w:hAnsi="Arial"/>
                <w:sz w:val="18"/>
                <w:szCs w:val="18"/>
                <w:color w:val="auto"/>
              </w:rPr>
              <w:t>​ ​ 1,993,113</w:t>
            </w: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 1,991,840​​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 1,986,791​</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181,392</w:t>
            </w:r>
          </w:p>
        </w:tc>
        <w:tc>
          <w:tcPr>
            <w:tcW w:w="140" w:type="dxa"/>
            <w:vAlign w:val="bottom"/>
          </w:tcPr>
          <w:p>
            <w:pPr>
              <w:spacing w:after="0"/>
              <w:rPr>
                <w:sz w:val="23"/>
                <w:szCs w:val="23"/>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740" w:type="dxa"/>
            <w:vAlign w:val="bottom"/>
          </w:tcPr>
          <w:p>
            <w:pPr>
              <w:jc w:val="right"/>
              <w:spacing w:after="0"/>
              <w:rPr>
                <w:sz w:val="20"/>
                <w:szCs w:val="20"/>
                <w:color w:val="auto"/>
              </w:rPr>
            </w:pPr>
            <w:r>
              <w:rPr>
                <w:rFonts w:ascii="Arial" w:cs="Arial" w:eastAsia="Arial" w:hAnsi="Arial"/>
                <w:sz w:val="18"/>
                <w:szCs w:val="18"/>
                <w:color w:val="auto"/>
              </w:rPr>
              <w:t>140,590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 ​ 1,394,808​</w:t>
            </w:r>
          </w:p>
        </w:tc>
        <w:tc>
          <w:tcPr>
            <w:tcW w:w="0" w:type="dxa"/>
            <w:vAlign w:val="bottom"/>
          </w:tcPr>
          <w:p>
            <w:pPr>
              <w:spacing w:after="0"/>
              <w:rPr>
                <w:sz w:val="1"/>
                <w:szCs w:val="1"/>
                <w:color w:val="auto"/>
              </w:rPr>
            </w:pPr>
          </w:p>
        </w:tc>
      </w:tr>
      <w:tr>
        <w:trPr>
          <w:trHeight w:val="270"/>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4"/>
          </w:tcPr>
          <w:p>
            <w:pPr>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3,629,080</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3,529,537</w:t>
            </w:r>
            <w:r>
              <w:rPr>
                <w:rFonts w:ascii="Arial" w:cs="Arial" w:eastAsia="Arial" w:hAnsi="Arial"/>
                <w:sz w:val="31"/>
                <w:szCs w:val="31"/>
                <w:color w:val="auto"/>
                <w:vertAlign w:val="subscript"/>
              </w:rPr>
              <w:t>​​</w:t>
            </w:r>
          </w:p>
        </w:tc>
        <w:tc>
          <w:tcPr>
            <w:tcW w:w="98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 3,972,358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6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3"/>
                <w:szCs w:val="23"/>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rPr>
              <w:t>​​ ​​ ​</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spacing w:after="0"/>
              <w:rPr>
                <w:sz w:val="20"/>
                <w:szCs w:val="20"/>
                <w:color w:val="auto"/>
              </w:rPr>
            </w:pPr>
            <w:r>
              <w:rPr>
                <w:rFonts w:ascii="Arial" w:cs="Arial" w:eastAsia="Arial" w:hAnsi="Arial"/>
                <w:sz w:val="18"/>
                <w:szCs w:val="18"/>
                <w:color w:val="auto"/>
              </w:rPr>
              <w:t>​ ​11,809,781</w:t>
            </w:r>
          </w:p>
        </w:tc>
        <w:tc>
          <w:tcPr>
            <w:tcW w:w="1340" w:type="dxa"/>
            <w:vAlign w:val="bottom"/>
            <w:gridSpan w:val="6"/>
          </w:tcPr>
          <w:p>
            <w:pPr>
              <w:jc w:val="right"/>
              <w:spacing w:after="0"/>
              <w:rPr>
                <w:sz w:val="20"/>
                <w:szCs w:val="20"/>
                <w:color w:val="auto"/>
              </w:rPr>
            </w:pPr>
            <w:r>
              <w:rPr>
                <w:rFonts w:ascii="Arial" w:cs="Arial" w:eastAsia="Arial" w:hAnsi="Arial"/>
                <w:sz w:val="18"/>
                <w:szCs w:val="18"/>
                <w:color w:val="auto"/>
              </w:rPr>
              <w:t>​​ ​​ ​11,752,138​​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 9,995,778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91"/>
              </w:rPr>
              <w:t>​(8,149,860)</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93"/>
              </w:rPr>
              <w:t>​(7,370,332)</w:t>
            </w: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line="189" w:lineRule="exact"/>
              <w:rPr>
                <w:sz w:val="20"/>
                <w:szCs w:val="20"/>
                <w:color w:val="auto"/>
              </w:rPr>
            </w:pPr>
            <w:r>
              <w:rPr>
                <w:rFonts w:ascii="Arial" w:cs="Arial" w:eastAsia="Arial" w:hAnsi="Arial"/>
                <w:sz w:val="18"/>
                <w:szCs w:val="18"/>
                <w:color w:val="auto"/>
                <w:w w:val="93"/>
              </w:rPr>
              <w:t>​(6,065,872)</w:t>
            </w: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64" w:lineRule="exact"/>
              <w:rPr>
                <w:sz w:val="20"/>
                <w:szCs w:val="20"/>
                <w:color w:val="auto"/>
              </w:rPr>
            </w:pPr>
            <w:r>
              <w:rPr>
                <w:rFonts w:ascii="Arial" w:cs="Arial" w:eastAsia="Arial" w:hAnsi="Arial"/>
                <w:sz w:val="30"/>
                <w:szCs w:val="30"/>
                <w:color w:val="auto"/>
                <w:w w:val="89"/>
                <w:vertAlign w:val="subscript"/>
              </w:rPr>
              <w:t>​</w:t>
            </w:r>
            <w:r>
              <w:rPr>
                <w:rFonts w:ascii="Arial" w:cs="Arial" w:eastAsia="Arial" w:hAnsi="Arial"/>
                <w:sz w:val="16"/>
                <w:szCs w:val="16"/>
                <w:color w:val="auto"/>
                <w:w w:val="89"/>
              </w:rPr>
              <w:t>$</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3,631,851</w:t>
            </w:r>
          </w:p>
        </w:tc>
        <w:tc>
          <w:tcPr>
            <w:tcW w:w="1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4,349,701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$ 3,909,355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00" w:space="720"/>
            <w:col w:w="41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i w:val="1"/>
          <w:iCs w:val="1"/>
          <w:color w:val="auto"/>
        </w:rPr>
        <w:t>An investment in our common stock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Quarterly Report on Form 10-Q for the three months ended March 31, 2023,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1260" w:right="599"/>
        <w:spacing w:after="0" w:line="381" w:lineRule="auto"/>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1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-term U.S. Treasury securities with insignificant rates of return. These investments may not yield a favorable return to our stockholders.</w:t>
      </w:r>
    </w:p>
    <w:p>
      <w:pPr>
        <w:spacing w:after="0" w:line="186"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9"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RSUs, or the conversion of our 2026 Convertible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In addition, pursuant to the Investor Rights Agreement, Ayar, and certain other parties thereto are entitled to, among other things, certain registration rights, including demand, piggy-back and shelf registration rights. On May 31, 2023, we entered into a second amendment to the Investor Rights Agreement (the “Second IRA Amendment”). Pursuant to the Second IRA Amendment, Ayar will be entitled to certain registration rights, including demand, piggy-back and shelf registration rights, with respect to any shares of common stock Ayar purchases in the Ayar Investment. If one or more of these stockholders were to sell a substantial portion of the shares they hold, it could cause the trading price of our common stock to decline. For six months following the closing of the Ayar Investment, Ayar will be subject to a contractual lock-up with respect to our common stock or other equity securities. See “Ayar Investment.”</w:t>
      </w:r>
    </w:p>
    <w:p>
      <w:pPr>
        <w:spacing w:after="0" w:line="188"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4"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may publish about us, our business and operations, our market, or our competitors.</w:t>
      </w:r>
    </w:p>
    <w:p>
      <w:pPr>
        <w:sectPr>
          <w:pgSz w:w="11900" w:h="16838" w:orient="portrait"/>
          <w:cols w:equalWidth="0" w:num="1">
            <w:col w:w="9879"/>
          </w:cols>
          <w:pgMar w:left="580" w:top="90" w:right="1440" w:bottom="1440" w:gutter="0" w:footer="0" w:header="0"/>
        </w:sect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w:t>
      </w:r>
    </w:p>
    <w:p>
      <w:pPr>
        <w:spacing w:after="0" w:line="103"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1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839" w:hanging="180"/>
        <w:spacing w:after="0" w:line="308"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pandemics (such as COVID-19), inflation, government closures of banks and liquidity concerns at other financial</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79"/>
        <w:spacing w:after="0" w:line="277" w:lineRule="auto"/>
        <w:rPr>
          <w:sz w:val="20"/>
          <w:szCs w:val="20"/>
          <w:color w:val="auto"/>
        </w:rPr>
      </w:pPr>
      <w:r>
        <w:rPr>
          <w:rFonts w:ascii="Arial" w:cs="Arial" w:eastAsia="Arial" w:hAnsi="Arial"/>
          <w:sz w:val="18"/>
          <w:szCs w:val="18"/>
          <w:color w:val="auto"/>
        </w:rPr>
        <w:t>institutions, changes in diplomatic and trade relationships, fluctuations in foreign currency exchange rates, acts of war or terrorism, and natural disasters; and</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other risk factors listed in this section “Risk Factors.”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the impact of the conflict between Ukraine and Russia, natural disasters, the COVID-19 pandemic,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w:t>
      </w:r>
    </w:p>
    <w:p>
      <w:pPr>
        <w:spacing w:after="0" w:line="10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left="1260" w:right="599"/>
        <w:spacing w:after="0" w:line="311"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As of March 31, 2023, PIF, both directly and indirectly through Ayar, held approximately 60.5%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estimate that the net proceeds from the sale of our common stock in this offering will be approximately $1.2 billion, after deducting the estimated expenses of this offering, and the net proceeds from the Ayar Investment will be approximately $1.8 billion, after deducting the estimated expenses of the Ayar Investment for aggregate net proceeds of approximately $3.0 billion. We intend to use the net proceeds from the sale of our common stock in this offering and the Ayar Investment for general corporate purposes, which may include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59" w:firstLine="360"/>
        <w:spacing w:after="0" w:line="293" w:lineRule="auto"/>
        <w:rPr>
          <w:sz w:val="20"/>
          <w:szCs w:val="20"/>
          <w:color w:val="auto"/>
        </w:rPr>
      </w:pPr>
      <w:r>
        <w:rPr>
          <w:rFonts w:ascii="Arial" w:cs="Arial" w:eastAsia="Arial" w:hAnsi="Arial"/>
          <w:sz w:val="16"/>
          <w:szCs w:val="16"/>
          <w:color w:val="auto"/>
        </w:rPr>
        <w:t>We have not paid any cash dividends on our common stock to date and we do not anticipate declaring any cash dividends in the foreseeable future. The payment of cash dividends in the future is dependent upon our revenues and earnings, if any, capital requirements, the terms of any indebtedness and general financial condition. In June 2022, we entered into a five-year senior secured asset-based revolving credit facility (the “ABL Credit Facility”), which contains restrictions on our ability to pay dividends. In addition, the Board is not currently contemplating and does not anticipate declaring any stock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1260" w:right="1239" w:firstLine="360"/>
        <w:spacing w:after="0" w:line="261" w:lineRule="auto"/>
        <w:rPr>
          <w:sz w:val="20"/>
          <w:szCs w:val="20"/>
          <w:color w:val="auto"/>
        </w:rPr>
      </w:pPr>
      <w:r>
        <w:rPr>
          <w:rFonts w:ascii="Arial" w:cs="Arial" w:eastAsia="Arial" w:hAnsi="Arial"/>
          <w:sz w:val="18"/>
          <w:szCs w:val="18"/>
          <w:color w:val="auto"/>
        </w:rPr>
        <w:t>The following table sets forth our cash, cash equivalents and short-term investments, and our capitalization as of March 31, 2023:</w:t>
      </w:r>
    </w:p>
    <w:p>
      <w:pPr>
        <w:spacing w:after="0" w:line="63"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this offering and the Ayar Investment, after deducting estimated offering expenses payable by us.</w:t>
      </w:r>
    </w:p>
    <w:p>
      <w:pPr>
        <w:spacing w:after="0" w:line="103" w:lineRule="exact"/>
        <w:rPr>
          <w:sz w:val="20"/>
          <w:szCs w:val="20"/>
          <w:color w:val="auto"/>
        </w:rPr>
      </w:pPr>
    </w:p>
    <w:p>
      <w:pPr>
        <w:ind w:left="1260" w:right="539" w:firstLine="360"/>
        <w:spacing w:after="0" w:line="245" w:lineRule="auto"/>
        <w:rPr>
          <w:rFonts w:ascii="Arial" w:cs="Arial" w:eastAsia="Arial" w:hAnsi="Arial"/>
          <w:sz w:val="18"/>
          <w:szCs w:val="18"/>
          <w:color w:val="auto"/>
        </w:rPr>
      </w:pPr>
      <w:r>
        <w:rPr>
          <w:rFonts w:ascii="Arial" w:cs="Arial" w:eastAsia="Arial" w:hAnsi="Arial"/>
          <w:sz w:val="18"/>
          <w:szCs w:val="18"/>
          <w:color w:val="auto"/>
        </w:rPr>
        <w:t xml:space="preserve">You should read this table in conjunction with the section “Management’s Discussion and Analysis of Financial Condition and Results of Operations” and our consolidated financial statements and related notes from our Annual Report on Form 10-K for the year ended </w:t>
      </w:r>
      <w:hyperlink r:id="rId31">
        <w:r>
          <w:rPr>
            <w:rFonts w:ascii="Arial" w:cs="Arial" w:eastAsia="Arial" w:hAnsi="Arial"/>
            <w:sz w:val="18"/>
            <w:szCs w:val="18"/>
            <w:u w:val="single" w:color="auto"/>
            <w:color w:val="0000EE"/>
          </w:rPr>
          <w:t>December 31,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Quarterly Report on Form 10-Q for the three months ended </w:t>
      </w:r>
      <w:hyperlink r:id="rId32">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incorporated by reference into this prospectus supplement and the accompanying prospectus.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89"/>
              </w:rPr>
              <w:t>As of March 31,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0"/>
                <w:szCs w:val="20"/>
                <w:color w:val="auto"/>
              </w:rPr>
            </w:pPr>
          </w:p>
        </w:tc>
        <w:tc>
          <w:tcPr>
            <w:tcW w:w="720" w:type="dxa"/>
            <w:vAlign w:val="bottom"/>
            <w:gridSpan w:val="2"/>
          </w:tcPr>
          <w:p>
            <w:pPr>
              <w:jc w:val="right"/>
              <w:spacing w:after="0" w:line="236" w:lineRule="exact"/>
              <w:rPr>
                <w:sz w:val="20"/>
                <w:szCs w:val="20"/>
                <w:color w:val="auto"/>
              </w:rPr>
            </w:pPr>
            <w:r>
              <w:rPr>
                <w:rFonts w:ascii="Arial" w:cs="Arial" w:eastAsia="Arial" w:hAnsi="Arial"/>
                <w:sz w:val="14"/>
                <w:szCs w:val="14"/>
                <w:b w:val="1"/>
                <w:bCs w:val="1"/>
                <w:color w:val="auto"/>
              </w:rPr>
              <w:t xml:space="preserve">Actual   </w:t>
            </w:r>
            <w:r>
              <w:rPr>
                <w:rFonts w:ascii="Arial" w:cs="Arial" w:eastAsia="Arial" w:hAnsi="Arial"/>
                <w:sz w:val="27"/>
                <w:szCs w:val="27"/>
                <w:b w:val="1"/>
                <w:bCs w:val="1"/>
                <w:color w:val="auto"/>
                <w:vertAlign w:val="subscript"/>
              </w:rPr>
              <w:t>​</w:t>
            </w:r>
          </w:p>
        </w:tc>
        <w:tc>
          <w:tcPr>
            <w:tcW w:w="880" w:type="dxa"/>
            <w:vAlign w:val="bottom"/>
            <w:gridSpan w:val="4"/>
          </w:tcPr>
          <w:p>
            <w:pPr>
              <w:jc w:val="right"/>
              <w:ind w:right="60"/>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4"/>
                <w:szCs w:val="14"/>
                <w:b w:val="1"/>
                <w:bCs w:val="1"/>
                <w:color w:val="auto"/>
                <w:w w:val="93"/>
              </w:rPr>
              <w:t xml:space="preserve"> As Adjusted</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(in millions, except for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7"/>
              </w:rPr>
              <w:t>share and per share amounts</w:t>
            </w:r>
          </w:p>
        </w:tc>
        <w:tc>
          <w:tcPr>
            <w:tcW w:w="0" w:type="dxa"/>
            <w:vAlign w:val="bottom"/>
          </w:tcPr>
          <w:p>
            <w:pPr>
              <w:spacing w:after="0"/>
              <w:rPr>
                <w:sz w:val="1"/>
                <w:szCs w:val="1"/>
                <w:color w:val="auto"/>
              </w:rPr>
            </w:pPr>
          </w:p>
        </w:tc>
      </w:tr>
      <w:tr>
        <w:trPr>
          <w:trHeight w:val="212"/>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and footnotes)</w:t>
            </w:r>
          </w:p>
        </w:tc>
        <w:tc>
          <w:tcPr>
            <w:tcW w:w="0" w:type="dxa"/>
            <w:vAlign w:val="bottom"/>
          </w:tcPr>
          <w:p>
            <w:pPr>
              <w:spacing w:after="0"/>
              <w:rPr>
                <w:sz w:val="1"/>
                <w:szCs w:val="1"/>
                <w:color w:val="auto"/>
              </w:rPr>
            </w:pPr>
          </w:p>
        </w:tc>
      </w:tr>
      <w:tr>
        <w:trPr>
          <w:trHeight w:val="303"/>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 term investments</w:t>
            </w:r>
          </w:p>
        </w:tc>
        <w:tc>
          <w:tcPr>
            <w:tcW w:w="420" w:type="dxa"/>
            <w:vAlign w:val="bottom"/>
            <w:gridSpan w:val="3"/>
            <w:shd w:val="clear" w:color="auto" w:fill="CCEEFF"/>
          </w:tcPr>
          <w:p>
            <w:pPr>
              <w:ind w:left="10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980" w:type="dxa"/>
            <w:vAlign w:val="bottom"/>
            <w:gridSpan w:val="4"/>
            <w:shd w:val="clear" w:color="auto" w:fill="CCEEFF"/>
          </w:tcPr>
          <w:p>
            <w:pPr>
              <w:jc w:val="right"/>
              <w:ind w:right="80"/>
              <w:spacing w:after="0" w:line="264" w:lineRule="exact"/>
              <w:rPr>
                <w:sz w:val="20"/>
                <w:szCs w:val="20"/>
                <w:color w:val="auto"/>
              </w:rPr>
            </w:pPr>
            <w:r>
              <w:rPr>
                <w:rFonts w:ascii="Arial" w:cs="Arial" w:eastAsia="Arial" w:hAnsi="Arial"/>
                <w:sz w:val="16"/>
                <w:szCs w:val="16"/>
                <w:color w:val="auto"/>
              </w:rPr>
              <w:t>2,978.4</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5,975.7</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tcPr>
          <w:p>
            <w:pPr>
              <w:spacing w:after="0"/>
              <w:rPr>
                <w:sz w:val="17"/>
                <w:szCs w:val="17"/>
                <w:color w:val="auto"/>
              </w:rPr>
            </w:pPr>
          </w:p>
        </w:tc>
        <w:tc>
          <w:tcPr>
            <w:tcW w:w="42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 ​​ ​</w:t>
            </w:r>
          </w:p>
        </w:tc>
        <w:tc>
          <w:tcPr>
            <w:tcW w:w="980" w:type="dxa"/>
            <w:vAlign w:val="bottom"/>
            <w:gridSpan w:val="4"/>
          </w:tcPr>
          <w:p>
            <w:pPr>
              <w:jc w:val="right"/>
              <w:ind w:right="40"/>
              <w:spacing w:after="0" w:line="203"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2026 Convertible Notes</w:t>
            </w:r>
            <w:r>
              <w:rPr>
                <w:rFonts w:ascii="Arial" w:cs="Arial" w:eastAsia="Arial" w:hAnsi="Arial"/>
                <w:sz w:val="23"/>
                <w:szCs w:val="23"/>
                <w:color w:val="auto"/>
                <w:vertAlign w:val="superscript"/>
              </w:rPr>
              <w:t>(1)</w:t>
            </w:r>
          </w:p>
        </w:tc>
        <w:tc>
          <w:tcPr>
            <w:tcW w:w="19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 ​​ ​ 2,012.5​​ ​​ ​ 2,012.5</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ABL Credit Facility</w:t>
            </w:r>
            <w:r>
              <w:rPr>
                <w:rFonts w:ascii="Arial" w:cs="Arial" w:eastAsia="Arial" w:hAnsi="Arial"/>
                <w:sz w:val="23"/>
                <w:szCs w:val="23"/>
                <w:color w:val="auto"/>
                <w:vertAlign w:val="superscript"/>
              </w:rPr>
              <w:t>(2)</w:t>
            </w:r>
          </w:p>
        </w:tc>
        <w:tc>
          <w:tcPr>
            <w:tcW w:w="420" w:type="dxa"/>
            <w:vAlign w:val="bottom"/>
            <w:gridSpan w:val="3"/>
          </w:tcPr>
          <w:p>
            <w:pPr>
              <w:ind w:left="100"/>
              <w:spacing w:after="0"/>
              <w:rPr>
                <w:sz w:val="20"/>
                <w:szCs w:val="20"/>
                <w:color w:val="auto"/>
              </w:rPr>
            </w:pPr>
            <w:r>
              <w:rPr>
                <w:rFonts w:ascii="Arial" w:cs="Arial" w:eastAsia="Arial" w:hAnsi="Arial"/>
                <w:sz w:val="18"/>
                <w:szCs w:val="18"/>
                <w:color w:val="auto"/>
              </w:rPr>
              <w:t>​ ​​ ​</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GIB Facility</w:t>
            </w:r>
            <w:r>
              <w:rPr>
                <w:rFonts w:ascii="Arial" w:cs="Arial" w:eastAsia="Arial" w:hAnsi="Arial"/>
                <w:sz w:val="23"/>
                <w:szCs w:val="23"/>
                <w:color w:val="auto"/>
                <w:vertAlign w:val="superscript"/>
              </w:rPr>
              <w:t>(3)</w:t>
            </w: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 ​</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SIDF Loan</w:t>
            </w:r>
            <w:r>
              <w:rPr>
                <w:rFonts w:ascii="Arial" w:cs="Arial" w:eastAsia="Arial" w:hAnsi="Arial"/>
                <w:sz w:val="23"/>
                <w:szCs w:val="23"/>
                <w:color w:val="auto"/>
                <w:vertAlign w:val="superscript"/>
              </w:rPr>
              <w:t>(4)</w:t>
            </w:r>
          </w:p>
        </w:tc>
        <w:tc>
          <w:tcPr>
            <w:tcW w:w="420" w:type="dxa"/>
            <w:vAlign w:val="bottom"/>
            <w:gridSpan w:val="3"/>
          </w:tcPr>
          <w:p>
            <w:pPr>
              <w:ind w:left="100"/>
              <w:spacing w:after="0" w:line="324"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980" w:type="dxa"/>
            <w:vAlign w:val="bottom"/>
            <w:gridSpan w:val="4"/>
          </w:tcPr>
          <w:p>
            <w:pPr>
              <w:jc w:val="right"/>
              <w:ind w:right="4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 </w:t>
            </w:r>
            <w:r>
              <w:rPr>
                <w:rFonts w:ascii="Arial" w:cs="Arial" w:eastAsia="Arial" w:hAnsi="Arial"/>
                <w:sz w:val="35"/>
                <w:szCs w:val="35"/>
                <w:color w:val="auto"/>
                <w:vertAlign w:val="superscript"/>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960" w:type="dxa"/>
            <w:vAlign w:val="bottom"/>
            <w:gridSpan w:val="8"/>
            <w:shd w:val="clear" w:color="auto" w:fill="CCEEFF"/>
          </w:tcPr>
          <w:p>
            <w:pPr>
              <w:ind w:left="10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 2,022.1</w:t>
            </w:r>
            <w:r>
              <w:rPr>
                <w:rFonts w:ascii="Arial" w:cs="Arial" w:eastAsia="Arial" w:hAnsi="Arial"/>
                <w:sz w:val="32"/>
                <w:szCs w:val="32"/>
                <w:color w:val="auto"/>
                <w:vertAlign w:val="subscript"/>
              </w:rPr>
              <w:t>​​ ​​</w:t>
            </w:r>
            <w:r>
              <w:rPr>
                <w:rFonts w:ascii="Arial" w:cs="Arial" w:eastAsia="Arial" w:hAnsi="Arial"/>
                <w:sz w:val="17"/>
                <w:szCs w:val="17"/>
                <w:color w:val="auto"/>
              </w:rPr>
              <w:t xml:space="preserve"> ​ 2,022.1</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gridSpan w:val="3"/>
          </w:tcPr>
          <w:p>
            <w:pPr>
              <w:ind w:left="100"/>
              <w:spacing w:after="0"/>
              <w:rPr>
                <w:sz w:val="20"/>
                <w:szCs w:val="20"/>
                <w:color w:val="auto"/>
              </w:rPr>
            </w:pPr>
            <w:r>
              <w:rPr>
                <w:rFonts w:ascii="Arial" w:cs="Arial" w:eastAsia="Arial" w:hAnsi="Arial"/>
                <w:sz w:val="18"/>
                <w:szCs w:val="18"/>
                <w:color w:val="auto"/>
              </w:rPr>
              <w:t>​ ​​ ​</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Preferred stock, $0.0001 par value per share; 10,000,000 shares authorized,</w:t>
            </w:r>
          </w:p>
        </w:tc>
        <w:tc>
          <w:tcPr>
            <w:tcW w:w="1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and as adjusted; no shares issued and outstanding, actual and as</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40" w:type="dxa"/>
            <w:vAlign w:val="bottom"/>
            <w:gridSpan w:val="2"/>
          </w:tcPr>
          <w:p>
            <w:pPr>
              <w:ind w:left="180"/>
              <w:spacing w:after="0"/>
              <w:rPr>
                <w:sz w:val="20"/>
                <w:szCs w:val="20"/>
                <w:color w:val="auto"/>
              </w:rPr>
            </w:pPr>
            <w:r>
              <w:rPr>
                <w:rFonts w:ascii="Arial" w:cs="Arial" w:eastAsia="Arial" w:hAnsi="Arial"/>
                <w:sz w:val="18"/>
                <w:szCs w:val="18"/>
                <w:color w:val="auto"/>
                <w:w w:val="93"/>
              </w:rPr>
              <w:t>Common stock, $0.0001 par value per share; 15,000,000,000 shares authorized,</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360"/>
              <w:spacing w:after="0"/>
              <w:rPr>
                <w:sz w:val="20"/>
                <w:szCs w:val="20"/>
                <w:color w:val="auto"/>
              </w:rPr>
            </w:pPr>
            <w:r>
              <w:rPr>
                <w:rFonts w:ascii="Arial" w:cs="Arial" w:eastAsia="Arial" w:hAnsi="Arial"/>
                <w:sz w:val="18"/>
                <w:szCs w:val="18"/>
                <w:color w:val="auto"/>
                <w:w w:val="92"/>
              </w:rPr>
              <w:t>actual and as adjusted; 1,834,242,999 shares issued and 1,833,385,174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360"/>
              <w:spacing w:after="0"/>
              <w:rPr>
                <w:sz w:val="20"/>
                <w:szCs w:val="20"/>
                <w:color w:val="auto"/>
              </w:rPr>
            </w:pPr>
            <w:r>
              <w:rPr>
                <w:rFonts w:ascii="Arial" w:cs="Arial" w:eastAsia="Arial" w:hAnsi="Arial"/>
                <w:sz w:val="18"/>
                <w:szCs w:val="18"/>
                <w:color w:val="auto"/>
                <w:w w:val="96"/>
              </w:rPr>
              <w:t>outstanding, actual; 2,273,481,650 shares issued and 2,272,623,825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240" w:type="dxa"/>
            <w:vAlign w:val="bottom"/>
            <w:gridSpan w:val="2"/>
          </w:tcPr>
          <w:p>
            <w:pPr>
              <w:ind w:left="360"/>
              <w:spacing w:after="0"/>
              <w:rPr>
                <w:sz w:val="20"/>
                <w:szCs w:val="20"/>
                <w:color w:val="auto"/>
              </w:rPr>
            </w:pPr>
            <w:r>
              <w:rPr>
                <w:rFonts w:ascii="Arial" w:cs="Arial" w:eastAsia="Arial" w:hAnsi="Arial"/>
                <w:sz w:val="18"/>
                <w:szCs w:val="18"/>
                <w:color w:val="auto"/>
              </w:rPr>
              <w:t>outstanding, as adjusted</w:t>
            </w:r>
          </w:p>
        </w:tc>
        <w:tc>
          <w:tcPr>
            <w:tcW w:w="42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0.18​​ ​​$</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96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 ​​$11,809.8​​ ​​$14,807.1</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4"/>
          </w:tcPr>
          <w:p>
            <w:pPr>
              <w:jc w:val="right"/>
              <w:ind w:right="35"/>
              <w:spacing w:after="0"/>
              <w:rPr>
                <w:sz w:val="20"/>
                <w:szCs w:val="20"/>
                <w:color w:val="auto"/>
              </w:rPr>
            </w:pPr>
            <w:r>
              <w:rPr>
                <w:rFonts w:ascii="Arial" w:cs="Arial" w:eastAsia="Arial" w:hAnsi="Arial"/>
                <w:sz w:val="18"/>
                <w:szCs w:val="18"/>
                <w:color w:val="auto"/>
              </w:rPr>
              <w:t>$ (8,149.9)</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8"/>
              </w:rPr>
              <w:t>$ (8,149.9)</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4300" w:type="dxa"/>
            <w:vAlign w:val="bottom"/>
          </w:tcPr>
          <w:p>
            <w:pPr>
              <w:spacing w:after="0"/>
              <w:rPr>
                <w:sz w:val="7"/>
                <w:szCs w:val="7"/>
                <w:color w:val="auto"/>
              </w:rPr>
            </w:pPr>
          </w:p>
        </w:tc>
        <w:tc>
          <w:tcPr>
            <w:tcW w:w="420" w:type="dxa"/>
            <w:vAlign w:val="bottom"/>
            <w:gridSpan w:val="3"/>
          </w:tcPr>
          <w:p>
            <w:pPr>
              <w:ind w:left="100"/>
              <w:spacing w:after="0" w:line="81" w:lineRule="exact"/>
              <w:rPr>
                <w:sz w:val="20"/>
                <w:szCs w:val="20"/>
                <w:color w:val="auto"/>
              </w:rPr>
            </w:pPr>
            <w:r>
              <w:rPr>
                <w:rFonts w:ascii="Arial" w:cs="Arial" w:eastAsia="Arial" w:hAnsi="Arial"/>
                <w:sz w:val="9"/>
                <w:szCs w:val="9"/>
                <w:color w:val="auto"/>
              </w:rPr>
              <w:t>​ ​​</w:t>
            </w:r>
          </w:p>
        </w:tc>
        <w:tc>
          <w:tcPr>
            <w:tcW w:w="600" w:type="dxa"/>
            <w:vAlign w:val="bottom"/>
          </w:tcPr>
          <w:p>
            <w:pPr>
              <w:spacing w:after="0"/>
              <w:rPr>
                <w:sz w:val="7"/>
                <w:szCs w:val="7"/>
                <w:color w:val="auto"/>
              </w:rPr>
            </w:pPr>
          </w:p>
        </w:tc>
        <w:tc>
          <w:tcPr>
            <w:tcW w:w="380" w:type="dxa"/>
            <w:vAlign w:val="bottom"/>
            <w:gridSpan w:val="3"/>
          </w:tcPr>
          <w:p>
            <w:pPr>
              <w:jc w:val="center"/>
              <w:ind w:right="120"/>
              <w:spacing w:after="0" w:line="81" w:lineRule="exact"/>
              <w:rPr>
                <w:sz w:val="20"/>
                <w:szCs w:val="20"/>
                <w:color w:val="auto"/>
              </w:rPr>
            </w:pPr>
            <w:r>
              <w:rPr>
                <w:rFonts w:ascii="Arial" w:cs="Arial" w:eastAsia="Arial" w:hAnsi="Arial"/>
                <w:sz w:val="9"/>
                <w:szCs w:val="9"/>
                <w:color w:val="auto"/>
              </w:rPr>
              <w:t>​​ ​​</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420" w:type="dxa"/>
            <w:vAlign w:val="bottom"/>
            <w:gridSpan w:val="3"/>
            <w:shd w:val="clear" w:color="auto" w:fill="CCEEFF"/>
          </w:tcPr>
          <w:p>
            <w:pPr>
              <w:ind w:left="10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980" w:type="dxa"/>
            <w:vAlign w:val="bottom"/>
            <w:gridSpan w:val="4"/>
            <w:shd w:val="clear" w:color="auto" w:fill="CCEEFF"/>
          </w:tcPr>
          <w:p>
            <w:pPr>
              <w:jc w:val="right"/>
              <w:ind w:right="80"/>
              <w:spacing w:after="0" w:line="276" w:lineRule="exact"/>
              <w:rPr>
                <w:sz w:val="20"/>
                <w:szCs w:val="20"/>
                <w:color w:val="auto"/>
              </w:rPr>
            </w:pPr>
            <w:r>
              <w:rPr>
                <w:rFonts w:ascii="Arial" w:cs="Arial" w:eastAsia="Arial" w:hAnsi="Arial"/>
                <w:sz w:val="17"/>
                <w:szCs w:val="17"/>
                <w:color w:val="auto"/>
              </w:rPr>
              <w:t>3,631.9</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6,629.2</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420" w:type="dxa"/>
            <w:vAlign w:val="bottom"/>
            <w:gridSpan w:val="3"/>
          </w:tcPr>
          <w:p>
            <w:pPr>
              <w:ind w:left="100"/>
              <w:spacing w:after="0" w:line="276"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980" w:type="dxa"/>
            <w:vAlign w:val="bottom"/>
            <w:gridSpan w:val="4"/>
          </w:tcPr>
          <w:p>
            <w:pPr>
              <w:jc w:val="right"/>
              <w:ind w:right="80"/>
              <w:spacing w:after="0" w:line="276" w:lineRule="exact"/>
              <w:rPr>
                <w:sz w:val="20"/>
                <w:szCs w:val="20"/>
                <w:color w:val="auto"/>
              </w:rPr>
            </w:pPr>
            <w:r>
              <w:rPr>
                <w:rFonts w:ascii="Arial" w:cs="Arial" w:eastAsia="Arial" w:hAnsi="Arial"/>
                <w:sz w:val="17"/>
                <w:szCs w:val="17"/>
                <w:color w:val="auto"/>
              </w:rPr>
              <w:t>5,654.0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8,651.3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-3830955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20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220335" cy="825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-2039620</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52203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220335" cy="825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-290830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01"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outstanding principal amount.</w:t>
      </w:r>
    </w:p>
    <w:p>
      <w:pPr>
        <w:spacing w:after="0" w:line="76" w:lineRule="exact"/>
        <w:rPr>
          <w:rFonts w:ascii="Arial" w:cs="Arial" w:eastAsia="Arial" w:hAnsi="Arial"/>
          <w:sz w:val="18"/>
          <w:szCs w:val="18"/>
          <w:color w:val="auto"/>
        </w:rPr>
      </w:pPr>
    </w:p>
    <w:p>
      <w:pPr>
        <w:ind w:left="1620" w:right="419" w:hanging="360"/>
        <w:spacing w:after="0" w:line="275"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of March 31, 2023, we had no outstanding borrowings and $37.9 million outstanding letters of credit under the ABL Credit Facility. The ABL Credit Facility provides for an initial aggregate principal commitment amount of up to $1.0 billion (including a $350.0 million letter of credit subfacility and a $100.0 million swingline loan subfacility), the availability of which amount is subject to the value of eligible assets in the borrowing base, and has a stated maturity date of June 9, 2027.</w:t>
      </w:r>
    </w:p>
    <w:p>
      <w:pPr>
        <w:spacing w:after="0" w:line="41" w:lineRule="exact"/>
        <w:rPr>
          <w:rFonts w:ascii="Arial" w:cs="Arial" w:eastAsia="Arial" w:hAnsi="Arial"/>
          <w:sz w:val="17"/>
          <w:szCs w:val="17"/>
          <w:color w:val="auto"/>
        </w:rPr>
      </w:pPr>
    </w:p>
    <w:p>
      <w:pPr>
        <w:ind w:left="1620" w:right="639" w:hanging="360"/>
        <w:spacing w:after="0" w:line="275" w:lineRule="auto"/>
        <w:tabs>
          <w:tab w:leader="none" w:pos="1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April 29, 2022, and as amended on March 12, 2023, our wholly-owned subsidiary Lucid, LLC, a limited liability company established in the Kingdom of Saudi Arabia (“Lucid LLC”), entered into a revolving credit facility agreement (the “GIB Credit Facility Agreement”). The GIB Credit Facility Agreement provides for a credit facility in an aggregate principal amount of SAR 1 billion (approximately $266.4 million). Loans under the GIB Credit Facility Agreement will have a maturity</w:t>
      </w:r>
    </w:p>
    <w:p>
      <w:pPr>
        <w:sectPr>
          <w:pgSz w:w="11900" w:h="16838" w:orient="portrait"/>
          <w:cols w:equalWidth="0" w:num="1">
            <w:col w:w="9879"/>
          </w:cols>
          <w:pgMar w:left="580" w:top="90" w:right="1440" w:bottom="1440" w:gutter="0" w:footer="0" w:header="0"/>
        </w:sectPr>
      </w:pPr>
    </w:p>
    <w:p>
      <w:pPr>
        <w:spacing w:after="0" w:line="35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579"/>
        <w:spacing w:after="0" w:line="263" w:lineRule="auto"/>
        <w:rPr>
          <w:sz w:val="20"/>
          <w:szCs w:val="20"/>
          <w:color w:val="auto"/>
        </w:rPr>
      </w:pPr>
      <w:r>
        <w:rPr>
          <w:rFonts w:ascii="Arial" w:cs="Arial" w:eastAsia="Arial" w:hAnsi="Arial"/>
          <w:sz w:val="18"/>
          <w:szCs w:val="18"/>
          <w:color w:val="auto"/>
        </w:rPr>
        <w:t>of no more than 12 months. As of March 31, 2023, we had outstanding borrowings of SAR 36 million (approximately $9.6 million) under the GIB Credit Facility Agreement, which was recorded within other current liabilities on condensed consolidated balance sheets.</w:t>
      </w:r>
    </w:p>
    <w:p>
      <w:pPr>
        <w:spacing w:after="0" w:line="49" w:lineRule="exact"/>
        <w:rPr>
          <w:sz w:val="20"/>
          <w:szCs w:val="20"/>
          <w:color w:val="auto"/>
        </w:rPr>
      </w:pPr>
    </w:p>
    <w:p>
      <w:pPr>
        <w:ind w:left="1620" w:right="439" w:hanging="360"/>
        <w:spacing w:after="0" w:line="279"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February 27, 2022, Lucid LLC entered into a loan agreement (the “SIDF Loan Agreement”). Under the SIDF Loan Agreement, the Saudi Industrial Development Fund committed to provide loans to Lucid LLC in an aggregate principal amount of up to SAR 5.19 billion (approximately $1.4 billion). As of March 31, 2023, we had no outstanding borrowings under the SIDF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AYAR INVESTMENT</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Ayar has agreed to purchase from us, subject to certain conditions, 265,693,703 shares of our common stock in a private placement concurrently with this offering. We refer to this private placement as the “Ayar Investment.” The number of shares that Ayar has agreed to purchase from us in the Ayar Investment is equal to the number of shares of our common stock that we sell in this offering, multiplied by a ratio, the numerator of which is approximately 60.5%, which is the number of shares of our common stock owned by PIF, both directly and indirectly through Ayar, as a percentage of the total number of shares of our common stock outstanding as of March 31, 2023, and the denominator of which is approximately 39.5%, rounded down to the nearest whole share. Following the sale in this offering and the sale in the Ayar Investment, PIF, both directly and indirectly through Ayar, is expected to continue to own approximately 60.5% of our outstanding stock. We expect to settle the Ayar Investment on or about June 26, 2023, for an aggregate purchase price of approximately $1.8 billion, after expenses.</w:t>
      </w:r>
    </w:p>
    <w:p>
      <w:pPr>
        <w:spacing w:after="0" w:line="11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On May 31, 2023, we entered into a second amendment to the Investor Rights Agreement (the “Second IRA Amendment”). Pursuant to the Second IRA Amendment, Ayar will be entitled to certain registration rights, including demand, piggy-back and shelf registration rights, with respect to the shares of common stock Ayar purchases in the Ayar Investment.</w:t>
      </w:r>
    </w:p>
    <w:p>
      <w:pPr>
        <w:spacing w:after="0" w:line="106"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The Ayar Investment is not a part of this offering, and is in addition to the 173,544,948 shares that we are selling in this offering. The completion of the Ayar Investment is contingent on the completion of this offering, as well as certain other customary closing conditions.</w:t>
      </w:r>
    </w:p>
    <w:p>
      <w:pPr>
        <w:spacing w:after="0" w:line="116"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Ayar has agreed, with certain exceptions, that without our prior written consent, it will not, for six months after the date of the closing of the Ayar Investment:</w:t>
      </w:r>
    </w:p>
    <w:p>
      <w:pPr>
        <w:spacing w:after="0" w:line="62" w:lineRule="exact"/>
        <w:rPr>
          <w:sz w:val="20"/>
          <w:szCs w:val="20"/>
          <w:color w:val="auto"/>
        </w:rPr>
      </w:pPr>
    </w:p>
    <w:p>
      <w:pPr>
        <w:ind w:left="1800" w:right="599" w:hanging="180"/>
        <w:spacing w:after="0" w:line="259"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w:t>
      </w:r>
    </w:p>
    <w:p>
      <w:pPr>
        <w:spacing w:after="0" w:line="7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19"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in each case, whether any such transaction described above is to be settled by delivery of common stock or such other securities, in cash or otherwise.</w:t>
      </w:r>
    </w:p>
    <w:p>
      <w:pPr>
        <w:spacing w:after="0" w:line="89"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our board of directors and made to all holders of shares of our capital stock involving a change of control. These restrictions apply to securities owned now or acquired later by Ayar or for which Ayar has or later acquires the power of disposition.</w:t>
      </w:r>
    </w:p>
    <w:p>
      <w:pPr>
        <w:spacing w:after="0" w:line="124"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We have agreed in the underwriting agreement for this offering not to waive these restrictions without the consent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The underwriters listed in the table below are referred herein to as the “underwriters,” or if there is only one underwriter listed in the table below, the term underwriters shall mean either the singular or plural as the context requires, are acting as the underwriters for this offering. Subject to the terms and conditions set forth in an underwriting agreement between us and the underwriters, we have agreed to sell to the underwriters, and the underwriters have agreed to purchase from us, the number of shares indicated in the following table at a price of $6.83 per share, which will result in approximately $1.2 billion of net proceeds to us. The underwriters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 In connection with the sale of the shares of common stock offered hereby, the underwriters may be deemed to have received compensation in the form of underwriting discounts.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w:t>
      </w:r>
    </w:p>
    <w:p>
      <w:pPr>
        <w:spacing w:after="0" w:line="5"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88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520" w:type="dxa"/>
            <w:vAlign w:val="bottom"/>
            <w:gridSpan w:val="2"/>
          </w:tcPr>
          <w:p>
            <w:pPr>
              <w:ind w:left="2300"/>
              <w:spacing w:after="0"/>
              <w:rPr>
                <w:sz w:val="20"/>
                <w:szCs w:val="20"/>
                <w:color w:val="auto"/>
              </w:rPr>
            </w:pPr>
            <w:r>
              <w:rPr>
                <w:rFonts w:ascii="Arial" w:cs="Arial" w:eastAsia="Arial" w:hAnsi="Arial"/>
                <w:sz w:val="14"/>
                <w:szCs w:val="14"/>
                <w:b w:val="1"/>
                <w:bCs w:val="1"/>
                <w:color w:val="auto"/>
              </w:rPr>
              <w:t>​ ​</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92"/>
              </w:rPr>
              <w:t>Number of Shares</w:t>
            </w:r>
            <w:r>
              <w:rPr>
                <w:rFonts w:ascii="Arial" w:cs="Arial" w:eastAsia="Arial" w:hAnsi="Arial"/>
                <w:sz w:val="28"/>
                <w:szCs w:val="28"/>
                <w:b w:val="1"/>
                <w:bCs w:val="1"/>
                <w:color w:val="auto"/>
                <w:w w:val="92"/>
                <w:vertAlign w:val="subscript"/>
              </w:rPr>
              <w:t>​</w:t>
            </w:r>
          </w:p>
        </w:tc>
      </w:tr>
      <w:tr>
        <w:trPr>
          <w:trHeight w:val="277"/>
        </w:trPr>
        <w:tc>
          <w:tcPr>
            <w:tcW w:w="38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3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ind w:left="20"/>
              <w:spacing w:after="0" w:line="276" w:lineRule="exact"/>
              <w:rPr>
                <w:sz w:val="20"/>
                <w:szCs w:val="20"/>
                <w:color w:val="auto"/>
              </w:rPr>
            </w:pPr>
            <w:r>
              <w:rPr>
                <w:rFonts w:ascii="Arial" w:cs="Arial" w:eastAsia="Arial" w:hAnsi="Arial"/>
                <w:sz w:val="32"/>
                <w:szCs w:val="32"/>
                <w:color w:val="auto"/>
                <w:w w:val="93"/>
                <w:vertAlign w:val="subscript"/>
              </w:rPr>
              <w:t>​</w:t>
            </w:r>
            <w:r>
              <w:rPr>
                <w:rFonts w:ascii="Arial" w:cs="Arial" w:eastAsia="Arial" w:hAnsi="Arial"/>
                <w:sz w:val="17"/>
                <w:szCs w:val="17"/>
                <w:color w:val="auto"/>
                <w:w w:val="93"/>
              </w:rPr>
              <w:t>173,544,948</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27"/>
        </w:trPr>
        <w:tc>
          <w:tcPr>
            <w:tcW w:w="3880" w:type="dxa"/>
            <w:vAlign w:val="bottom"/>
          </w:tcPr>
          <w:p>
            <w:pPr>
              <w:ind w:left="18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35"/>
                <w:szCs w:val="35"/>
                <w:color w:val="auto"/>
                <w:w w:val="95"/>
                <w:vertAlign w:val="subscript"/>
              </w:rPr>
              <w:t>​</w:t>
            </w:r>
            <w:r>
              <w:rPr>
                <w:rFonts w:ascii="Arial" w:cs="Arial" w:eastAsia="Arial" w:hAnsi="Arial"/>
                <w:sz w:val="18"/>
                <w:szCs w:val="18"/>
                <w:color w:val="auto"/>
                <w:w w:val="95"/>
              </w:rPr>
              <w:t>173,544,948</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ind w:left="1260" w:right="879" w:firstLine="360"/>
        <w:spacing w:after="0" w:line="254"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to purchase all of the shares sold under the underwriting agreement if any of these shares are purchased.</w:t>
      </w:r>
    </w:p>
    <w:p>
      <w:pPr>
        <w:spacing w:after="0" w:line="12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3"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If there is more than one underwriter, and an underwriter defaults, the underwriting agreement provides that the purchase commitments of the non-defaulting underwriters may be increased or the underwriting agreement may be terminated.</w:t>
      </w:r>
    </w:p>
    <w:p>
      <w:pPr>
        <w:spacing w:after="0" w:line="110"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expenses of this offering and the Ayar Investment are estimated at $2.9 million and are payable by us. We have agreed to reimburse the underwriter for the reasonable legal fees and disbursements of their counsel relating to the review of this offering by the Financial Industry Regulatory Authority, up to $15,000. The underwriter has agreed to reimburse us for certain expenses incurred in connection with this offering.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shares are listed on the Nasdaq Global Select Market under the symbol “LCID.”</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transfer agent and registrar for our common stock is Equiniti Trust Company.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62"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We and our executive officers and directors have agreed, with certain limited exceptions, that without the prior written consent of the underwriters, we and they will not, for a period of 60 days after the date of this prospectus supplement:</w:t>
      </w:r>
    </w:p>
    <w:p>
      <w:pPr>
        <w:spacing w:after="0" w:line="76" w:lineRule="exact"/>
        <w:rPr>
          <w:sz w:val="20"/>
          <w:szCs w:val="20"/>
          <w:color w:val="auto"/>
        </w:rPr>
      </w:pPr>
    </w:p>
    <w:p>
      <w:pPr>
        <w:ind w:left="1800" w:right="67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directly or indirectly, offer, pledge, sell, contract to sell, sell any option or contract to purchase, purchase any option or contract to sell, grant any option, right or warrant to purchase or otherwise</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99"/>
        <w:spacing w:after="0" w:line="277" w:lineRule="auto"/>
        <w:rPr>
          <w:sz w:val="20"/>
          <w:szCs w:val="20"/>
          <w:color w:val="auto"/>
        </w:rPr>
      </w:pPr>
      <w:r>
        <w:rPr>
          <w:rFonts w:ascii="Arial" w:cs="Arial" w:eastAsia="Arial" w:hAnsi="Arial"/>
          <w:sz w:val="18"/>
          <w:szCs w:val="18"/>
          <w:color w:val="auto"/>
        </w:rPr>
        <w:t>transfer or dispose of any shares of common stock, or any securities convertible into or exercisable or exchangeable for common stock;</w:t>
      </w:r>
    </w:p>
    <w:p>
      <w:pPr>
        <w:spacing w:after="0" w:line="76" w:lineRule="exact"/>
        <w:rPr>
          <w:sz w:val="20"/>
          <w:szCs w:val="20"/>
          <w:color w:val="auto"/>
        </w:rPr>
      </w:pPr>
    </w:p>
    <w:p>
      <w:pPr>
        <w:ind w:left="1800" w:right="6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of such common stock, or file, cause to be filed or cause to be confidentially submitted any registration statement in connection therewith, under the Securities Act of 1933, as amended; or</w:t>
      </w:r>
    </w:p>
    <w:p>
      <w:pPr>
        <w:spacing w:after="0" w:line="75"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19"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in each case, whether any such transaction described above is to be settled by delivery of common stock or such other securities, in cash or otherwise. In addition, we and each such person has agreed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w:t>
      </w:r>
    </w:p>
    <w:p>
      <w:pPr>
        <w:spacing w:after="0" w:line="11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With respect to issuances or sales by us, these restrictions do not apply to the shares to be sold in this offering; any shares of common stock issued by us upon the exercise of an option or warrant or the conversion of a security outstanding on the date of this prospectus; any shares of common stock issued upon the exercise, vesting or settlement of equity awards or the issuance of equity awards granted pursuant to our existing employee benefit plans existing on the date of this prospectus; any shares of common stock issued pursuant to any non-employee director stock plan or dividend reinvestment plan existing on the date of this prospectus; the entry into agreements to issue or the issuance of up to 5% of our outstanding common stock in connection with one or more acquisitions or strategic transactions, in each case subject to certain conditions; any shares of common stock issued to Ayar pursuant to the terms of the Ayar Investment; or any action required to be taken under the Company’s Investor Rights Agreement.</w:t>
      </w:r>
    </w:p>
    <w:p>
      <w:pPr>
        <w:spacing w:after="0" w:line="104"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 respect to sales by our directors and our executive officers, subject to certain customary conditions, these restrictions do not apply to transfers made by will, other testamentary document or intestacy; as a bona fide gift or gifts, including to charitable organizations or for bona fide estate planning purposes; to any trust for the benefit of the director or officer; or the immediate family of the director or officer; to a partnership, limited liability company or other entity of which the director or officer and the immediate family of the director or officer are the legal and beneficial owner of all of the outstanding equity securities; if the lock-up agreement signatory is a business entity, to another business entity that is an affiliate of the director or officer, or to any investment fund or other entity controlling, controlled by, managing or managed by or under common control with the director or officer or affiliates of the director or officer, or as part of a distribution to members or shareholders of the lock-up agreement signatory; to a nominee or custodian of any person or entity to whom a transfer would be permissible under any of the preceding exceptions set forth in this sentence; in the case of an individual, by operation of law; from an employee or a director of, or a service provider to, the Company or any of its subsidiaries upon the death, disability or termination of employment, in each case, of such person; pursuant to a bona fide third-party tender offer, merger, consolidation or other similar transaction that is approved by the board of directors of the Company and made to all holders of shares of the Company’s capital stock involving a change of control; in connection with the exercise of any stock options or warrants, or the vesting or settlement of any restricted stock units or other compensatory equity securities in respect of shares of the Company outstanding as of the date the lock-up agreement is executed for any payment due for the exercise of options or other rights to purchase securities of the Company and to cover tax withholding obligations or taxes due in connection with such vesting, settlement or exercise (including by means of a “net settlement,” “sell to cover” or otherwise); and pursuant to trading plans established in accordance with Rule 10b5-1 under the Exchange Act prior to the date hereof. This lock-up provision applies to our common stock and to securities convertible into or exchangeable or exercisable for our common stock. It also applies to common stock owned now or acquired later by the person executing the agreement or for which the person executing the agreement later acquires the power of disposition.</w:t>
      </w:r>
    </w:p>
    <w:p>
      <w:pPr>
        <w:spacing w:after="0" w:line="38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62"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Until the distribution of the shares is completed, SEC rules may limit the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113"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Stabilizing transactions consist of various bids for or purchases of shares of common stock made by the underwriters in the open market to peg, fix or maintain the price of our common stock prior to the completion of the offering.</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underwriters may also impose a penalty bid.</w:t>
      </w:r>
    </w:p>
    <w:p>
      <w:pPr>
        <w:spacing w:after="0" w:line="14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these transactions, once commenced, will not be discontinued without notice.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Some of the underwriters’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affiliates of the underwriters are lenders and/or agents under our ABL Credit Facility.</w:t>
      </w:r>
    </w:p>
    <w:p>
      <w:pPr>
        <w:spacing w:after="0" w:line="99"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In addition, from time to time, certain of affiliates of the underwriters may effect transactions for their own account or the account of customers, and hold on behalf of themselves or their customers, long or short positions in our debt or equity, securities or loans, and may do so in the future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at any time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connection with the offering, the underwriters or securities dealers may distribute prospectuses by electronic means, such as e-mail.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common stock is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w:t>
      </w:r>
    </w:p>
    <w:p>
      <w:pPr>
        <w:spacing w:after="0" w:line="2" w:lineRule="exact"/>
        <w:rPr>
          <w:sz w:val="20"/>
          <w:szCs w:val="20"/>
          <w:color w:val="auto"/>
        </w:rPr>
      </w:pPr>
    </w:p>
    <w:p>
      <w:pPr>
        <w:ind w:left="1260" w:right="439"/>
        <w:spacing w:after="0" w:line="262" w:lineRule="auto"/>
        <w:tabs>
          <w:tab w:leader="none" w:pos="16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Article 4(1) of MiFID II. Consequently no key information document required by Regulation (EU) No 1286/2014 (as amended, the “PRIIPs Regulation”) for offering or selling the common stock or otherwise making them available to retail investors in the EEA or in the UK has been prepared and therefore offering or selling the common stock or otherwise making them available to any retail investor in the EEA or in the UK may be unlawful under the PRIIPS Regulation. This prospectus has been prepared on the basis</w:t>
      </w:r>
    </w:p>
    <w:p>
      <w:pPr>
        <w:sectPr>
          <w:pgSz w:w="11900" w:h="16838" w:orient="portrait"/>
          <w:cols w:equalWidth="0" w:num="1">
            <w:col w:w="9879"/>
          </w:cols>
          <w:pgMar w:left="580" w:top="90" w:right="1440" w:bottom="1440" w:gutter="0" w:footer="0" w:header="0"/>
        </w:sectPr>
      </w:pPr>
    </w:p>
    <w:p>
      <w:pPr>
        <w:spacing w:after="0" w:line="34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that any offer of common stock in any Member State of the EEA will be made pursuant to an exemption under Regulation (EU) 2017/1129 (the “Prospectus Regulation”) from the requirement to publish a prospectus for offers of such common stock. This prospectus is not a prospectus for the purposes of the Prospectus Regulation.</w:t>
      </w:r>
    </w:p>
    <w:p>
      <w:pPr>
        <w:spacing w:after="0" w:line="119"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4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common stock have been or will be filed with or approved by any Swiss regulatory authority. In particular, this document will not be filed with, and the offer of the common stock will not be supervised by, the Swiss Financial Market Supervisory Authority FINMA (FINMA), and the offer of the common stock has not been and will not be authorized under the Swiss Federal Act on Collective Investment Schemes (“CISA”). The investor protection afforded to acquirers of interests in collective investment schemes under the CISA does not extend to acquirers of the common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ectPr>
          <w:pgSz w:w="11900" w:h="16838" w:orient="portrait"/>
          <w:cols w:equalWidth="0" w:num="1">
            <w:col w:w="9879"/>
          </w:cols>
          <w:pgMar w:left="580" w:top="90" w:right="1440" w:bottom="1440" w:gutter="0" w:footer="0" w:header="0"/>
        </w:sectPr>
      </w:pPr>
    </w:p>
    <w:p>
      <w:pPr>
        <w:spacing w:after="0" w:line="37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the common stock may only be made to persons (the “Exempt Investors”)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are “sophisticated investors” (within​ the meaning of section 708(8) of the Corporations Act),</w:t>
      </w:r>
    </w:p>
    <w:p>
      <w:pPr>
        <w:ind w:left="1260" w:right="579"/>
        <w:spacing w:after="0" w:line="268" w:lineRule="auto"/>
        <w:rPr>
          <w:sz w:val="20"/>
          <w:szCs w:val="20"/>
          <w:color w:val="auto"/>
        </w:rPr>
      </w:pPr>
      <w:r>
        <w:rPr>
          <w:rFonts w:ascii="Arial" w:cs="Arial" w:eastAsia="Arial" w:hAnsi="Arial"/>
          <w:sz w:val="17"/>
          <w:szCs w:val="17"/>
          <w:color w:val="auto"/>
        </w:rPr>
        <w:t>“professional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9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w:t>
      </w:r>
    </w:p>
    <w:p>
      <w:pPr>
        <w:spacing w:after="0" w:line="103"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common stock may not be offered or sold in Hong Kong, by means of any document, other than</w:t>
      </w:r>
    </w:p>
    <w:p>
      <w:pPr>
        <w:spacing w:after="0" w:line="35" w:lineRule="exact"/>
        <w:rPr>
          <w:sz w:val="20"/>
          <w:szCs w:val="20"/>
          <w:color w:val="auto"/>
        </w:rPr>
      </w:pPr>
    </w:p>
    <w:p>
      <w:pPr>
        <w:ind w:left="1260" w:right="419"/>
        <w:spacing w:after="0" w:line="256" w:lineRule="auto"/>
        <w:tabs>
          <w:tab w:leader="none" w:pos="15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is or is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common stock may not be offered or sold or caused to be made the subject of an invitation for subscription or purchase, and this prospectus or any other document or material in connection with the offer or sale, or invitation for subscription or purchase, of the common stock, may not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1260" w:right="619"/>
        <w:spacing w:after="0" w:line="245" w:lineRule="auto"/>
        <w:tabs>
          <w:tab w:leader="none" w:pos="15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103" w:lineRule="exact"/>
        <w:rPr>
          <w:sz w:val="20"/>
          <w:szCs w:val="20"/>
          <w:color w:val="auto"/>
        </w:rPr>
      </w:pPr>
    </w:p>
    <w:p>
      <w:pPr>
        <w:ind w:left="5180" w:right="579" w:hanging="3560"/>
        <w:spacing w:after="0" w:line="731" w:lineRule="auto"/>
        <w:tabs>
          <w:tab w:leader="none" w:pos="19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right="579"/>
        <w:spacing w:after="0" w:line="277" w:lineRule="auto"/>
        <w:rPr>
          <w:sz w:val="20"/>
          <w:szCs w:val="20"/>
          <w:color w:val="auto"/>
        </w:rPr>
      </w:pPr>
      <w:r>
        <w:rPr>
          <w:rFonts w:ascii="Arial" w:cs="Arial" w:eastAsia="Arial" w:hAnsi="Arial"/>
          <w:sz w:val="18"/>
          <w:szCs w:val="18"/>
          <w:color w:val="auto"/>
        </w:rPr>
        <w:t>business of which is to hold investments and the entire share capital of which is owned by one or more individuals, each of whom is an accredited investor; or</w:t>
      </w:r>
    </w:p>
    <w:p>
      <w:pPr>
        <w:spacing w:after="0" w:line="76" w:lineRule="exact"/>
        <w:rPr>
          <w:sz w:val="20"/>
          <w:szCs w:val="20"/>
          <w:color w:val="auto"/>
        </w:rPr>
      </w:pPr>
    </w:p>
    <w:p>
      <w:pPr>
        <w:ind w:left="1980" w:right="579" w:hanging="360"/>
        <w:spacing w:after="0" w:line="27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49" w:lineRule="exact"/>
        <w:rPr>
          <w:sz w:val="20"/>
          <w:szCs w:val="20"/>
          <w:color w:val="auto"/>
        </w:rPr>
      </w:pPr>
    </w:p>
    <w:p>
      <w:pPr>
        <w:ind w:left="1260" w:right="519"/>
        <w:spacing w:after="0" w:line="24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59" w:lineRule="exact"/>
        <w:rPr>
          <w:sz w:val="20"/>
          <w:szCs w:val="20"/>
          <w:color w:val="auto"/>
        </w:rPr>
      </w:pPr>
    </w:p>
    <w:p>
      <w:pPr>
        <w:ind w:left="1980" w:right="599" w:hanging="360"/>
        <w:spacing w:after="0" w:line="277"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90"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4"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 xml:space="preserve">The common stock may be sold only to purchasers purchasing, or deemed to be purchasing, as principal that are accredited investors, as defined in National Instrument 45- 106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common stock must be made in accordance with an exemption from, or in a transaction not subject to, the prospectus requirements of applicable securities laws.</w:t>
      </w:r>
    </w:p>
    <w:p>
      <w:pPr>
        <w:spacing w:after="0" w:line="64"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6"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underwriters conflicts of interest in connection with this offering.</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Benefit Plan Investors</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The common stock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the common stock is consistent with its fiduciary duties under any applicable provision of ERISA, Section 4975 of the Code or Similar Laws. Each purchaser that is a Plan must also determine, and will be deemed to have represented by its purchase and holding of the common stock, that such purchase and holding and any subsequent disposition of the common stock will not constitute or result in a non-exempt prohibited transaction under Section 406 of ERISA or Section 4975 of the Code, or a violation of any applicable Similar Law. Such purchaser should consider the fact that neither we, the underwriters nor any of our or its respective affiliates is acting as a fiduciary to any Plan with respect to the decision to acquire the common stock in connection with the offering hereunder. Due to the complexity of these rules and the penalties that may be imposed upon persons involved in non-exempt prohibited transactions, it is particularly important that fiduciaries, or other persons considering acquiring the common stock on behalf of, or with the assets of, any Plan, consult with their counsel regarding the potential applicability of ERISA, Section 4975 of the</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Code and any Similar Laws to such decision and whether an exemption would be applicable to the acquisition and holding of the common stock. Nothing in this prospectus supplement is, or should be construed as, a representation or advice as to whether an investment in the common stock is appropriate for, or would meet any or all of the relevant legal requirements with respect to investments by, Plans generally or any particular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The legality of the common stock offered hereby will be passed upon for us by Davis Polk &amp; Wardwell LLP, Menlo Park, California. The underwriters have been represented by Simpson Thacher &amp; Bartlett LLP, Palo Alto, California.</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340995</wp:posOffset>
            </wp:positionV>
            <wp:extent cx="3206115"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320611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$7,400,017,750</w:t>
      </w:r>
    </w:p>
    <w:p>
      <w:pPr>
        <w:spacing w:after="0" w:line="18"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Common Stock</w:t>
      </w:r>
    </w:p>
    <w:p>
      <w:pPr>
        <w:jc w:val="center"/>
        <w:ind w:right="-519"/>
        <w:spacing w:after="0"/>
        <w:rPr>
          <w:sz w:val="20"/>
          <w:szCs w:val="20"/>
          <w:color w:val="auto"/>
        </w:rPr>
      </w:pPr>
      <w:r>
        <w:rPr>
          <w:rFonts w:ascii="Arial" w:cs="Arial" w:eastAsia="Arial" w:hAnsi="Arial"/>
          <w:sz w:val="22"/>
          <w:szCs w:val="22"/>
          <w:b w:val="1"/>
          <w:bCs w:val="1"/>
          <w:color w:val="auto"/>
        </w:rPr>
        <w:t>Preferred Stock</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Depositary Shares</w:t>
      </w:r>
    </w:p>
    <w:p>
      <w:pPr>
        <w:jc w:val="center"/>
        <w:ind w:right="-519"/>
        <w:spacing w:after="0" w:line="233"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Warrants</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Purchase Contracts</w:t>
      </w:r>
    </w:p>
    <w:p>
      <w:pPr>
        <w:jc w:val="center"/>
        <w:ind w:right="-519"/>
        <w:spacing w:after="0" w:line="233" w:lineRule="auto"/>
        <w:rPr>
          <w:sz w:val="20"/>
          <w:szCs w:val="20"/>
          <w:color w:val="auto"/>
        </w:rPr>
      </w:pPr>
      <w:r>
        <w:rPr>
          <w:rFonts w:ascii="Arial" w:cs="Arial" w:eastAsia="Arial" w:hAnsi="Arial"/>
          <w:sz w:val="22"/>
          <w:szCs w:val="22"/>
          <w:b w:val="1"/>
          <w:bCs w:val="1"/>
          <w:color w:val="auto"/>
        </w:rPr>
        <w:t>Units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Offered by Lucid Group, Inc.</w:t>
      </w:r>
    </w:p>
    <w:p>
      <w:pPr>
        <w:spacing w:after="0" w:line="3"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Up to 44,350,000 Shares of Common Stock</w:t>
      </w:r>
    </w:p>
    <w:p>
      <w:pPr>
        <w:ind w:left="5200"/>
        <w:spacing w:after="0" w:line="233"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Up to 1,161,947,946 Shares of Common Stock</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Up to 7,221,921 Warrants to Purchase Common Stock</w:t>
      </w:r>
    </w:p>
    <w:p>
      <w:pPr>
        <w:spacing w:after="0" w:line="4"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color w:val="auto"/>
        </w:rPr>
        <w:t>Offered by the Selling Securityholders</w:t>
      </w:r>
    </w:p>
    <w:p>
      <w:pPr>
        <w:spacing w:after="0" w:line="20" w:lineRule="exact"/>
        <w:rPr>
          <w:sz w:val="20"/>
          <w:szCs w:val="20"/>
          <w:color w:val="auto"/>
        </w:rPr>
      </w:pPr>
    </w:p>
    <w:p>
      <w:pPr>
        <w:ind w:left="500" w:right="100" w:firstLine="360"/>
        <w:spacing w:after="0" w:line="250" w:lineRule="auto"/>
        <w:rPr>
          <w:sz w:val="20"/>
          <w:szCs w:val="20"/>
          <w:color w:val="auto"/>
        </w:rPr>
      </w:pPr>
      <w:r>
        <w:rPr>
          <w:rFonts w:ascii="Arial" w:cs="Arial" w:eastAsia="Arial" w:hAnsi="Arial"/>
          <w:sz w:val="17"/>
          <w:szCs w:val="17"/>
          <w:color w:val="auto"/>
        </w:rPr>
        <w:t>Lucid Group, Inc. may from time to time offer and sell common stock, preferred stock, depositary shares representing preferred stock, debt securities, warrants, purchase contracts or units in one or more offerings of up to $7,400,017,750 in aggregate offering price. In addition, this prospectus relates to the issuance by us of up to 44,350,000 shares of the Company’s Class A common stock, par value $0.0001 per share (“common stock”), consisting of (a) 42,850,000 shares of common stock that are issuable upon exercise of the Private Placement Warrants (as defined below) and (b) 1,500,000 shares of common stock issuable upon exercise of the Working Capital Warrants (as defined below).</w:t>
      </w:r>
    </w:p>
    <w:p>
      <w:pPr>
        <w:spacing w:after="0" w:line="7" w:lineRule="exact"/>
        <w:rPr>
          <w:sz w:val="20"/>
          <w:szCs w:val="20"/>
          <w:color w:val="auto"/>
        </w:rPr>
      </w:pPr>
    </w:p>
    <w:p>
      <w:pPr>
        <w:ind w:left="500" w:right="80" w:firstLine="360"/>
        <w:spacing w:after="0" w:line="250" w:lineRule="auto"/>
        <w:rPr>
          <w:sz w:val="20"/>
          <w:szCs w:val="20"/>
          <w:color w:val="auto"/>
        </w:rPr>
      </w:pPr>
      <w:r>
        <w:rPr>
          <w:rFonts w:ascii="Arial" w:cs="Arial" w:eastAsia="Arial" w:hAnsi="Arial"/>
          <w:sz w:val="17"/>
          <w:szCs w:val="17"/>
          <w:color w:val="auto"/>
        </w:rPr>
        <w:t>The prospectus also relates to the offer and resale from time to time by the selling securityholders named in this prospectus (the “Selling Securityholders”), or their permitted transferees, of (a) up to 1,161,947,946 shares of common stock, consisting of</w:t>
      </w:r>
    </w:p>
    <w:p>
      <w:pPr>
        <w:ind w:left="500" w:right="40" w:hanging="8"/>
        <w:spacing w:after="0" w:line="250" w:lineRule="auto"/>
        <w:tabs>
          <w:tab w:leader="none" w:pos="7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1,076,235,267 shares of common stock, including issued and outstanding shares of common stock, shares of common stock subject to vesting and/or exercise of the assumed Legacy Lucid Awards (as defined below) and shares of common stock issuable upon exercise of certain Private Placement Warrants and (ii) 85,712,679 shares of common stock issued to Ayar Third Investment Company (“Ayar”) pursuant to the Subscription Agreement, dated as of November 8, 2022 between the Company and Ayar (the “Subscription Agreement”) and (b) 7,221,921 warrants representing certain Private Placement Warrants.</w:t>
      </w:r>
    </w:p>
    <w:p>
      <w:pPr>
        <w:spacing w:after="0" w:line="5" w:lineRule="exact"/>
        <w:rPr>
          <w:sz w:val="20"/>
          <w:szCs w:val="20"/>
          <w:color w:val="auto"/>
        </w:rPr>
      </w:pPr>
    </w:p>
    <w:p>
      <w:pPr>
        <w:ind w:left="500" w:firstLine="360"/>
        <w:spacing w:after="0" w:line="233"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Securityholders will issue, offer or sell, as applicable, any of the securities. We and the Selling Securityholders may offer and sell the securities covered by this prospectus in a number of different ways and at varying prices. The securities may be sold directly to you, through agents, or through underwriters and dealers. If agents, underwriters or dealers are used to sell the securities, we will name them in a prospectus supplement. We provide more information about how we and the Selling Securityholders may sell the securities in the section entitled “Plan of Distribution.”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Capital Stock” for more information.</w:t>
      </w:r>
    </w:p>
    <w:p>
      <w:pPr>
        <w:spacing w:after="0" w:line="14" w:lineRule="exact"/>
        <w:rPr>
          <w:sz w:val="20"/>
          <w:szCs w:val="20"/>
          <w:color w:val="auto"/>
        </w:rPr>
      </w:pPr>
    </w:p>
    <w:p>
      <w:pPr>
        <w:ind w:left="500" w:firstLine="360"/>
        <w:spacing w:after="0" w:line="256" w:lineRule="auto"/>
        <w:rPr>
          <w:sz w:val="20"/>
          <w:szCs w:val="20"/>
          <w:color w:val="auto"/>
        </w:rPr>
      </w:pPr>
      <w:r>
        <w:rPr>
          <w:rFonts w:ascii="Arial" w:cs="Arial" w:eastAsia="Arial" w:hAnsi="Arial"/>
          <w:sz w:val="17"/>
          <w:szCs w:val="17"/>
          <w:color w:val="auto"/>
        </w:rPr>
        <w:t>The Public Investment Fund, the sovereign wealth fund of Saudi Arabia (“PIF”), both directly and indirectly through Ayar, owned approximately 60.5% of our outstanding common stock as of March 31, 2023.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3" w:lineRule="exact"/>
        <w:rPr>
          <w:sz w:val="20"/>
          <w:szCs w:val="20"/>
          <w:color w:val="auto"/>
        </w:rPr>
      </w:pPr>
    </w:p>
    <w:p>
      <w:pPr>
        <w:ind w:left="500" w:firstLine="360"/>
        <w:spacing w:after="0" w:line="255" w:lineRule="auto"/>
        <w:rPr>
          <w:sz w:val="20"/>
          <w:szCs w:val="20"/>
          <w:color w:val="auto"/>
        </w:rPr>
      </w:pPr>
      <w:r>
        <w:rPr>
          <w:rFonts w:ascii="Arial" w:cs="Arial" w:eastAsia="Arial" w:hAnsi="Arial"/>
          <w:sz w:val="17"/>
          <w:szCs w:val="17"/>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Securityholders pursuant to this prospectus, except with respect to amounts received by us upon exercise of the warrants to the extent such warrants are exercised for cash. However, we will pay certain expenses associated with the sale of securities pursuant to this prospectus, as described in the section titled “Plan of Distribution.”</w:t>
      </w:r>
    </w:p>
    <w:p>
      <w:pPr>
        <w:spacing w:after="0" w:line="1" w:lineRule="exact"/>
        <w:rPr>
          <w:sz w:val="20"/>
          <w:szCs w:val="20"/>
          <w:color w:val="auto"/>
        </w:rPr>
      </w:pPr>
    </w:p>
    <w:p>
      <w:pPr>
        <w:ind w:left="500" w:right="400" w:firstLine="360"/>
        <w:spacing w:after="0" w:line="246" w:lineRule="auto"/>
        <w:rPr>
          <w:sz w:val="20"/>
          <w:szCs w:val="20"/>
          <w:color w:val="auto"/>
        </w:rPr>
      </w:pPr>
      <w:r>
        <w:rPr>
          <w:rFonts w:ascii="Arial" w:cs="Arial" w:eastAsia="Arial" w:hAnsi="Arial"/>
          <w:sz w:val="18"/>
          <w:szCs w:val="18"/>
          <w:color w:val="auto"/>
        </w:rPr>
        <w:t>Our common stock is listed on The Nasdaq Stock Market LLC under the symbol “LCID.” On May 5, 2023, the closing price of our common stock was $7.73 per share.</w:t>
      </w:r>
    </w:p>
    <w:p>
      <w:pPr>
        <w:spacing w:after="0" w:line="4" w:lineRule="exact"/>
        <w:rPr>
          <w:sz w:val="20"/>
          <w:szCs w:val="20"/>
          <w:color w:val="auto"/>
        </w:rPr>
      </w:pPr>
    </w:p>
    <w:p>
      <w:pPr>
        <w:jc w:val="both"/>
        <w:ind w:left="500" w:right="200" w:firstLine="360"/>
        <w:spacing w:after="0" w:line="291" w:lineRule="auto"/>
        <w:rPr>
          <w:sz w:val="20"/>
          <w:szCs w:val="20"/>
          <w:color w:val="auto"/>
        </w:rPr>
      </w:pPr>
      <w:r>
        <w:rPr>
          <w:rFonts w:ascii="Arial" w:cs="Arial" w:eastAsia="Arial" w:hAnsi="Arial"/>
          <w:sz w:val="15"/>
          <w:szCs w:val="15"/>
          <w:b w:val="1"/>
          <w:bCs w:val="1"/>
          <w:color w:val="auto"/>
        </w:rPr>
        <w:t xml:space="preserve">Investing in these securities involves certain risks. You should review carefully the risks and uncertainties described under the heading “Risk Factors” beginning on page </w:t>
      </w:r>
      <w:r>
        <w:rPr>
          <w:rFonts w:ascii="Arial" w:cs="Arial" w:eastAsia="Arial" w:hAnsi="Arial"/>
          <w:sz w:val="15"/>
          <w:szCs w:val="15"/>
          <w:b w:val="1"/>
          <w:bCs w:val="1"/>
          <w:u w:val="single" w:color="auto"/>
          <w:color w:val="0000EE"/>
        </w:rPr>
        <w:t>3</w:t>
      </w:r>
      <w:r>
        <w:rPr>
          <w:rFonts w:ascii="Arial" w:cs="Arial" w:eastAsia="Arial" w:hAnsi="Arial"/>
          <w:sz w:val="15"/>
          <w:szCs w:val="15"/>
          <w:b w:val="1"/>
          <w:bCs w:val="1"/>
          <w:color w:val="auto"/>
        </w:rPr>
        <w:t xml:space="preserve"> of this prospectus, and in our Quarterly Report on Form 10-Q for the quarter ended March 31, 2023, which is incorporated herein by reference, as amended or supplemented from time to time by any risk factors we include in subsequent Annual or Quarterly Reports on Form 10-K or 10-Q, respectively, and incorporated herein by reference.</w:t>
      </w:r>
    </w:p>
    <w:p>
      <w:pPr>
        <w:ind w:left="500" w:right="20" w:firstLine="360"/>
        <w:spacing w:after="0" w:line="312"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date of this prospectus is May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151765</wp:posOffset>
            </wp:positionV>
            <wp:extent cx="12344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396240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0" w:right="109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19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171450</wp:posOffset>
            </wp:positionV>
            <wp:extent cx="1234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52120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w:t>
      </w:r>
      <w:r>
        <w:rPr>
          <w:rFonts w:ascii="Arial" w:cs="Arial" w:eastAsia="Arial" w:hAnsi="Arial"/>
          <w:sz w:val="10"/>
          <w:szCs w:val="10"/>
          <w:b w:val="1"/>
          <w:bCs w:val="1"/>
          <w:color w:val="auto"/>
        </w:rPr>
        <w:t>AGE</w:t>
      </w:r>
      <w:r>
        <w:rPr>
          <w:rFonts w:ascii="Arial" w:cs="Arial" w:eastAsia="Arial" w:hAnsi="Arial"/>
          <w:sz w:val="28"/>
          <w:szCs w:val="28"/>
          <w:b w:val="1"/>
          <w:bCs w:val="1"/>
          <w:color w:val="auto"/>
          <w:vertAlign w:val="subscript"/>
        </w:rPr>
        <w:t>​</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99"/>
              </w:rPr>
              <w:t>ii</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6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91"/>
              </w:rPr>
              <w:t>iv</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70"/>
              </w:rPr>
              <w:t>v</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u w:val="single" w:color="auto"/>
          <w:color w:val="0000EE"/>
        </w:rPr>
        <w:t>viii</w:t>
      </w:r>
      <w:r>
        <w:rPr>
          <w:rFonts w:ascii="Arial" w:cs="Arial" w:eastAsia="Arial" w:hAnsi="Arial"/>
          <w:sz w:val="18"/>
          <w:szCs w:val="18"/>
          <w:color w:val="auto"/>
        </w:rPr>
        <w:t>​</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1</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3</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0"/>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9</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10</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26</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29</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30</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r>
        <w:rPr>
          <w:rFonts w:ascii="Arial" w:cs="Arial" w:eastAsia="Arial" w:hAnsi="Arial"/>
          <w:sz w:val="18"/>
          <w:szCs w:val="18"/>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45</w:t>
      </w:r>
      <w:r>
        <w:rPr>
          <w:rFonts w:ascii="Arial" w:cs="Arial" w:eastAsia="Arial" w:hAnsi="Arial"/>
          <w:sz w:val="18"/>
          <w:szCs w:val="18"/>
          <w:color w:val="auto"/>
        </w:rPr>
        <w:t>​</w:t>
      </w:r>
    </w:p>
    <w:p>
      <w:pPr>
        <w:sectPr>
          <w:pgSz w:w="11900" w:h="16838" w:orient="portrait"/>
          <w:cols w:equalWidth="0" w:num="2">
            <w:col w:w="8220" w:space="720"/>
            <w:col w:w="93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779" w:firstLine="360"/>
        <w:spacing w:after="0" w:line="246"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prospectus supplement may also add, update or change information included in this prospectus.</w:t>
      </w:r>
    </w:p>
    <w:p>
      <w:pPr>
        <w:spacing w:after="0" w:line="12"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6"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FAQ: About This Form S-3</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is a Form S-3 registration statement?</w:t>
      </w:r>
    </w:p>
    <w:p>
      <w:pPr>
        <w:spacing w:after="0" w:line="14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Form S-3 is a simplified and abbreviated form for registering securities with the SEC. In certain cases, domestic companies are eligible to use Form S-3 instead of a longer Form S-1. Filing a Form S-3 offers distinct time and cost savings over filing a Form S-1.</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filing a new Form S-3?</w:t>
      </w:r>
    </w:p>
    <w:p>
      <w:pPr>
        <w:spacing w:after="0" w:line="158" w:lineRule="exact"/>
        <w:rPr>
          <w:sz w:val="20"/>
          <w:szCs w:val="20"/>
          <w:color w:val="auto"/>
        </w:rPr>
      </w:pPr>
    </w:p>
    <w:p>
      <w:pPr>
        <w:ind w:left="1260" w:right="759" w:firstLine="360"/>
        <w:spacing w:after="0" w:line="278" w:lineRule="auto"/>
        <w:rPr>
          <w:sz w:val="20"/>
          <w:szCs w:val="20"/>
          <w:color w:val="auto"/>
        </w:rPr>
      </w:pPr>
      <w:r>
        <w:rPr>
          <w:rFonts w:ascii="Arial" w:cs="Arial" w:eastAsia="Arial" w:hAnsi="Arial"/>
          <w:sz w:val="17"/>
          <w:szCs w:val="17"/>
          <w:color w:val="auto"/>
        </w:rPr>
        <w:t>In December 2022, Ayar purchased 85,712,679 shares of our common stock from us in a private placement for aggregate gross proceeds to Lucid of $915.0 million. As part of the private placement, we agreed to register such shares within six months of the closing of the private placement.</w:t>
      </w:r>
    </w:p>
    <w:p>
      <w:pPr>
        <w:spacing w:after="0" w:line="90"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as of the date of this registration statement. This registration statement is being filed to register the 85,712,679 shares of common stock purchased by Ayar, as described above. The remainder of the securities listed in this prospectus were previously registered as discussed below.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Is Lucid offering and selling any new securities?</w:t>
      </w:r>
    </w:p>
    <w:p>
      <w:pPr>
        <w:spacing w:after="0" w:line="15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The approximately $7.4 billion of securities that may be offered and sold by Lucid under this registration statement were previously registered on our Form S-3 shelf registration statement (File No. 333-267147), which was initially</w:t>
      </w:r>
    </w:p>
    <w:p>
      <w:pPr>
        <w:sectPr>
          <w:pgSz w:w="11900" w:h="16838" w:orient="portrait"/>
          <w:cols w:equalWidth="0" w:num="1">
            <w:col w:w="9879"/>
          </w:cols>
          <w:pgMar w:left="580" w:top="90" w:right="1440" w:bottom="1440" w:gutter="0" w:footer="0" w:header="0"/>
        </w:sectPr>
      </w:pPr>
    </w:p>
    <w:p>
      <w:pPr>
        <w:spacing w:after="0" w:line="35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declared effective by the SEC on September 2, 2022 (the “2022 S-3”). We are simply combining, for efficiency’s sake, the prospectus which relates to this registration statement with the prospectus that formed a part of our previous registration statement on Form S-3.</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After this registration statement is declared effective by the SEC, we may, from time to time, issue, offer and sell any combination of the securities described in this prospectus in one or more offerings, up to an aggregate offering amount of approximately $7.4 billion, over the three years after the effectiveness of the 2022 S-3. (This amount does not include shares of common stock that we may issue to holders of the Private Placement Warrants and the Working Capital Warrants pursuant to the exercise of those warrants described in this prospectus.) If Lucid decides to raise capital in an offering using this prospectus, Lucid will describe the specific details of that future offering in a prospectus supplement that is filed with the SEC.</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are the other shares of common stock and warrants that are described in this prospectus?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This prospectus is also intended for the resale of up to 1,076,235,267 shares of common stock, including issued and outstanding shares of common stock, shares of common tock subject to vesting and/or exercise of the assumed Legacy Lucid Awards and shares of common stock issuable upon exercise of certain Private Placement Warrants and up to 7,221,921 warrants held by selling securityholders named in the section of this prospectus titled “Selling Securityholders” and referred to herein as the “Selling Securityholders.” These securities were originally registered on our Form S-1 shelf registration statement (File No. 333-258348), which was initially declared effective by the SEC on August 24, 2021 (the “2021 S-1”), and then included in the prospectus of our 2022 S-3. They include shares of common stock that are held by certain of our affiliates that are party to the Investor Rights Agreement, shares of common stock that Lucid sold in the PIPE Investment and certain Private Placement Warrants (including shares issuable thereunder). In addition, this prospectus also covers the issuance of up to 44,350,000 shares of common stock that we may issue to holders of the Private Placement Warrants and the Working Capital Warrants upon the exercise of those warrants.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happens to the previous registration statements on Form S-1 and Form S-3?</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Once declared effective, this registration statement will act as a post-effective amendment to our 2022 S-3 and 2021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0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879" w:hanging="180"/>
        <w:spacing w:after="0" w:line="277" w:lineRule="auto"/>
        <w:tabs>
          <w:tab w:leader="none" w:pos="1800" w:val="left"/>
        </w:tabs>
        <w:numPr>
          <w:ilvl w:val="0"/>
          <w:numId w:val="20"/>
        </w:numPr>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our Annual Report on Form 10-K for the year ended December 31, 2022, filed with the SEC on</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February 28, 2023;</w:t>
        </w:r>
      </w:hyperlink>
    </w:p>
    <w:p>
      <w:pPr>
        <w:spacing w:after="0" w:line="62" w:lineRule="exact"/>
        <w:rPr>
          <w:rFonts w:ascii="Arial" w:cs="Arial" w:eastAsia="Arial" w:hAnsi="Arial"/>
          <w:sz w:val="18"/>
          <w:szCs w:val="18"/>
          <w:u w:val="single" w:color="auto"/>
          <w:color w:val="0000EE"/>
        </w:rPr>
      </w:pPr>
    </w:p>
    <w:p>
      <w:pPr>
        <w:ind w:left="1800" w:right="779" w:hanging="180"/>
        <w:spacing w:after="0" w:line="277" w:lineRule="auto"/>
        <w:tabs>
          <w:tab w:leader="none" w:pos="1800" w:val="left"/>
        </w:tabs>
        <w:numPr>
          <w:ilvl w:val="0"/>
          <w:numId w:val="20"/>
        </w:numPr>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our Quarterly Report on Form 10-Q for the quarter ended March 31, 2023, filed with the SEC on</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May 8, 2023;</w:t>
        </w:r>
      </w:hyperlink>
    </w:p>
    <w:p>
      <w:pPr>
        <w:spacing w:after="0" w:line="62" w:lineRule="exact"/>
        <w:rPr>
          <w:rFonts w:ascii="Arial" w:cs="Arial" w:eastAsia="Arial" w:hAnsi="Arial"/>
          <w:sz w:val="18"/>
          <w:szCs w:val="18"/>
          <w:u w:val="single" w:color="auto"/>
          <w:color w:val="0000EE"/>
        </w:rPr>
      </w:pPr>
    </w:p>
    <w:p>
      <w:pPr>
        <w:jc w:val="both"/>
        <w:ind w:left="1800" w:right="51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hyperlink r:id="rId99">
        <w:r>
          <w:rPr>
            <w:rFonts w:ascii="Arial" w:cs="Arial" w:eastAsia="Arial" w:hAnsi="Arial"/>
            <w:sz w:val="18"/>
            <w:szCs w:val="18"/>
            <w:color w:val="auto"/>
          </w:rPr>
          <w:t xml:space="preserve">information specifically incorporated by reference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EE"/>
          </w:rPr>
          <w:t>year ended December 31,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 with the</w:t>
        </w:r>
      </w:hyperlink>
      <w:r>
        <w:rPr>
          <w:rFonts w:ascii="Arial" w:cs="Arial" w:eastAsia="Arial" w:hAnsi="Arial"/>
          <w:sz w:val="18"/>
          <w:szCs w:val="18"/>
          <w:color w:val="0000EE"/>
        </w:rPr>
        <w:t xml:space="preserve"> </w:t>
      </w:r>
      <w:hyperlink r:id="rId101">
        <w:r>
          <w:rPr>
            <w:rFonts w:ascii="Arial" w:cs="Arial" w:eastAsia="Arial" w:hAnsi="Arial"/>
            <w:sz w:val="18"/>
            <w:szCs w:val="18"/>
            <w:u w:val="single" w:color="auto"/>
            <w:color w:val="0000EE"/>
          </w:rPr>
          <w:t>SEC on March 13, 2023;</w:t>
        </w:r>
      </w:hyperlink>
    </w:p>
    <w:p>
      <w:pPr>
        <w:spacing w:after="0" w:line="75" w:lineRule="exact"/>
        <w:rPr>
          <w:rFonts w:ascii="Arial" w:cs="Arial" w:eastAsia="Arial" w:hAnsi="Arial"/>
          <w:sz w:val="18"/>
          <w:szCs w:val="18"/>
          <w:u w:val="single" w:color="auto"/>
          <w:color w:val="0000EE"/>
        </w:rPr>
      </w:pPr>
    </w:p>
    <w:p>
      <w:pPr>
        <w:ind w:left="1800" w:right="71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on </w:t>
      </w:r>
      <w:hyperlink r:id="rId102">
        <w:r>
          <w:rPr>
            <w:rFonts w:ascii="Arial" w:cs="Arial" w:eastAsia="Arial" w:hAnsi="Arial"/>
            <w:sz w:val="18"/>
            <w:szCs w:val="18"/>
            <w:u w:val="single" w:color="auto"/>
            <w:color w:val="0000EE"/>
          </w:rPr>
          <w:t>January 27, 2023</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EE"/>
          </w:rPr>
          <w:t>February 1, 2023</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EE"/>
          </w:rPr>
          <w:t>February 6,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22,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28,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25, 2023</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2,</w:t>
        </w:r>
      </w:hyperlink>
      <w:r>
        <w:rPr>
          <w:rFonts w:ascii="Arial" w:cs="Arial" w:eastAsia="Arial" w:hAnsi="Arial"/>
          <w:sz w:val="18"/>
          <w:szCs w:val="18"/>
          <w:color w:val="0000EE"/>
        </w:rPr>
        <w:t xml:space="preserve"> </w:t>
      </w:r>
      <w:hyperlink r:id="rId104">
        <w:r>
          <w:rPr>
            <w:rFonts w:ascii="Arial" w:cs="Arial" w:eastAsia="Arial" w:hAnsi="Arial"/>
            <w:sz w:val="18"/>
            <w:szCs w:val="18"/>
            <w:u w:val="single" w:color="auto"/>
            <w:color w:val="0000EE"/>
          </w:rPr>
          <w:t>2023.</w:t>
        </w:r>
      </w:hyperlink>
    </w:p>
    <w:p>
      <w:pPr>
        <w:spacing w:after="0" w:line="75" w:lineRule="exact"/>
        <w:rPr>
          <w:rFonts w:ascii="Arial" w:cs="Arial" w:eastAsia="Arial" w:hAnsi="Arial"/>
          <w:sz w:val="18"/>
          <w:szCs w:val="18"/>
          <w:u w:val="single" w:color="auto"/>
          <w:color w:val="0000EE"/>
        </w:rPr>
      </w:pPr>
    </w:p>
    <w:p>
      <w:pPr>
        <w:ind w:left="1800" w:right="499" w:hanging="180"/>
        <w:spacing w:after="0" w:line="263" w:lineRule="auto"/>
        <w:tabs>
          <w:tab w:leader="none" w:pos="1800" w:val="left"/>
        </w:tabs>
        <w:numPr>
          <w:ilvl w:val="0"/>
          <w:numId w:val="20"/>
        </w:numPr>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the description of our securities contained in our Registration Statement on Form 8-A (File No. 001-</w:t>
        </w:r>
      </w:hyperlink>
      <w:hyperlink r:id="rId105">
        <w:r>
          <w:rPr>
            <w:rFonts w:ascii="Arial" w:cs="Arial" w:eastAsia="Arial" w:hAnsi="Arial"/>
            <w:sz w:val="18"/>
            <w:szCs w:val="18"/>
            <w:u w:val="single" w:color="auto"/>
            <w:color w:val="0000EE"/>
          </w:rPr>
          <w:t>39408), filed with the SEC on July 23, 2021, including any amendments or reports filed for the</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purpose of updating such description.</w:t>
        </w:r>
      </w:hyperlink>
    </w:p>
    <w:p>
      <w:pPr>
        <w:spacing w:after="0" w:line="103" w:lineRule="exact"/>
        <w:rPr>
          <w:rFonts w:ascii="Arial" w:cs="Arial" w:eastAsia="Arial" w:hAnsi="Arial"/>
          <w:sz w:val="18"/>
          <w:szCs w:val="18"/>
          <w:u w:val="single" w:color="auto"/>
          <w:color w:val="0000EE"/>
        </w:rPr>
      </w:pPr>
    </w:p>
    <w:p>
      <w:pPr>
        <w:ind w:left="1260" w:right="47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94" w:lineRule="exact"/>
        <w:rPr>
          <w:rFonts w:ascii="Arial" w:cs="Arial" w:eastAsia="Arial" w:hAnsi="Arial"/>
          <w:sz w:val="18"/>
          <w:szCs w:val="18"/>
          <w:u w:val="single" w:color="auto"/>
          <w:color w:val="0000EE"/>
        </w:rPr>
      </w:pPr>
    </w:p>
    <w:p>
      <w:pPr>
        <w:ind w:left="1260" w:right="539" w:firstLine="360"/>
        <w:spacing w:after="0" w:line="271" w:lineRule="auto"/>
        <w:rPr>
          <w:sz w:val="20"/>
          <w:szCs w:val="20"/>
          <w:color w:val="auto"/>
        </w:rPr>
      </w:pPr>
      <w:r>
        <w:rPr>
          <w:rFonts w:ascii="Arial" w:cs="Arial" w:eastAsia="Arial" w:hAnsi="Arial"/>
          <w:sz w:val="17"/>
          <w:szCs w:val="17"/>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w:t>
      </w:r>
    </w:p>
    <w:p>
      <w:pPr>
        <w:spacing w:after="0" w:line="111" w:lineRule="exact"/>
        <w:rPr>
          <w:rFonts w:ascii="Arial" w:cs="Arial" w:eastAsia="Arial" w:hAnsi="Arial"/>
          <w:sz w:val="18"/>
          <w:szCs w:val="18"/>
          <w:u w:val="single" w:color="auto"/>
          <w:color w:val="0000EE"/>
        </w:rPr>
      </w:pPr>
    </w:p>
    <w:p>
      <w:pPr>
        <w:ind w:left="1260" w:right="479" w:firstLine="360"/>
        <w:spacing w:after="0" w:line="259" w:lineRule="auto"/>
        <w:rPr>
          <w:sz w:val="20"/>
          <w:szCs w:val="20"/>
          <w:color w:val="auto"/>
        </w:rPr>
      </w:pPr>
      <w:r>
        <w:rPr>
          <w:rFonts w:ascii="Arial" w:cs="Arial" w:eastAsia="Arial" w:hAnsi="Arial"/>
          <w:sz w:val="18"/>
          <w:szCs w:val="18"/>
          <w:color w:val="auto"/>
        </w:rPr>
        <w:t>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8" w:lineRule="exact"/>
        <w:rPr>
          <w:rFonts w:ascii="Arial" w:cs="Arial" w:eastAsia="Arial" w:hAnsi="Arial"/>
          <w:sz w:val="18"/>
          <w:szCs w:val="18"/>
          <w:u w:val="single" w:color="auto"/>
          <w:color w:val="0000EE"/>
        </w:rPr>
      </w:pPr>
    </w:p>
    <w:p>
      <w:pPr>
        <w:ind w:left="5300"/>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“2009 Plan” are to the Atieva, Inc. 2009 Share Plan duly adopted by the board of directors of Legacy Lucid on December 17, 2009;</w:t>
      </w:r>
    </w:p>
    <w:p>
      <w:pPr>
        <w:spacing w:after="0" w:line="103"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“2014 Plan” are to the Atieva, Inc. 2014 Share Plan duly adopted by the board of directors of Legacy Lucid on May 14, 2014;</w:t>
      </w:r>
    </w:p>
    <w:p>
      <w:pPr>
        <w:spacing w:after="0" w:line="103"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“2021 Plan” are to the Atieva, Inc. 2021 Stock Incentive Plan duly adopted by the compensation committee of the board of directors of Legacy Lucid on January 13, 2021 and approved by Legacy Lucid’s shareholders on January 21, 2021;</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“2026 Notes” are to the 1.25% Convertible Senior Notes due 2026 issued by us in December 2021;</w:t>
      </w:r>
    </w:p>
    <w:p>
      <w:pPr>
        <w:spacing w:after="0" w:line="169" w:lineRule="exact"/>
        <w:rPr>
          <w:sz w:val="20"/>
          <w:szCs w:val="20"/>
          <w:color w:val="auto"/>
        </w:rPr>
      </w:pPr>
    </w:p>
    <w:p>
      <w:pPr>
        <w:ind w:left="1260" w:right="679" w:firstLine="360"/>
        <w:spacing w:after="0" w:line="249" w:lineRule="auto"/>
        <w:rPr>
          <w:sz w:val="20"/>
          <w:szCs w:val="20"/>
          <w:color w:val="auto"/>
        </w:rPr>
      </w:pPr>
      <w:r>
        <w:rPr>
          <w:rFonts w:ascii="Arial" w:cs="Arial" w:eastAsia="Arial" w:hAnsi="Arial"/>
          <w:sz w:val="18"/>
          <w:szCs w:val="18"/>
          <w:color w:val="auto"/>
        </w:rPr>
        <w:t>“ABL Credit Facility” are to the 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“Ayar” are to Ayar Third Investment Company, an affiliate of PIF;</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“Board” is, prior to consummation of the Transactions, to the board of directors of Legacy Lucid, and, following consummation of the Transactions, to the board of directors of Lucid Group;</w:t>
      </w:r>
    </w:p>
    <w:p>
      <w:pPr>
        <w:spacing w:after="0" w:line="76"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0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“Churchill’s Class A common stock” are to Churchill’s Class A common stock, par value $0.0001 per share;</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“Churchill’s Class B common stock” are to Churchill’s Class B common stock, par value $0.0001 per share;</w:t>
      </w:r>
    </w:p>
    <w:p>
      <w:pPr>
        <w:spacing w:after="0" w:line="89" w:lineRule="exact"/>
        <w:rPr>
          <w:sz w:val="20"/>
          <w:szCs w:val="20"/>
          <w:color w:val="auto"/>
        </w:rPr>
      </w:pPr>
    </w:p>
    <w:p>
      <w:pPr>
        <w:ind w:left="1260" w:right="1099" w:firstLine="360"/>
        <w:spacing w:after="0" w:line="291" w:lineRule="auto"/>
        <w:rPr>
          <w:sz w:val="20"/>
          <w:szCs w:val="20"/>
          <w:color w:val="auto"/>
        </w:rPr>
      </w:pPr>
      <w:r>
        <w:rPr>
          <w:rFonts w:ascii="Arial" w:cs="Arial" w:eastAsia="Arial" w:hAnsi="Arial"/>
          <w:sz w:val="17"/>
          <w:szCs w:val="17"/>
          <w:color w:val="auto"/>
        </w:rPr>
        <w:t>“Churchill IPO” are to the initial public offering by Churchill which closed on August 3, 2020; “common stock” are to Lucid Group, Inc.’s Class A common stock par value $0.0001 per share;</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are to the consummation of the Transactions;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144"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“current bylaws” are to the Company’s Second Amended and Restated Bylaws in effect as of the date of this prospectus;</w:t>
      </w:r>
    </w:p>
    <w:p>
      <w:pPr>
        <w:spacing w:after="0" w:line="8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“current certificate of incorporation” are to the Company’s Third Amended and Restated Certificate of Incorporation in effect as of the date of this prospectus;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“DGCL” are to the Delaware General Corporation Law, as amended;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 are to electric vehicle;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“Exchange Act” are to the Securities Exchange Act of 1934, as amended;</w:t>
      </w:r>
    </w:p>
    <w:p>
      <w:pPr>
        <w:spacing w:after="0" w:line="158" w:lineRule="exact"/>
        <w:rPr>
          <w:sz w:val="20"/>
          <w:szCs w:val="20"/>
          <w:color w:val="auto"/>
        </w:rPr>
      </w:pPr>
    </w:p>
    <w:p>
      <w:pPr>
        <w:ind w:left="1260" w:right="879" w:firstLine="360"/>
        <w:spacing w:after="0" w:line="249" w:lineRule="auto"/>
        <w:rPr>
          <w:sz w:val="20"/>
          <w:szCs w:val="20"/>
          <w:color w:val="auto"/>
        </w:rPr>
      </w:pPr>
      <w:r>
        <w:rPr>
          <w:rFonts w:ascii="Arial" w:cs="Arial" w:eastAsia="Arial" w:hAnsi="Arial"/>
          <w:sz w:val="18"/>
          <w:szCs w:val="18"/>
          <w:color w:val="auto"/>
        </w:rPr>
        <w:t>“Existing Registration Statements” are to the Company’s registration statement on Form S-3 (File No. 333-267147), which was originally declared effective on September 2, 2022, or the Company’s registration statement on Form S-1 (File No. 333-258348), as amended, which was originally declared effective on August 24, 2021;</w:t>
      </w:r>
    </w:p>
    <w:p>
      <w:pPr>
        <w:spacing w:after="0" w:line="113" w:lineRule="exact"/>
        <w:rPr>
          <w:sz w:val="20"/>
          <w:szCs w:val="20"/>
          <w:color w:val="auto"/>
        </w:rPr>
      </w:pPr>
    </w:p>
    <w:p>
      <w:pPr>
        <w:ind w:left="1260" w:right="439" w:firstLine="360"/>
        <w:spacing w:after="0" w:line="278" w:lineRule="auto"/>
        <w:rPr>
          <w:sz w:val="20"/>
          <w:szCs w:val="20"/>
          <w:color w:val="auto"/>
        </w:rPr>
      </w:pPr>
      <w:r>
        <w:rPr>
          <w:rFonts w:ascii="Arial" w:cs="Arial" w:eastAsia="Arial" w:hAnsi="Arial"/>
          <w:sz w:val="17"/>
          <w:szCs w:val="17"/>
          <w:color w:val="auto"/>
        </w:rPr>
        <w:t>“Incentive Plan” are to the Lucid Group, Inc. Second Amended and Restated 2021 Stock Incentive Plan (including the Lucid Group, Inc. 2021 Employee Stock Purchase Plan, attached thereto), duly adopted by the Board on March 2, 2023 and approved by the Company’s stockholders on April 24, 2023;</w:t>
      </w:r>
    </w:p>
    <w:p>
      <w:pPr>
        <w:sectPr>
          <w:pgSz w:w="11900" w:h="16838" w:orient="portrait"/>
          <w:cols w:equalWidth="0" w:num="1">
            <w:col w:w="9879"/>
          </w:cols>
          <w:pgMar w:left="580" w:top="90" w:right="1440" w:bottom="1440" w:gutter="0" w:footer="0" w:header="0"/>
        </w:sectPr>
      </w:pPr>
    </w:p>
    <w:p>
      <w:pPr>
        <w:spacing w:after="0" w:line="333"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“Investor Rights Agreement” are to the Investor Rights Agreement, dated as of February 22, 2021 and as may be amended from time to time, by and among the Company, the Sponsor, Ayar and certain other parties thereto;</w:t>
      </w:r>
    </w:p>
    <w:p>
      <w:pPr>
        <w:spacing w:after="0" w:line="107"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“Legacy Lucid” or “Atieva” are to Atieva, Inc., d/b/a Lucid Motors, an exempted company incorporated with limited liability under the laws of the Cayman Islands, and its consolidated subsidiaries;</w:t>
      </w:r>
    </w:p>
    <w:p>
      <w:pPr>
        <w:spacing w:after="0" w:line="7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“Legacy Lucid Awards”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1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“Legacy Lucid Common Shares” are to the common shares, par value $0.0001 per share, of Legacy Lucid;</w:t>
      </w:r>
    </w:p>
    <w:p>
      <w:pPr>
        <w:spacing w:after="0" w:line="89"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1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“Legacy Lucid RSUs” are to all issued and outstanding restricted stock unit awards with respect to Legacy Lucid Common Shares outstanding under any Legacy Lucid Share Plan;</w:t>
      </w:r>
    </w:p>
    <w:p>
      <w:pPr>
        <w:spacing w:after="0" w:line="89"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“Legacy Lucid Share Plans” are to the 2009 Plan, the 2014 Plan, the 2021 Plan, in each case as amended from time to time in accordance with their terms;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Awards” are to Lucid Options and Lucid RSUs;</w:t>
      </w:r>
    </w:p>
    <w:p>
      <w:pPr>
        <w:spacing w:after="0" w:line="144" w:lineRule="exact"/>
        <w:rPr>
          <w:sz w:val="20"/>
          <w:szCs w:val="20"/>
          <w:color w:val="auto"/>
        </w:rPr>
      </w:pPr>
    </w:p>
    <w:p>
      <w:pPr>
        <w:ind w:left="1260" w:right="699" w:firstLine="360"/>
        <w:spacing w:after="0" w:line="256" w:lineRule="auto"/>
        <w:rPr>
          <w:sz w:val="20"/>
          <w:szCs w:val="20"/>
          <w:color w:val="auto"/>
        </w:rPr>
      </w:pPr>
      <w:r>
        <w:rPr>
          <w:rFonts w:ascii="Arial" w:cs="Arial" w:eastAsia="Arial" w:hAnsi="Arial"/>
          <w:sz w:val="18"/>
          <w:szCs w:val="18"/>
          <w:color w:val="auto"/>
        </w:rPr>
        <w:t>“Lucid Group” are to Lucid Group, Inc., a Delaware corporation, and its consolidated subsidiaries; “Lucid Options” are to all issued and outstanding options of the Company to purchase shares of common stock immediately following the closing of the Merger;</w:t>
      </w:r>
    </w:p>
    <w:p>
      <w:pPr>
        <w:spacing w:after="0" w:line="107"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“Lucid RSUs” are to all issued and outstanding restricted stock unit awards of the Company with respect to shares of common stock immediately following the closing of the Merger;</w:t>
      </w:r>
    </w:p>
    <w:p>
      <w:pPr>
        <w:spacing w:after="0" w:line="103"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“M. Klein and Company” are to M. Klein and Company, LLC, a Delaware limited liability company, and its affiliates;</w:t>
      </w:r>
    </w:p>
    <w:p>
      <w:pPr>
        <w:spacing w:after="0" w:line="8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“Merger” are to the merger of Merger Sub and Legacy Lucid, with Legacy Lucid surviving such merger as a wholly owned subsidiary of Churchill;</w:t>
      </w:r>
    </w:p>
    <w:p>
      <w:pPr>
        <w:spacing w:after="0" w:line="103"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 to time;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“PIF” are to the Public Investment Fund, the sovereign wealth fund of Saudi Arabia;</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Investment” are to the private placement pursuant to which Churchill entered into PIPE</w:t>
      </w:r>
    </w:p>
    <w:p>
      <w:pPr>
        <w:spacing w:after="0" w:line="23" w:lineRule="exact"/>
        <w:rPr>
          <w:sz w:val="20"/>
          <w:szCs w:val="20"/>
          <w:color w:val="auto"/>
        </w:rPr>
      </w:pPr>
    </w:p>
    <w:p>
      <w:pPr>
        <w:jc w:val="both"/>
        <w:ind w:left="1260" w:right="699"/>
        <w:spacing w:after="0"/>
        <w:rPr>
          <w:sz w:val="20"/>
          <w:szCs w:val="20"/>
          <w:color w:val="auto"/>
        </w:rPr>
      </w:pPr>
      <w:r>
        <w:rPr>
          <w:rFonts w:ascii="Arial" w:cs="Arial" w:eastAsia="Arial" w:hAnsi="Arial"/>
          <w:sz w:val="18"/>
          <w:szCs w:val="18"/>
          <w:color w:val="auto"/>
        </w:rPr>
        <w:t>Subscription Agreements with certain investors pursuant to which Churchill issued and sold to the PIPE Investors $2.5 billion of Churchill’s Class A common stock at a purchase price of $15.00 per share at the closing of the Merger;</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 are to the investors that participated in the PIPE Investment;</w:t>
      </w:r>
    </w:p>
    <w:p>
      <w:pPr>
        <w:spacing w:after="0" w:line="158"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“PIPE Subscription Agreements” are to the common stock subscription agreements entered into by and among Churchill, and the investors party thereto, in each case, dated as of February 22, 2021 and entered into in connection with the PIPE Investment;</w:t>
      </w:r>
    </w:p>
    <w:p>
      <w:pPr>
        <w:spacing w:after="0" w:line="107"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“Private Placement Warrants” are to the Company’s warrants issued to the Sponsor in a private placement simultaneously with the closing of the Churchill IPO;</w:t>
      </w: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16"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“Restructuring Plan” are to the Company’s restructuring plan to reduce the Company’s operating expenses that was announced on March 28, 2023;</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“SEC” are to the United States Securities and Exchange Commission; “Securities Act” are to the Securities Act of 1933, as amended;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“Selling Securityholders” are to the selling securityholders named herein;</w:t>
      </w:r>
    </w:p>
    <w:p>
      <w:pPr>
        <w:spacing w:after="0" w:line="15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“Sponsor” are to Churchill Sponsor IV LLC, a Delaware limited liability company and an affiliate of M. Klein and Company in which certain of Churchill’s directors and officers hold membership interests;</w:t>
      </w:r>
    </w:p>
    <w:p>
      <w:pPr>
        <w:spacing w:after="0" w:line="7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“Subscription Agreement” are to the Subscription Agreement, dated November 8, 2022, between the Company and Ayar, pursuant to which Ayar agreed to purchase from the Company shares of the Company’s common stock in one or more private placements through at least March 31, 2023, and pursuant to which in December 2022, the Company issued 85,712,679 shares to Ayar at a weighted average price per share of $10.68, and received aggregate proceeds of $915 million;</w:t>
      </w:r>
    </w:p>
    <w:p>
      <w:pPr>
        <w:spacing w:after="0" w:line="10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“Transactions” are to the Merger, together with the other transactions contemplated by the Merger Agreement and the related agreements;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“warrants” are to the Private Placement Warrants and the Working Capital Warrants;</w:t>
      </w:r>
    </w:p>
    <w:p>
      <w:pPr>
        <w:spacing w:after="0" w:line="158"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“Warrant Agreement” are to the Warrant Agreement, dated July 29, 2020, entered into in connection with the Churchill IPO by and between Continental Stock Transfer &amp; Trust Company and Churchill; and</w:t>
      </w:r>
    </w:p>
    <w:p>
      <w:pPr>
        <w:spacing w:after="0" w:line="65"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“Working Capital Warrants” are to the Company’s warrants to purchase common stock pursuant to the terms of the Promissory Note, on terms identical to the terms of the Private Placement Warrants.</w:t>
      </w:r>
    </w:p>
    <w:p>
      <w:pPr>
        <w:spacing w:after="0" w:line="79"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74" w:lineRule="exact"/>
        <w:rPr>
          <w:sz w:val="20"/>
          <w:szCs w:val="20"/>
          <w:color w:val="auto"/>
        </w:rPr>
      </w:pPr>
    </w:p>
    <w:p>
      <w:pPr>
        <w:jc w:val="both"/>
        <w:ind w:left="1800" w:right="459" w:hanging="180"/>
        <w:spacing w:after="0" w:line="28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70"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62" w:lineRule="exact"/>
        <w:rPr>
          <w:rFonts w:ascii="Arial" w:cs="Arial" w:eastAsia="Arial" w:hAnsi="Arial"/>
          <w:sz w:val="18"/>
          <w:szCs w:val="18"/>
          <w:color w:val="auto"/>
        </w:rPr>
      </w:pPr>
    </w:p>
    <w:p>
      <w:pPr>
        <w:ind w:left="1800" w:right="999" w:hanging="180"/>
        <w:spacing w:after="0" w:line="28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30"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8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their intended benefits to the extent or as quickly as anticipated;</w:t>
      </w:r>
    </w:p>
    <w:p>
      <w:pPr>
        <w:spacing w:after="0" w:line="86" w:lineRule="exact"/>
        <w:rPr>
          <w:rFonts w:ascii="Arial" w:cs="Arial" w:eastAsia="Arial" w:hAnsi="Arial"/>
          <w:sz w:val="18"/>
          <w:szCs w:val="18"/>
          <w:color w:val="auto"/>
        </w:rPr>
      </w:pPr>
    </w:p>
    <w:p>
      <w:pPr>
        <w:ind w:left="1800" w:right="65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the global COVID-19 pandemic on our supply chain, projected results of operations, financial performance or other financial metrics, or on any of the foregoing risks; and</w:t>
      </w:r>
    </w:p>
    <w:p>
      <w:pPr>
        <w:spacing w:after="0" w:line="38" w:lineRule="exact"/>
        <w:rPr>
          <w:rFonts w:ascii="Arial" w:cs="Arial" w:eastAsia="Arial" w:hAnsi="Arial"/>
          <w:sz w:val="17"/>
          <w:szCs w:val="17"/>
          <w:color w:val="auto"/>
        </w:rPr>
      </w:pPr>
    </w:p>
    <w:p>
      <w:pPr>
        <w:ind w:left="1800" w:right="13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disclosed in this prospectus or our other filings with the SEC, including any accompanying prospectus supplement.</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0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507355"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559" w:firstLine="360"/>
        <w:spacing w:after="0" w:line="245" w:lineRule="auto"/>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62" w:lineRule="exact"/>
        <w:rPr>
          <w:sz w:val="20"/>
          <w:szCs w:val="20"/>
          <w:color w:val="auto"/>
        </w:rPr>
      </w:pPr>
    </w:p>
    <w:p>
      <w:pPr>
        <w:ind w:left="1280" w:right="519" w:firstLine="360"/>
        <w:spacing w:after="0" w:line="291"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48" w:lineRule="exact"/>
        <w:rPr>
          <w:sz w:val="20"/>
          <w:szCs w:val="20"/>
          <w:color w:val="auto"/>
        </w:rPr>
      </w:pPr>
    </w:p>
    <w:p>
      <w:pPr>
        <w:ind w:left="1280" w:right="459" w:firstLine="360"/>
        <w:spacing w:after="0" w:line="261"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05" w:lineRule="exact"/>
        <w:rPr>
          <w:sz w:val="20"/>
          <w:szCs w:val="20"/>
          <w:color w:val="auto"/>
        </w:rPr>
      </w:pPr>
    </w:p>
    <w:p>
      <w:pPr>
        <w:ind w:left="1280" w:right="559" w:firstLine="360"/>
        <w:spacing w:after="0" w:line="258"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game- changing EPA-estimated range of up to 516 miles on a single charge (depending on vehicle configuration). This range is enabled by an efficient, powerful powertrain that Lucid developed and builds in-house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ample cargo space despite a smaller exterior footprint. The highly aerodynamic design of the Lucid Air provides longer range, driving faster miles-per-minute charging and the ability to provide equivalent range with a smaller, lower-cost battery pack.</w:t>
      </w:r>
    </w:p>
    <w:p>
      <w:pPr>
        <w:spacing w:after="0" w:line="113"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a capacity of 155,000 units upon completion.</w:t>
      </w:r>
    </w:p>
    <w:p>
      <w:pPr>
        <w:spacing w:after="0" w:line="118"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We began delivering the Lucid Air to customers in October 2021, and have now grown the Lucid Air model line to multiple trim and powertrain variants spanning a range of price points. The Lucid Air Sapphire, our highest performance Air, was announced in August 2022 and is expected to reach customers in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7373 Gateway Blvd. Newark, CA 94560 and our telephone number at that address is (510) 648-3553. Our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339090</wp:posOffset>
            </wp:positionV>
            <wp:extent cx="5507355" cy="7959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50735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right="539"/>
        <w:spacing w:after="0" w:line="259" w:lineRule="auto"/>
        <w:rPr>
          <w:sz w:val="20"/>
          <w:szCs w:val="20"/>
          <w:color w:val="auto"/>
        </w:rPr>
      </w:pPr>
      <w:r>
        <w:rPr>
          <w:rFonts w:ascii="Arial" w:cs="Arial" w:eastAsia="Arial" w:hAnsi="Arial"/>
          <w:sz w:val="18"/>
          <w:szCs w:val="18"/>
          <w:color w:val="auto"/>
        </w:rPr>
        <w:t>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75" w:lineRule="auto"/>
        <w:rPr>
          <w:sz w:val="20"/>
          <w:szCs w:val="20"/>
          <w:color w:val="auto"/>
        </w:rPr>
      </w:pPr>
      <w:r>
        <w:rPr>
          <w:rFonts w:ascii="Arial" w:cs="Arial" w:eastAsia="Arial" w:hAnsi="Arial"/>
          <w:sz w:val="17"/>
          <w:szCs w:val="17"/>
          <w:color w:val="auto"/>
        </w:rPr>
        <w:t>As of March 31, 2023, PIF, both directly and indirectly through Ayar, owned approximately 60.5%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i w:val="1"/>
          <w:iCs w:val="1"/>
          <w:color w:val="auto"/>
        </w:rPr>
        <w:t>An investment in our securities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most recent Annual Report on Form 10-K and Quarterly Report on Form 10 -Q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229"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b w:val="1"/>
          <w:bCs w:val="1"/>
          <w:i w:val="1"/>
          <w:iCs w:val="1"/>
          <w:color w:val="auto"/>
        </w:rPr>
        <w:t>There is no public market for the Private Placement Warrants and the Working Capital Warrants and we cannot guarantee that an active and liquid public market for the Private Placement Warrants and the Working Capital Warrants will develop.</w:t>
      </w:r>
    </w:p>
    <w:p>
      <w:pPr>
        <w:spacing w:after="0" w:line="107"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warrants are not listed on an exchange. A liquid trading market for our warrants may never develop, or if developed, it may not be sustained. In the absence of a liquid public trading market for our warrants:</w:t>
      </w:r>
    </w:p>
    <w:p>
      <w:pPr>
        <w:spacing w:after="0" w:line="74"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our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may not be able to resell your warrants at favorable prices, or at all;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warrants may experience significant price volatility;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5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the impact of the conflict between Ukraine and Russia, natural disasters, the COVID-19 pandemic,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11"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w:t>
      </w:r>
    </w:p>
    <w:p>
      <w:pPr>
        <w:sectPr>
          <w:pgSz w:w="11900" w:h="16838" w:orient="portrait"/>
          <w:cols w:equalWidth="0" w:num="1">
            <w:col w:w="9879"/>
          </w:cols>
          <w:pgMar w:left="580" w:top="90" w:right="1440" w:bottom="1440" w:gutter="0" w:footer="0" w:header="0"/>
        </w:sectPr>
      </w:pPr>
    </w:p>
    <w:p>
      <w:pPr>
        <w:spacing w:after="0" w:line="335"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39"/>
        <w:spacing w:after="0" w:line="278" w:lineRule="auto"/>
        <w:rPr>
          <w:sz w:val="20"/>
          <w:szCs w:val="20"/>
          <w:color w:val="auto"/>
        </w:rPr>
      </w:pPr>
      <w:r>
        <w:rPr>
          <w:rFonts w:ascii="Arial" w:cs="Arial" w:eastAsia="Arial" w:hAnsi="Arial"/>
          <w:sz w:val="17"/>
          <w:szCs w:val="17"/>
          <w:color w:val="auto"/>
        </w:rPr>
        <w:t>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8"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4" w:lineRule="exact"/>
        <w:rPr>
          <w:sz w:val="20"/>
          <w:szCs w:val="20"/>
          <w:color w:val="auto"/>
        </w:rPr>
      </w:pPr>
    </w:p>
    <w:p>
      <w:pPr>
        <w:ind w:left="1260" w:right="599"/>
        <w:spacing w:after="0" w:line="294"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As of March 31, 2023, PIF, both directly and indirectly through Ayar, held approximately 60.5%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85"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b w:val="1"/>
          <w:bCs w:val="1"/>
          <w:i w:val="1"/>
          <w:iCs w:val="1"/>
          <w:color w:val="auto"/>
        </w:rPr>
        <w:t>PIF and Ayar beneficially own a significant equity interest in us and may take actions that conflict with your interests.</w:t>
      </w:r>
    </w:p>
    <w:p>
      <w:pPr>
        <w:spacing w:after="0" w:line="10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 interests of PIF and Ayar may not align with our interests and the interests of our other stockholders or securityholders. PIF and Ayar are each in the business of making investments in companies and may</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acquire and hold interests in businesses that compete directly or indirectly with us. PIF and Ayar and their respective affiliates, may also pursue acquisition opportunities that may be complementary to our business and, as a result, those acquisition opportunities may not be available to us.</w:t>
      </w:r>
    </w:p>
    <w:p>
      <w:pPr>
        <w:spacing w:after="0" w:line="184"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158" w:lineRule="exact"/>
        <w:rPr>
          <w:sz w:val="20"/>
          <w:szCs w:val="20"/>
          <w:color w:val="auto"/>
        </w:rPr>
      </w:pPr>
    </w:p>
    <w:p>
      <w:pPr>
        <w:jc w:val="both"/>
        <w:ind w:left="1260" w:right="639" w:firstLine="360"/>
        <w:spacing w:after="0" w:line="259"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0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There is no guarantee that an active and liquid public market for our securities will be sustained.</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 liquid trading market for our common stock is not sustained:</w:t>
      </w:r>
    </w:p>
    <w:p>
      <w:pPr>
        <w:spacing w:after="0" w:line="117" w:lineRule="exact"/>
        <w:rPr>
          <w:sz w:val="20"/>
          <w:szCs w:val="20"/>
          <w:color w:val="auto"/>
        </w:rPr>
      </w:pPr>
    </w:p>
    <w:p>
      <w:pPr>
        <w:ind w:left="1800" w:right="5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8" w:lineRule="exact"/>
        <w:rPr>
          <w:sz w:val="20"/>
          <w:szCs w:val="20"/>
          <w:color w:val="auto"/>
        </w:rPr>
      </w:pPr>
    </w:p>
    <w:p>
      <w:pPr>
        <w:ind w:left="1260" w:right="439"/>
        <w:spacing w:after="0" w:line="327"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5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any derivative action or proceeding brought on our behalf;</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7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8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117" w:lineRule="exact"/>
        <w:rPr>
          <w:sz w:val="20"/>
          <w:szCs w:val="20"/>
          <w:color w:val="auto"/>
        </w:rPr>
      </w:pPr>
    </w:p>
    <w:p>
      <w:pPr>
        <w:ind w:left="1800" w:right="61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75" w:lineRule="exact"/>
        <w:rPr>
          <w:rFonts w:ascii="Arial" w:cs="Arial" w:eastAsia="Arial" w:hAnsi="Arial"/>
          <w:sz w:val="18"/>
          <w:szCs w:val="18"/>
          <w:color w:val="auto"/>
        </w:rPr>
      </w:pPr>
    </w:p>
    <w:p>
      <w:pPr>
        <w:ind w:left="1800" w:right="639" w:hanging="180"/>
        <w:spacing w:after="0" w:line="342" w:lineRule="auto"/>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spacing w:after="0" w:line="15" w:lineRule="exact"/>
        <w:rPr>
          <w:rFonts w:ascii="Arial" w:cs="Arial" w:eastAsia="Arial" w:hAnsi="Arial"/>
          <w:sz w:val="16"/>
          <w:szCs w:val="16"/>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44"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90"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All of the shares of common stock and the warrants (including shares of common stock underlying such warrants) offered by the Selling Securityholders pursuant to this prospectus will be sold by the Selling Securityholders for their respective accounts. We will not receive any of the proceeds from these sales.</w:t>
      </w:r>
    </w:p>
    <w:p>
      <w:pPr>
        <w:spacing w:after="0" w:line="9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will receive up to an aggregate of approximately $510 million from the exercise of all of the Private Placement Warrants and the Working Capital Warrants, assuming the exercise in full of all such warrants for cash.</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a prospectus supplement, we intend to use the net proceeds from the sale of the securities offered by us by this prospectus, as well as from the exercise of the Private Placement Warrants and the Working Capital Warrants, for general corporate purposes, which may include capital expenditures and working capital. Our management will have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spacing w:after="0" w:line="106"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As of March 31, 2023, there were (i) 1,833,385,174 shares of our common stock outstanding, (ii) no shares of preferred stock outstanding, and (iii) 44,350,000 shares of common stock issuable upon the exercise of Private Placement Warrants (including the Working Capital Warrants).</w:t>
      </w:r>
    </w:p>
    <w:p>
      <w:pPr>
        <w:spacing w:after="0" w:line="116"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holders of our common stock do not have preemptive or other subscription rights and there is no sinking fund or redemption provisions applicable to our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01"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ind w:left="1260" w:right="419"/>
        <w:spacing w:after="0" w:line="243" w:lineRule="auto"/>
        <w:rPr>
          <w:sz w:val="20"/>
          <w:szCs w:val="20"/>
          <w:color w:val="auto"/>
        </w:rPr>
      </w:pPr>
      <w:r>
        <w:rPr>
          <w:rFonts w:ascii="Arial" w:cs="Arial" w:eastAsia="Arial" w:hAnsi="Arial"/>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1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127"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If the number of outstanding shares of our common stock is decreased by a consolidation, combination, reverse stock split or reclassification of shares of our common stock or other similar event, then, on the</w:t>
      </w:r>
    </w:p>
    <w:p>
      <w:pPr>
        <w:sectPr>
          <w:pgSz w:w="11900" w:h="16838" w:orient="portrait"/>
          <w:cols w:equalWidth="0" w:num="1">
            <w:col w:w="9879"/>
          </w:cols>
          <w:pgMar w:left="580" w:top="90" w:right="1440" w:bottom="1440" w:gutter="0" w:footer="0" w:header="0"/>
        </w:sectPr>
      </w:pPr>
    </w:p>
    <w:p>
      <w:pPr>
        <w:spacing w:after="0" w:line="32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spacing w:after="0" w:line="286" w:lineRule="auto"/>
        <w:rPr>
          <w:sz w:val="20"/>
          <w:szCs w:val="20"/>
          <w:color w:val="auto"/>
        </w:rPr>
      </w:pPr>
      <w:r>
        <w:rPr>
          <w:rFonts w:ascii="Arial" w:cs="Arial" w:eastAsia="Arial" w:hAnsi="Arial"/>
          <w:sz w:val="17"/>
          <w:szCs w:val="17"/>
          <w:color w:val="auto"/>
        </w:rPr>
        <w:t>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9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91" w:lineRule="exact"/>
        <w:rPr>
          <w:sz w:val="20"/>
          <w:szCs w:val="20"/>
          <w:color w:val="auto"/>
        </w:rPr>
      </w:pPr>
    </w:p>
    <w:p>
      <w:pPr>
        <w:ind w:left="1260" w:right="599"/>
        <w:spacing w:after="0" w:line="266"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99"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41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16"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73"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80"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759" w:firstLine="360"/>
        <w:spacing w:after="0" w:line="249" w:lineRule="auto"/>
        <w:rPr>
          <w:sz w:val="20"/>
          <w:szCs w:val="20"/>
          <w:color w:val="auto"/>
        </w:rPr>
      </w:pPr>
      <w:r>
        <w:rPr>
          <w:rFonts w:ascii="Arial" w:cs="Arial" w:eastAsia="Arial" w:hAnsi="Arial"/>
          <w:sz w:val="18"/>
          <w:szCs w:val="18"/>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meeting. These provisions may have the effect of deferring, delaying or discouraging hostile takeovers, or changes in control or management of the Company.</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44"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44"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w:t>
      </w: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ectPr>
          <w:pgSz w:w="11900" w:h="16838" w:orient="portrait"/>
          <w:cols w:equalWidth="0" w:num="1">
            <w:col w:w="9879"/>
          </w:cols>
          <w:pgMar w:left="580" w:top="90" w:right="1440" w:bottom="1440" w:gutter="0" w:footer="0" w:header="0"/>
        </w:sect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0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Transfer Agent and Warrant Agent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for our common stock and warrant agent for our warrants is Equiniti Trust Company.</w:t>
      </w:r>
    </w:p>
    <w:p>
      <w:pPr>
        <w:spacing w:after="0" w:line="156"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i w:val="1"/>
          <w:iCs w:val="1"/>
          <w:color w:val="auto"/>
        </w:rPr>
        <w:t>The following description of debt securities does not purport to be complete and is subject to and qualified in its entirety by reference to the indenture, a form of which has been filed with the SEC as an exhibit to the registration statement of which this prospectus is a part. Any future supplemental indenture or similar document will also be so filed. You should read the indenture and any supplemental indenture or similar document because they, and not this summary, define your rights as a holder of our debt securities. All capitalized terms have the meanings specified in the indenture.</w:t>
      </w:r>
    </w:p>
    <w:p>
      <w:pPr>
        <w:spacing w:after="0" w:line="118" w:lineRule="exact"/>
        <w:rPr>
          <w:sz w:val="20"/>
          <w:szCs w:val="20"/>
          <w:color w:val="auto"/>
        </w:rPr>
      </w:pPr>
    </w:p>
    <w:p>
      <w:pPr>
        <w:ind w:left="1260" w:right="619" w:firstLine="360"/>
        <w:spacing w:after="0" w:line="283" w:lineRule="auto"/>
        <w:rPr>
          <w:sz w:val="20"/>
          <w:szCs w:val="20"/>
          <w:color w:val="auto"/>
        </w:rPr>
      </w:pPr>
      <w:r>
        <w:rPr>
          <w:rFonts w:ascii="Arial" w:cs="Arial" w:eastAsia="Arial" w:hAnsi="Arial"/>
          <w:sz w:val="16"/>
          <w:szCs w:val="16"/>
          <w:color w:val="auto"/>
        </w:rPr>
        <w:t>As used in this prospectus, debt securities means the debentures, notes, bonds and other evidences of indebtedness that we may issue separately or upon exercise of a debt warrant from time to time. The debt securities may either be senior debt securities or subordinated debt securities. The debt securities we offer will be issued under an indenture between us and a trustee to be named therein. Debt securities, whether senior or subordinated, may be issued as convertible debt securities or exchangeable debt securities.</w:t>
      </w:r>
    </w:p>
    <w:p>
      <w:pPr>
        <w:spacing w:after="0" w:line="90"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As used in this “Description of Debt Securities,” the terms “Lucid,” “we,” “our,” and “us” refer to Lucid Group, Inc. and do not, unless otherwise specified, include our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Terms of the Indenture</w:t>
      </w:r>
    </w:p>
    <w:p>
      <w:pPr>
        <w:spacing w:after="0" w:line="148"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The debt securities will be our direct unsecured obligations. The senior debt securities will rank equally with all of our other senior unsecured and unsubordinated debt. The subordinated debt securities will be subordinate and junior in right of payment to all of our present and future senior indebtedness to the extent and in the manner described in the prospectus supplement and as set forth in the supplemental indenture, board resolution or officers’ certificate relating to such offering.</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63"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9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issued in fully registered form without coupons or in a form registered as to principal only with coupons;</w:t>
      </w:r>
    </w:p>
    <w:p>
      <w:pPr>
        <w:spacing w:after="0" w:line="48"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03"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ectPr>
          <w:pgSz w:w="11900" w:h="16838" w:orient="portrait"/>
          <w:cols w:equalWidth="0" w:num="1">
            <w:col w:w="9879"/>
          </w:cols>
          <w:pgMar w:left="580" w:top="90" w:right="1440" w:bottom="1440" w:gutter="0" w:footer="0" w:header="0"/>
        </w:sectPr>
      </w:pP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terms applicable to any debt securities issued at a discount from their stated principal amount;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terms, if any, pursuant to which any debt securities will be subordinate to any of our other debt;</w:t>
      </w:r>
    </w:p>
    <w:p>
      <w:pPr>
        <w:spacing w:after="0" w:line="115" w:lineRule="exact"/>
        <w:rPr>
          <w:rFonts w:ascii="Arial" w:cs="Arial" w:eastAsia="Arial" w:hAnsi="Arial"/>
          <w:sz w:val="17"/>
          <w:szCs w:val="17"/>
          <w:color w:val="auto"/>
        </w:rPr>
      </w:pPr>
    </w:p>
    <w:p>
      <w:pPr>
        <w:ind w:left="1800" w:right="65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78"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other than the entire principal amount of the debt securities when issued, the portion of the principal amount payable upon acceleration of maturity as a result of a default on our obligations;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the remarketing of the debt securities;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applicable, covenants affording holders of debt protection with respect to our operations, financial condition or transactions involving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1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w:t>
      </w:r>
    </w:p>
    <w:p>
      <w:pPr>
        <w:spacing w:after="0" w:line="89"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Unless otherwise provided in the applicable prospectus supplement, all securities of any one series need not be issued at the same time and may be issued from time to time without consent of any holder.</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prospectus supplement relating to any offering of subordinated debt securities will describe the specific subordination provisions, including the extent of subordination of payments by us of the principal of, premium, if any, and interest on such subordinated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76"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provisions affecting conversion or exchange in the event of our redemption of the debt securities.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Sale</w:t>
      </w:r>
    </w:p>
    <w:p>
      <w:pPr>
        <w:spacing w:after="0" w:line="148"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We cannot consolidate with or merge into, or convey, transfer or lease all or substantially all of our properties and assets to, any person unless (1) we will be the continuing corporation or (2) the successor</w:t>
      </w:r>
    </w:p>
    <w:p>
      <w:pPr>
        <w:sectPr>
          <w:pgSz w:w="11900" w:h="16838" w:orient="portrait"/>
          <w:cols w:equalWidth="0" w:num="1">
            <w:col w:w="9879"/>
          </w:cols>
          <w:pgMar w:left="580" w:top="90"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corporation or person to which our assets are conveyed, transferred or leased is a corporation, partnership, trust or other entity that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11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62"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62" w:lineRule="exact"/>
        <w:rPr>
          <w:sz w:val="20"/>
          <w:szCs w:val="20"/>
          <w:color w:val="auto"/>
        </w:rPr>
      </w:pPr>
    </w:p>
    <w:p>
      <w:pPr>
        <w:ind w:left="1800" w:right="55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in accordance with the terms of the debt securities shall not constitute a failure to pay interest;</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events relating to bankruptcy, insolvency or reorganization; or</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Event of Default provided in the applicable resolution of our board of directors or the officers’ certificate or supplemental indenture under which we issue series of debt securities.</w:t>
      </w:r>
    </w:p>
    <w:p>
      <w:pPr>
        <w:spacing w:after="0" w:line="7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may declare the entire principal of all the debt securities of that series to be due and payable immediately.</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an Event of Default relating to the performance of other covenants has occurred and is continuing for a period of 90 days after notice of such, or involves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107"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Similarly, if an Event of Default relating to the performance of other covenants has occurred and is continuing for a period of 90 days after notice of such, or involves all of the series of subordinated debt securities, then the trustee or the holders of not less than 25% in aggregate principal amount of all of the series of subordinated debt securities may declare the entire principal amount of all of the series of subordinated debt securities due and payable immediately.</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however, the Event of Default relating to the performance of other covenants or any other Event of Default that has occurred and is continuing is for less than all of the series of senior debt securities or subordinated debt securities, as the case may be, then, the trustee or the holders of not less than 25% in aggregate principal amount of each affected series of the senior debt securities or the subordinated debt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If an Event of Default relating to events in bankruptcy, insolvency or reorganization occurs and is continuing, then the principal amount of all of the debt securities outstanding, and any accrued interest, will automatically become due and payable immediately, without any declaration or other act by the trustee or any holder.</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indenture provides that the trustee shall within 90 days after the occurrence of default (or 30 days after it is known by the trustee) with respect to a particular series of debt securities, give the holders of the debt securities of such series notice of such default known to it; provided that, except in the case of a default or Event of Default in payment of the principal, premium, if any, of, or interest on, any debt security of such series or in the payment of any redemption obligation, the trustee may withhold the notice if, and so long as, it in good faith determines that withholding the notice is in the interests of the holders of debt securities of that series.</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76" w:lineRule="exact"/>
        <w:rPr>
          <w:sz w:val="20"/>
          <w:szCs w:val="20"/>
          <w:color w:val="auto"/>
        </w:rPr>
      </w:pPr>
    </w:p>
    <w:p>
      <w:pPr>
        <w:ind w:left="1800" w:right="9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holders have offered the trustee reasonable security or indemnity satisfactory to it for expenses and liabilities that may be incurred by bringing the action;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series.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compliance with any condition or covenant of the indenture.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Registered Global Securities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2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right="61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9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dealers, underwriters, or agents participating in the distribution of the debt securities will designate the accounts to be credited; and</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0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6"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3" w:lineRule="exact"/>
        <w:rPr>
          <w:sz w:val="20"/>
          <w:szCs w:val="20"/>
          <w:color w:val="auto"/>
        </w:rPr>
      </w:pPr>
    </w:p>
    <w:p>
      <w:pPr>
        <w:ind w:left="1800" w:right="5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Lucid, the trustee or any other agent of Lucid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as is now the case with the securities held for the accounts of customers registered in “street name.” We also expect that any of these payments will be the responsibility of the participants.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debt securities will be expressly made subject to the discharge and defeasance provisions of the indenture.</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or foreign government obligations, as applicable, as trust funds, in an amount certified to be sufficient to pay when due, whether at maturity, upon redemption or otherwise, the principal of, premium, if any, and interest on the debt securities and any mandatory sinking fund payments.</w:t>
      </w:r>
    </w:p>
    <w:p>
      <w:pPr>
        <w:spacing w:after="0" w:line="127"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84" w:lineRule="exact"/>
        <w:rPr>
          <w:sz w:val="20"/>
          <w:szCs w:val="20"/>
          <w:color w:val="auto"/>
        </w:rPr>
      </w:pPr>
    </w:p>
    <w:p>
      <w:pPr>
        <w:ind w:left="1800" w:right="43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or foreign government obligations, as applicable, as trust funds, in an amount certified to be sufficient to pay at maturity (or upon redemption) the principal, premium, if any, and interest on all outstanding debt securities of the series; and</w:t>
      </w:r>
    </w:p>
    <w:p>
      <w:pPr>
        <w:spacing w:after="0" w:line="78"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legal defeasance or covenant defeasance and that legal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 one or more guarantees for the benefit of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03"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conform any provision of the indenture to this description of debt securities, the description of the notes included in the applicable prospectus supplement or any other relevant section of the applicable prospectus supplement describing the terms of the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does not materially adversely affect the right of any holder;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indenture under the Trust Indenture Act of 1939, as amended.</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indenture also provides that we and the trustee may, with the consent of the holders of not less than a majority in aggregate principal amount of debt securities of all series of senior debt securities or subordinated debt securities, as the case may be, then outstanding and affected (voting as one class), add any provisions to, or change in any manner, eliminate or modify in any way the provisions of, the indenture or modify in any manner the rights of the holders of the debt securities.</w:t>
      </w:r>
    </w:p>
    <w:p>
      <w:pPr>
        <w:spacing w:after="0" w:line="12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and the trustee may not, however, without the consent of the holder of each outstanding debt security affected thereby:</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currency in which the principal (other than as may be provided otherwise with respect to a series), premium, if any, or interest is payable;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debt securities in a manner adverse to the holders of those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any debt security when due;</w:t>
      </w:r>
    </w:p>
    <w:p>
      <w:pPr>
        <w:spacing w:after="0" w:line="128"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the consent of whose holders is required for any waiver (of compliance with certain provisions of the indenture or certain defaults thereunder and their consequences) provided for in the indenture;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provisions set forth in this paragraph.</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left="1260" w:right="479" w:firstLine="360"/>
        <w:spacing w:after="0" w:line="311"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w:t>
      </w:r>
    </w:p>
    <w:p>
      <w:pPr>
        <w:sectPr>
          <w:pgSz w:w="11900" w:h="16838" w:orient="portrait"/>
          <w:cols w:equalWidth="0" w:num="1">
            <w:col w:w="9879"/>
          </w:cols>
          <w:pgMar w:left="580" w:top="90" w:right="1440" w:bottom="1440" w:gutter="0" w:footer="0" w:header="0"/>
        </w:sect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2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indenture contains limitations on the right of the trustee, should it become a creditor of Lucid,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48"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including, without limitation, Sections 5-1401 and 5-1402 of the New York General Obligations Law and New York Civil Practice Law and Rules 327(b).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75" w:lineRule="auto"/>
        <w:rPr>
          <w:sz w:val="20"/>
          <w:szCs w:val="20"/>
          <w:color w:val="auto"/>
        </w:rPr>
      </w:pPr>
      <w:r>
        <w:rPr>
          <w:rFonts w:ascii="Arial" w:cs="Arial" w:eastAsia="Arial" w:hAnsi="Arial"/>
          <w:sz w:val="17"/>
          <w:szCs w:val="17"/>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0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 description of our outstanding warrants, see “Description of Capital Stock-Warrants.”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85"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62"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jc w:val="both"/>
        <w:ind w:left="1800" w:right="65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As specified in the applicable prospectus supplement, we may issue purchase contracts for the purchase or sale of:</w:t>
      </w:r>
    </w:p>
    <w:p>
      <w:pPr>
        <w:spacing w:after="0" w:line="62" w:lineRule="exact"/>
        <w:rPr>
          <w:sz w:val="20"/>
          <w:szCs w:val="20"/>
          <w:color w:val="auto"/>
        </w:rPr>
      </w:pPr>
    </w:p>
    <w:p>
      <w:pPr>
        <w:jc w:val="both"/>
        <w:ind w:left="1800" w:right="77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00"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preferred shares, depositary shares representing preferred stock, debt securities, warrants, purchase contracts or any combination of such securities. The applicable supplement will describe:</w:t>
      </w:r>
    </w:p>
    <w:p>
      <w:pPr>
        <w:spacing w:after="0" w:line="79" w:lineRule="exact"/>
        <w:rPr>
          <w:sz w:val="20"/>
          <w:szCs w:val="20"/>
          <w:color w:val="auto"/>
        </w:rPr>
      </w:pPr>
    </w:p>
    <w:p>
      <w:pPr>
        <w:ind w:left="1800" w:right="65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the units and of the securities comprising the units, including whether and under what circumstances the securities comprising the units may be traded separately;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6"/>
          <w:szCs w:val="16"/>
          <w:color w:val="auto"/>
        </w:rPr>
        <w:t>This prospectus relates to: (1) the offer, issuance and sale by the Company of up to $7,400,017,750 in the aggregate of the securities identified herein from time to time in one or more offerings; (2) the issuance by the Company of an aggregate of up to 44,350,000 shares of common stock, consisting of (a) 42,850,000 shares of common stock issuable upon exercise of the Private Placement Warrants and (b) 1,500,000 shares of common stock issuable upon exercise of the Working Capital Warrants; and (3) the offer and resale from time to time by the Selling Securityholders, or their permitted transferees, of: (a) up to 1,161,947,946 shares of common stock, consisting of (i) 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w:t>
      </w:r>
    </w:p>
    <w:p>
      <w:pPr>
        <w:spacing w:after="0" w:line="4" w:lineRule="exact"/>
        <w:rPr>
          <w:sz w:val="20"/>
          <w:szCs w:val="20"/>
          <w:color w:val="auto"/>
        </w:rPr>
      </w:pPr>
    </w:p>
    <w:p>
      <w:pPr>
        <w:ind w:left="1260" w:right="439"/>
        <w:spacing w:after="0" w:line="261" w:lineRule="auto"/>
        <w:tabs>
          <w:tab w:leader="none" w:pos="1529" w:val="left"/>
        </w:tabs>
        <w:numPr>
          <w:ilvl w:val="0"/>
          <w:numId w:val="47"/>
        </w:numPr>
        <w:rPr>
          <w:rFonts w:ascii="Arial" w:cs="Arial" w:eastAsia="Arial" w:hAnsi="Arial"/>
          <w:sz w:val="17"/>
          <w:szCs w:val="17"/>
          <w:color w:val="auto"/>
        </w:rPr>
      </w:pPr>
      <w:r>
        <w:rPr>
          <w:rFonts w:ascii="Arial" w:cs="Arial" w:eastAsia="Arial" w:hAnsi="Arial"/>
          <w:sz w:val="17"/>
          <w:szCs w:val="17"/>
          <w:color w:val="auto"/>
        </w:rPr>
        <w:t>7,221,921 warrants representing certain Private Placement Warrants. We will receive proceeds from the issuance and sale of our common stock, preferred stock, depositary shares representing preferred stock, debt securities, warrants, purchase contracts or units. We will pay any underwriting discounts and commissions and expenses incurred by us in connection with the sale of securities by us.</w:t>
      </w:r>
    </w:p>
    <w:p>
      <w:pPr>
        <w:spacing w:after="0" w:line="106"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3"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their permitted transferees who later come to hold any of the Selling Securityholders’ interest in the common stock or warrants in accordance with the terms of the agreement(s) governing the registration rights applicable to such Selling Securityholder’s shares of common stock or warrants. The Selling Securityholders will act independently of us in making decisions with respect to the timing, manner and size of each sale.</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our and its respective agents, to reject, any proposed purchase of securities to be made directly or through agents. We, the Selling Securityholders and any of their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14" w:lineRule="exact"/>
        <w:rPr>
          <w:sz w:val="20"/>
          <w:szCs w:val="20"/>
          <w:color w:val="auto"/>
        </w:rPr>
      </w:pPr>
    </w:p>
    <w:p>
      <w:pPr>
        <w:jc w:val="both"/>
        <w:ind w:left="1260" w:right="679" w:firstLine="360"/>
        <w:spacing w:after="0" w:line="256" w:lineRule="auto"/>
        <w:rPr>
          <w:sz w:val="20"/>
          <w:szCs w:val="20"/>
          <w:color w:val="auto"/>
        </w:rPr>
      </w:pPr>
      <w:r>
        <w:rPr>
          <w:rFonts w:ascii="Arial" w:cs="Arial" w:eastAsia="Arial" w:hAnsi="Arial"/>
          <w:sz w:val="18"/>
          <w:szCs w:val="18"/>
          <w:color w:val="auto"/>
        </w:rPr>
        <w:t>We or, 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800" w:right="979" w:hanging="180"/>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w:t>
      </w:r>
    </w:p>
    <w:p>
      <w:pPr>
        <w:spacing w:after="0" w:line="115" w:lineRule="exact"/>
        <w:rPr>
          <w:rFonts w:ascii="Arial" w:cs="Arial" w:eastAsia="Arial" w:hAnsi="Arial"/>
          <w:sz w:val="17"/>
          <w:szCs w:val="17"/>
          <w:color w:val="auto"/>
        </w:rPr>
      </w:pPr>
    </w:p>
    <w:p>
      <w:pPr>
        <w:ind w:left="1800" w:right="49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62"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spacing w:after="0" w:line="1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03"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With respect to a particular offering of the securities by us or of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3"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us or the Selling Securityholders.</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0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and 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9"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03"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 le, if required by applicable law or regulation, a supplement to this prospectus pursuant to</w:t>
      </w:r>
    </w:p>
    <w:p>
      <w:pPr>
        <w:spacing w:after="0" w:line="1"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Rule 424(b) under the Securities Act disclosing certain material information relating to such underwriter or broker-dealer and such offering.</w:t>
      </w:r>
    </w:p>
    <w:p>
      <w:pPr>
        <w:spacing w:after="0" w:line="11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1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1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w:t>
      </w:r>
    </w:p>
    <w:p>
      <w:pPr>
        <w:sectPr>
          <w:pgSz w:w="11900" w:h="16838" w:orient="portrait"/>
          <w:cols w:equalWidth="0" w:num="1">
            <w:col w:w="9879"/>
          </w:cols>
          <w:pgMar w:left="580" w:top="90" w:right="1440" w:bottom="1440" w:gutter="0" w:footer="0" w:header="0"/>
        </w:sect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liabilities, including liabilities under the Securities Act, or to contribution with respect to payments which the agents, broker-dealers or underwriters may be required to make in respect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Private Placement Warrants and Working Capital Warrants (including common stock issuable upon exercise of such warrants) are subject to restrictions on transfer, assignment and sale and, in certain circumstances, are subject to redemption. See “Description of Capital Stock — Warrants.”</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Pursuant to the Subscription Agreement and subject to certain exceptions, Ayar is restricted from selling or transferring common stock held by it until June 23, 2023.</w:t>
      </w:r>
    </w:p>
    <w:p>
      <w:pPr>
        <w:spacing w:after="0" w:line="103"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Arial" w:cs="Arial" w:eastAsia="Arial" w:hAnsi="Arial"/>
          <w:sz w:val="17"/>
          <w:szCs w:val="17"/>
          <w:color w:val="auto"/>
        </w:rPr>
        <w:t>This prospectus also relates to the offer and resale from time to time by the Selling Securityholders, or their permitted transferees, of: (a) up to 1,161,947,946 shares of common stock, consisting of</w:t>
      </w:r>
    </w:p>
    <w:p>
      <w:pPr>
        <w:ind w:left="1260" w:right="419"/>
        <w:spacing w:after="0" w:line="262" w:lineRule="auto"/>
        <w:tabs>
          <w:tab w:leader="none" w:pos="14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 (b) 7,221,921 warrants representing certain Private Placement Warrants. The Selling Securityholders may from time to time offer and sell any or all of the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common stock or warrants in accordance with the terms of the agreements governing the registration rights applicable to such Selling Securityholder’s shares of common stock or warrants.</w:t>
      </w:r>
    </w:p>
    <w:p>
      <w:pPr>
        <w:spacing w:after="0" w:line="11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following table sets forth, based on representations from the Selling Securityholders and where applicable, filings with the SEC, the names of the Selling Securityholders, the aggregate number of shares of common stock and warrants beneficially owned, the aggregate number of shares of common stock and warrants that the Selling Securityholders may offer pursuant to this prospectus and the number of shares of common stock and warrants beneficially owned by the Selling Securityholders after the sale of the securities offered hereby. The Selling Securityholders may have sold, transferred or otherwise disposed of some or all of their shares of common stock or warrants, or may have purchased additional freely-tradeable shares of common stock or warrants since providing us with this information. We have based percentage ownership on 1,833,994,756 shares of common stock issued and outstanding as of April 17, 2023 and ownership information available as of that date.</w:t>
      </w:r>
    </w:p>
    <w:p>
      <w:pPr>
        <w:spacing w:after="0" w:line="121"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13"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28" w:lineRule="exact"/>
        <w:rPr>
          <w:sz w:val="20"/>
          <w:szCs w:val="20"/>
          <w:color w:val="auto"/>
        </w:rPr>
      </w:pPr>
    </w:p>
    <w:p>
      <w:pPr>
        <w:ind w:left="1260" w:right="459" w:firstLine="360"/>
        <w:spacing w:after="0" w:line="313"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holder and the number of shares registered on its behalf. A Selling Security holder may sell or otherwise transfer all, some or none of such shares in this offering. See “Plan of Distribution.”</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Beneficially Owned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Prior to Offering</w:t>
            </w:r>
          </w:p>
        </w:tc>
        <w:tc>
          <w:tcPr>
            <w:tcW w:w="1260" w:type="dxa"/>
            <w:vAlign w:val="bottom"/>
            <w:gridSpan w:val="2"/>
          </w:tcPr>
          <w:p>
            <w:pPr>
              <w:ind w:left="60"/>
              <w:spacing w:after="0" w:line="225"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Being Offered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-8255</wp:posOffset>
            </wp:positionV>
            <wp:extent cx="52120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Shares of Common Stock</w:t>
            </w:r>
          </w:p>
        </w:tc>
        <w:tc>
          <w:tcPr>
            <w:tcW w:w="40" w:type="dxa"/>
            <w:vAlign w:val="bottom"/>
          </w:tcPr>
          <w:p>
            <w:pPr>
              <w:spacing w:after="0"/>
              <w:rPr>
                <w:sz w:val="14"/>
                <w:szCs w:val="14"/>
                <w:color w:val="auto"/>
              </w:rPr>
            </w:pPr>
          </w:p>
        </w:tc>
      </w:tr>
      <w:tr>
        <w:trPr>
          <w:trHeight w:val="162"/>
        </w:trPr>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Beneficially Owned After the Offered</w:t>
            </w:r>
          </w:p>
        </w:tc>
        <w:tc>
          <w:tcPr>
            <w:tcW w:w="40" w:type="dxa"/>
            <w:vAlign w:val="bottom"/>
          </w:tcPr>
          <w:p>
            <w:pPr>
              <w:spacing w:after="0"/>
              <w:rPr>
                <w:sz w:val="14"/>
                <w:szCs w:val="14"/>
                <w:color w:val="auto"/>
              </w:rPr>
            </w:pPr>
          </w:p>
        </w:tc>
      </w:tr>
      <w:tr>
        <w:trPr>
          <w:trHeight w:val="225"/>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Shares of Common Stock Are Sold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6"/>
        </w:trPr>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2"/>
          </w:tcPr>
          <w:p>
            <w:pPr>
              <w:ind w:left="6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 w:lineRule="exact"/>
        <w:rPr>
          <w:sz w:val="20"/>
          <w:szCs w:val="20"/>
          <w:color w:val="auto"/>
        </w:rPr>
      </w:pPr>
    </w:p>
    <w:p>
      <w:pPr>
        <w:sectPr>
          <w:pgSz w:w="11900" w:h="16838" w:orient="portrait"/>
          <w:cols w:equalWidth="0" w:num="3">
            <w:col w:w="3720" w:space="720"/>
            <w:col w:w="2780" w:space="0"/>
            <w:col w:w="265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Peter Rawlinson</w:t>
      </w:r>
      <w:r>
        <w:rPr>
          <w:rFonts w:ascii="Arial" w:cs="Arial" w:eastAsia="Arial" w:hAnsi="Arial"/>
          <w:sz w:val="23"/>
          <w:szCs w:val="23"/>
          <w:color w:val="auto"/>
          <w:vertAlign w:val="superscript"/>
        </w:rPr>
        <w:t>(1)</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Sherry House</w:t>
      </w:r>
      <w:r>
        <w:rPr>
          <w:rFonts w:ascii="Arial" w:cs="Arial" w:eastAsia="Arial" w:hAnsi="Arial"/>
          <w:sz w:val="23"/>
          <w:szCs w:val="23"/>
          <w:color w:val="auto"/>
          <w:vertAlign w:val="superscript"/>
        </w:rPr>
        <w:t>(2)</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Eric Bach</w:t>
      </w:r>
      <w:r>
        <w:rPr>
          <w:rFonts w:ascii="Arial" w:cs="Arial" w:eastAsia="Arial" w:hAnsi="Arial"/>
          <w:sz w:val="23"/>
          <w:szCs w:val="23"/>
          <w:color w:val="auto"/>
          <w:vertAlign w:val="superscript"/>
        </w:rPr>
        <w:t>(3)</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Bell</w:t>
      </w:r>
      <w:r>
        <w:rPr>
          <w:rFonts w:ascii="Arial" w:cs="Arial" w:eastAsia="Arial" w:hAnsi="Arial"/>
          <w:sz w:val="23"/>
          <w:szCs w:val="23"/>
          <w:color w:val="auto"/>
          <w:vertAlign w:val="superscript"/>
        </w:rPr>
        <w:t>(4)</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Nancy Gioia</w:t>
      </w:r>
      <w:r>
        <w:rPr>
          <w:rFonts w:ascii="Arial" w:cs="Arial" w:eastAsia="Arial" w:hAnsi="Arial"/>
          <w:sz w:val="23"/>
          <w:szCs w:val="23"/>
          <w:color w:val="auto"/>
          <w:vertAlign w:val="superscript"/>
        </w:rPr>
        <w:t>(7)</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Tony Posawatz</w:t>
      </w:r>
      <w:r>
        <w:rPr>
          <w:rFonts w:ascii="Arial" w:cs="Arial" w:eastAsia="Arial" w:hAnsi="Arial"/>
          <w:sz w:val="23"/>
          <w:szCs w:val="23"/>
          <w:color w:val="auto"/>
          <w:vertAlign w:val="superscript"/>
        </w:rPr>
        <w:t>(8)</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Turqi Alnowaiser</w:t>
      </w:r>
      <w:r>
        <w:rPr>
          <w:rFonts w:ascii="Arial" w:cs="Arial" w:eastAsia="Arial" w:hAnsi="Arial"/>
          <w:sz w:val="23"/>
          <w:szCs w:val="23"/>
          <w:color w:val="auto"/>
          <w:vertAlign w:val="superscript"/>
        </w:rPr>
        <w:t>(9)</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H.E. Yasir Othman Al-Rumayyan</w:t>
      </w:r>
      <w:r>
        <w:rPr>
          <w:rFonts w:ascii="Arial" w:cs="Arial" w:eastAsia="Arial" w:hAnsi="Arial"/>
          <w:sz w:val="20"/>
          <w:szCs w:val="20"/>
          <w:color w:val="auto"/>
          <w:vertAlign w:val="superscript"/>
        </w:rPr>
        <w:t>(10)</w:t>
      </w:r>
    </w:p>
    <w:p>
      <w:pPr>
        <w:spacing w:after="0" w:line="6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Public Investment Fund</w:t>
      </w:r>
      <w:r>
        <w:rPr>
          <w:rFonts w:ascii="Arial" w:cs="Arial" w:eastAsia="Arial" w:hAnsi="Arial"/>
          <w:sz w:val="23"/>
          <w:szCs w:val="23"/>
          <w:color w:val="auto"/>
          <w:vertAlign w:val="superscript"/>
        </w:rPr>
        <w:t>(11)</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José E. Feliciano</w:t>
      </w:r>
      <w:r>
        <w:rPr>
          <w:rFonts w:ascii="Arial" w:cs="Arial" w:eastAsia="Arial" w:hAnsi="Arial"/>
          <w:sz w:val="23"/>
          <w:szCs w:val="23"/>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22,619,306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32,491,492​​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228,540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509,254​​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3,515,827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4,182,178​​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606,977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971,189​​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1,312,183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1,298,622​​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13,872,135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13,858,574​​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138,561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125,000​​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51,930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38,369​​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13,561</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1,103,056,371 ​​</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2,070,138​​ ​</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1,100,986,233</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1,105,619,797 ​​</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4,604,595​​ ​</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1,101,015,202</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1,109,006,595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1,100,965,202​​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8,041,393</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833,333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833,333​​ ​</w:t>
            </w: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 ​</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-1902460</wp:posOffset>
            </wp:positionV>
            <wp:extent cx="52120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-1525270</wp:posOffset>
            </wp:positionV>
            <wp:extent cx="52120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-1148080</wp:posOffset>
            </wp:positionV>
            <wp:extent cx="52120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-770890</wp:posOffset>
            </wp:positionV>
            <wp:extent cx="52120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-393700</wp:posOffset>
            </wp:positionV>
            <wp:extent cx="52120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73"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Beneficially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 Private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20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Owned After the Offered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Placement Warrants</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2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Warrants are Sold</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160" w:type="dxa"/>
            <w:vAlign w:val="bottom"/>
            <w:vMerge w:val="continue"/>
          </w:tcPr>
          <w:p>
            <w:pPr>
              <w:spacing w:after="0"/>
              <w:rPr>
                <w:sz w:val="11"/>
                <w:szCs w:val="11"/>
                <w:color w:val="auto"/>
              </w:rPr>
            </w:pPr>
          </w:p>
        </w:tc>
        <w:tc>
          <w:tcPr>
            <w:tcW w:w="14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88"/>
              </w:rPr>
              <w:t>Beneficially Owned</w:t>
            </w:r>
          </w:p>
        </w:tc>
        <w:tc>
          <w:tcPr>
            <w:tcW w:w="11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Warrants Being</w:t>
            </w:r>
          </w:p>
        </w:tc>
        <w:tc>
          <w:tcPr>
            <w:tcW w:w="200" w:type="dxa"/>
            <w:vAlign w:val="bottom"/>
            <w:vMerge w:val="continue"/>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1440" w:type="dxa"/>
            <w:vAlign w:val="bottom"/>
            <w:gridSpan w:val="2"/>
          </w:tcPr>
          <w:p>
            <w:pPr>
              <w:ind w:left="120"/>
              <w:spacing w:after="0" w:line="236" w:lineRule="exact"/>
              <w:rPr>
                <w:sz w:val="20"/>
                <w:szCs w:val="20"/>
                <w:color w:val="auto"/>
              </w:rPr>
            </w:pPr>
            <w:r>
              <w:rPr>
                <w:rFonts w:ascii="Arial" w:cs="Arial" w:eastAsia="Arial" w:hAnsi="Arial"/>
                <w:sz w:val="14"/>
                <w:szCs w:val="14"/>
                <w:b w:val="1"/>
                <w:bCs w:val="1"/>
                <w:color w:val="auto"/>
              </w:rPr>
              <w:t xml:space="preserve">Prior to Offering  </w:t>
            </w:r>
            <w:r>
              <w:rPr>
                <w:rFonts w:ascii="Arial" w:cs="Arial" w:eastAsia="Arial" w:hAnsi="Arial"/>
                <w:sz w:val="27"/>
                <w:szCs w:val="27"/>
                <w:b w:val="1"/>
                <w:bCs w:val="1"/>
                <w:color w:val="auto"/>
                <w:vertAlign w:val="subscript"/>
              </w:rPr>
              <w:t>​ ​</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500" w:type="dxa"/>
            <w:vAlign w:val="bottom"/>
            <w:gridSpan w:val="3"/>
          </w:tcPr>
          <w:p>
            <w:pPr>
              <w:jc w:val="center"/>
              <w:spacing w:after="0" w:line="236" w:lineRule="exact"/>
              <w:rPr>
                <w:sz w:val="20"/>
                <w:szCs w:val="20"/>
                <w:color w:val="auto"/>
              </w:rPr>
            </w:pPr>
            <w:r>
              <w:rPr>
                <w:rFonts w:ascii="Arial" w:cs="Arial" w:eastAsia="Arial" w:hAnsi="Arial"/>
                <w:sz w:val="14"/>
                <w:szCs w:val="14"/>
                <w:b w:val="1"/>
                <w:bCs w:val="1"/>
                <w:color w:val="auto"/>
              </w:rPr>
              <w:t xml:space="preserve">Number  </w:t>
            </w: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-8255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-8255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-8255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-8255</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80" w:space="460"/>
            <w:col w:w="5439"/>
          </w:cols>
          <w:pgMar w:left="580" w:top="90"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63"/>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tc>
        <w:tc>
          <w:tcPr>
            <w:tcW w:w="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9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325"/>
        </w:trPr>
        <w:tc>
          <w:tcPr>
            <w:tcW w:w="3720" w:type="dxa"/>
            <w:vAlign w:val="bottom"/>
          </w:tcPr>
          <w:p>
            <w:pPr>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tc>
        <w:tc>
          <w:tcPr>
            <w:tcW w:w="340" w:type="dxa"/>
            <w:vAlign w:val="bottom"/>
          </w:tcPr>
          <w:p>
            <w:pPr>
              <w:ind w:left="60"/>
              <w:spacing w:after="0"/>
              <w:rPr>
                <w:sz w:val="20"/>
                <w:szCs w:val="20"/>
                <w:color w:val="auto"/>
              </w:rPr>
            </w:pPr>
            <w:r>
              <w:rPr>
                <w:rFonts w:ascii="Arial" w:cs="Arial" w:eastAsia="Arial" w:hAnsi="Arial"/>
                <w:sz w:val="18"/>
                <w:szCs w:val="18"/>
                <w:color w:val="auto"/>
              </w:rPr>
              <w:t>​ ​</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6,858,574</w:t>
            </w:r>
          </w:p>
        </w:tc>
        <w:tc>
          <w:tcPr>
            <w:tcW w:w="440" w:type="dxa"/>
            <w:vAlign w:val="bottom"/>
          </w:tcPr>
          <w:p>
            <w:pPr>
              <w:ind w:left="12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6,858,574</w:t>
            </w:r>
          </w:p>
        </w:tc>
        <w:tc>
          <w:tcPr>
            <w:tcW w:w="4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 ​</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9" w:lineRule="exact"/>
        <w:rPr>
          <w:sz w:val="20"/>
          <w:szCs w:val="20"/>
          <w:color w:val="auto"/>
        </w:rPr>
      </w:pPr>
    </w:p>
    <w:p>
      <w:pPr>
        <w:ind w:left="1620" w:hanging="360"/>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519" w:hanging="360"/>
        <w:spacing w:after="0" w:line="273"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10,442,791 currently issued and outstanding shares of common stock; (ii) 12,176,515 shares of common stock subject to currently outstanding Lucid Awards vested or exercisable, or vesting or becoming exercisable, as applicable, within 60 days of April 17, 2023; and (iii) 9,872,186 shares of common stock subject to currently outstanding Lucid Awards vesting or becoming exercisable, as applicable, after June 16, 2023.</w:t>
      </w:r>
    </w:p>
    <w:p>
      <w:pPr>
        <w:spacing w:after="0" w:line="29" w:lineRule="exact"/>
        <w:rPr>
          <w:rFonts w:ascii="Arial" w:cs="Arial" w:eastAsia="Arial" w:hAnsi="Arial"/>
          <w:sz w:val="17"/>
          <w:szCs w:val="17"/>
          <w:color w:val="auto"/>
        </w:rPr>
      </w:pPr>
    </w:p>
    <w:p>
      <w:pPr>
        <w:ind w:left="1620" w:hanging="360"/>
        <w:spacing w:after="0"/>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Ms. House has served as our Chief Financial Officer since May 2021. Shares offered hereby include</w:t>
      </w:r>
    </w:p>
    <w:p>
      <w:pPr>
        <w:spacing w:after="0" w:line="34" w:lineRule="exact"/>
        <w:rPr>
          <w:rFonts w:ascii="Arial" w:cs="Arial" w:eastAsia="Arial" w:hAnsi="Arial"/>
          <w:sz w:val="17"/>
          <w:szCs w:val="17"/>
          <w:color w:val="auto"/>
        </w:rPr>
      </w:pPr>
    </w:p>
    <w:p>
      <w:pPr>
        <w:ind w:left="1620" w:right="599"/>
        <w:spacing w:after="0" w:line="252" w:lineRule="auto"/>
        <w:tabs>
          <w:tab w:leader="none" w:pos="1849" w:val="left"/>
        </w:tabs>
        <w:numPr>
          <w:ilvl w:val="1"/>
          <w:numId w:val="53"/>
        </w:numPr>
        <w:rPr>
          <w:rFonts w:ascii="Arial" w:cs="Arial" w:eastAsia="Arial" w:hAnsi="Arial"/>
          <w:sz w:val="18"/>
          <w:szCs w:val="18"/>
          <w:color w:val="auto"/>
        </w:rPr>
      </w:pPr>
      <w:r>
        <w:rPr>
          <w:rFonts w:ascii="Arial" w:cs="Arial" w:eastAsia="Arial" w:hAnsi="Arial"/>
          <w:sz w:val="18"/>
          <w:szCs w:val="18"/>
          <w:color w:val="auto"/>
        </w:rPr>
        <w:t>137,441 currently issued and outstanding shares of common stock; (ii) 41,313 shares of common stock issuable upon exercise of outstanding Lucid RSUs that are currently exercisable or become exercisable within 60 days of April 17, 2023; and (iii) 330,500 shares of common stock subject to currently outstanding Lucid RSUs vesting after June 16, 2023. Upon vesting of such Lucid RSUs, the shares will be held by The House Revocable Trust, dated March 20, 2021, with Christopher A. House and /or Sherry A. House serving as Trustees. Christopher A. House and Sherry A. House are the beneficial owners of The House Revocable Trust.</w:t>
      </w:r>
    </w:p>
    <w:p>
      <w:pPr>
        <w:spacing w:after="0" w:line="57" w:lineRule="exact"/>
        <w:rPr>
          <w:rFonts w:ascii="Arial" w:cs="Arial" w:eastAsia="Arial" w:hAnsi="Arial"/>
          <w:sz w:val="18"/>
          <w:szCs w:val="18"/>
          <w:color w:val="auto"/>
        </w:rPr>
      </w:pPr>
    </w:p>
    <w:p>
      <w:pPr>
        <w:jc w:val="both"/>
        <w:ind w:left="1620" w:right="859" w:hanging="360"/>
        <w:spacing w:after="0" w:line="269" w:lineRule="auto"/>
        <w:tabs>
          <w:tab w:leader="none" w:pos="1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March 2021. Mr. Bach previously served as our Vice President, Hardware Engineering from September 2018 to February 2021 and as Senior Director, Body Engineering from April 2015 to August 2018. Shares offered hereby include (i) 1,121,184 currently issued and outstanding shares of common stock;</w:t>
      </w:r>
    </w:p>
    <w:p>
      <w:pPr>
        <w:spacing w:after="0" w:line="1" w:lineRule="exact"/>
        <w:rPr>
          <w:rFonts w:ascii="Arial" w:cs="Arial" w:eastAsia="Arial" w:hAnsi="Arial"/>
          <w:sz w:val="17"/>
          <w:szCs w:val="17"/>
          <w:color w:val="auto"/>
        </w:rPr>
      </w:pPr>
    </w:p>
    <w:p>
      <w:pPr>
        <w:ind w:left="1620" w:right="659"/>
        <w:spacing w:after="0" w:line="265" w:lineRule="auto"/>
        <w:tabs>
          <w:tab w:leader="none" w:pos="1903" w:val="left"/>
        </w:tabs>
        <w:numPr>
          <w:ilvl w:val="1"/>
          <w:numId w:val="54"/>
        </w:numPr>
        <w:rPr>
          <w:rFonts w:ascii="Arial" w:cs="Arial" w:eastAsia="Arial" w:hAnsi="Arial"/>
          <w:sz w:val="17"/>
          <w:szCs w:val="17"/>
          <w:color w:val="auto"/>
        </w:rPr>
      </w:pPr>
      <w:r>
        <w:rPr>
          <w:rFonts w:ascii="Arial" w:cs="Arial" w:eastAsia="Arial" w:hAnsi="Arial"/>
          <w:sz w:val="17"/>
          <w:szCs w:val="17"/>
          <w:color w:val="auto"/>
        </w:rPr>
        <w:t>2,347,667 shares of common stock subject to currently outstanding Lucid Awards vested or exercisable, or vesting or becoming exercisable, as applicable, within 60 days of April 17, 2023; and</w:t>
      </w:r>
    </w:p>
    <w:p>
      <w:pPr>
        <w:ind w:left="1620" w:right="1119"/>
        <w:spacing w:after="0" w:line="260" w:lineRule="auto"/>
        <w:tabs>
          <w:tab w:leader="none" w:pos="19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713,327 shares of common stock subject to currently outstanding Lucid Awards vesting or becoming exercisable, as applicable, after June 16, 2023.</w:t>
      </w:r>
    </w:p>
    <w:p>
      <w:pPr>
        <w:sectPr>
          <w:pgSz w:w="11900" w:h="16838" w:orient="portrait"/>
          <w:cols w:equalWidth="0" w:num="1">
            <w:col w:w="9879"/>
          </w:cols>
          <w:pgMar w:left="580" w:top="90" w:right="1440" w:bottom="1440" w:gutter="0" w:footer="0" w:header="0"/>
          <w:type w:val="continuous"/>
        </w:sect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759" w:hanging="360"/>
        <w:spacing w:after="0" w:line="269"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Bell has served as our Senior Vice President, Digital since February 2021, and served as our consultant from August 2020 to February 2021. Shares offered hereby include (i) 475,439 currently issued and outstanding shares of common stock; (ii) 82,625 shares of common stock issuable upon exercise of outstanding Lucid RSUs that are currently exercisable or become exercisable within</w:t>
      </w:r>
    </w:p>
    <w:p>
      <w:pPr>
        <w:spacing w:after="0" w:line="1" w:lineRule="exact"/>
        <w:rPr>
          <w:rFonts w:ascii="Arial" w:cs="Arial" w:eastAsia="Arial" w:hAnsi="Arial"/>
          <w:sz w:val="17"/>
          <w:szCs w:val="17"/>
          <w:color w:val="auto"/>
        </w:rPr>
      </w:pPr>
    </w:p>
    <w:p>
      <w:pPr>
        <w:ind w:left="1620" w:right="519"/>
        <w:spacing w:after="0" w:line="260" w:lineRule="auto"/>
        <w:rPr>
          <w:rFonts w:ascii="Arial" w:cs="Arial" w:eastAsia="Arial" w:hAnsi="Arial"/>
          <w:sz w:val="17"/>
          <w:szCs w:val="17"/>
          <w:color w:val="auto"/>
        </w:rPr>
      </w:pPr>
      <w:r>
        <w:rPr>
          <w:rFonts w:ascii="Arial" w:cs="Arial" w:eastAsia="Arial" w:hAnsi="Arial"/>
          <w:sz w:val="18"/>
          <w:szCs w:val="18"/>
          <w:color w:val="auto"/>
        </w:rPr>
        <w:t>60 days of August 15, 2022; and (iii) 413,125 shares of common stock subject to currently outstanding Lucid RSUs vesting after June 16, 2023.</w:t>
      </w:r>
    </w:p>
    <w:p>
      <w:pPr>
        <w:spacing w:after="0" w:line="50" w:lineRule="exact"/>
        <w:rPr>
          <w:rFonts w:ascii="Arial" w:cs="Arial" w:eastAsia="Arial" w:hAnsi="Arial"/>
          <w:sz w:val="17"/>
          <w:szCs w:val="17"/>
          <w:color w:val="auto"/>
        </w:rPr>
      </w:pPr>
    </w:p>
    <w:p>
      <w:pPr>
        <w:ind w:left="1620" w:right="419" w:hanging="360"/>
        <w:spacing w:after="0" w:line="274"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Liveris has served as a member of our Board since April 2019. He was Chairman of our Board until April 2023. Shares offered hereby include (i) 535,275 shares of common stock held by Mr. Liveris and</w:t>
      </w:r>
    </w:p>
    <w:p>
      <w:pPr>
        <w:ind w:left="1620" w:right="599"/>
        <w:spacing w:after="0" w:line="271" w:lineRule="auto"/>
        <w:tabs>
          <w:tab w:leader="none" w:pos="1903" w:val="left"/>
        </w:tabs>
        <w:numPr>
          <w:ilvl w:val="1"/>
          <w:numId w:val="55"/>
        </w:numPr>
        <w:rPr>
          <w:rFonts w:ascii="Arial" w:cs="Arial" w:eastAsia="Arial" w:hAnsi="Arial"/>
          <w:sz w:val="17"/>
          <w:szCs w:val="17"/>
          <w:color w:val="auto"/>
        </w:rPr>
      </w:pPr>
      <w:r>
        <w:rPr>
          <w:rFonts w:ascii="Arial" w:cs="Arial" w:eastAsia="Arial" w:hAnsi="Arial"/>
          <w:sz w:val="17"/>
          <w:szCs w:val="17"/>
          <w:color w:val="auto"/>
        </w:rPr>
        <w:t>400,000 shares of common stock and 363,347 shares of common stock issuable upon exercise of Private Placement Warrants held by Liveris Capital Partners LLC. Mr. Liveris has investment control over Liveris Capital Partners and disclaims beneficial ownership of such shares of common stock and Private Placement Warrants held by Liveris Capital Partners LLC. The business address for Liveris Capital Partners LLC is c/o BDO 225 N E Mizner Blvd, Suite 685, Boca Raton, FL 33432.</w:t>
      </w:r>
    </w:p>
    <w:p>
      <w:pPr>
        <w:spacing w:after="0" w:line="29" w:lineRule="exact"/>
        <w:rPr>
          <w:rFonts w:ascii="Arial" w:cs="Arial" w:eastAsia="Arial" w:hAnsi="Arial"/>
          <w:sz w:val="17"/>
          <w:szCs w:val="17"/>
          <w:color w:val="auto"/>
        </w:rPr>
      </w:pPr>
    </w:p>
    <w:p>
      <w:pPr>
        <w:ind w:left="1620" w:right="1079" w:hanging="360"/>
        <w:spacing w:after="0" w:line="274"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August has served as a member of our Board since July 2021 and he previously served as a member of Churchill’s board of directors from August 2020. Shares offered hereby include</w:t>
      </w:r>
    </w:p>
    <w:p>
      <w:pPr>
        <w:ind w:left="1620" w:right="599"/>
        <w:spacing w:after="0" w:line="252" w:lineRule="auto"/>
        <w:tabs>
          <w:tab w:leader="none" w:pos="1849" w:val="left"/>
        </w:tabs>
        <w:numPr>
          <w:ilvl w:val="1"/>
          <w:numId w:val="56"/>
        </w:numPr>
        <w:rPr>
          <w:rFonts w:ascii="Arial" w:cs="Arial" w:eastAsia="Arial" w:hAnsi="Arial"/>
          <w:sz w:val="18"/>
          <w:szCs w:val="18"/>
          <w:color w:val="auto"/>
        </w:rPr>
      </w:pPr>
      <w:r>
        <w:rPr>
          <w:rFonts w:ascii="Arial" w:cs="Arial" w:eastAsia="Arial" w:hAnsi="Arial"/>
          <w:sz w:val="18"/>
          <w:szCs w:val="18"/>
          <w:color w:val="auto"/>
        </w:rPr>
        <w:t>7,000,000 shares of common stock and (ii) 6,858,574 shares of common stock issuable upon exercise of Private Placement Warrants held by OHA Partner Global Co-Investment III, LLP (“OHA PGCI3”). Mr. August has investment control over OHA PGCI3 and may be deemed to be a beneficial owner of such shares of common stock and Private Placement Warrants held by OHA PGCI3. The business address for OHA PGCI3 is OHA PGCI3, c/o Oak Hill Advisors, L.P., 1 Vanderbilt Avenue 16th Floor, NYC, NY 10017.</w:t>
      </w:r>
    </w:p>
    <w:p>
      <w:pPr>
        <w:spacing w:after="0" w:line="45"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Ms. Gioia served as a member of our Board from July 2021 to April 2023. Shares offered hereby include 125,000 shares of common stock.</w:t>
      </w:r>
    </w:p>
    <w:p>
      <w:pPr>
        <w:spacing w:after="0" w:line="35" w:lineRule="exact"/>
        <w:rPr>
          <w:rFonts w:ascii="Arial" w:cs="Arial" w:eastAsia="Arial" w:hAnsi="Arial"/>
          <w:sz w:val="18"/>
          <w:szCs w:val="18"/>
          <w:color w:val="auto"/>
        </w:rPr>
      </w:pPr>
    </w:p>
    <w:p>
      <w:pPr>
        <w:ind w:left="1620" w:right="619" w:hanging="360"/>
        <w:spacing w:after="0" w:line="27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Posawatz served as a member of our Board from April 2019 to April 2023. Shares offered hereby include 38,369 shares of common stock.</w:t>
      </w:r>
    </w:p>
    <w:p>
      <w:pPr>
        <w:spacing w:after="0" w:line="21" w:lineRule="exact"/>
        <w:rPr>
          <w:rFonts w:ascii="Arial" w:cs="Arial" w:eastAsia="Arial" w:hAnsi="Arial"/>
          <w:sz w:val="18"/>
          <w:szCs w:val="18"/>
          <w:color w:val="auto"/>
        </w:rPr>
      </w:pPr>
    </w:p>
    <w:p>
      <w:pPr>
        <w:ind w:left="1620" w:right="459" w:hanging="360"/>
        <w:spacing w:after="0" w:line="259"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He has been Chairman of our Board since April 2023. Also see footnote 11. Mr. Alnowaiser disclaims beneficial ownership of the shares held by Ayar. Shares offered hereby include 2,070,138 shares of common stock issued to Mr. Alnowaiser upon the Closing.</w:t>
      </w:r>
    </w:p>
    <w:p>
      <w:pPr>
        <w:spacing w:after="0" w:line="38"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Also see footnote 11. H.E. Al-Rumayyan disclaims beneficial ownership of the shares held by Ayar. Shares offered hereby include 4,604,595 shares of common stock issued to H.E. Al-Rumayyan upon the Closing.</w:t>
      </w:r>
    </w:p>
    <w:p>
      <w:pPr>
        <w:spacing w:after="0" w:line="48" w:lineRule="exact"/>
        <w:rPr>
          <w:rFonts w:ascii="Arial" w:cs="Arial" w:eastAsia="Arial" w:hAnsi="Arial"/>
          <w:sz w:val="18"/>
          <w:szCs w:val="18"/>
          <w:color w:val="auto"/>
        </w:rPr>
      </w:pPr>
    </w:p>
    <w:p>
      <w:pPr>
        <w:ind w:left="1620" w:right="439" w:hanging="360"/>
        <w:spacing w:after="0" w:line="267"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the Schedule 13D/A filed with the SEC on December 28, 2022 by PIF. According to the Schedule 13D/A, PIF has sole voting power over 8,041,393 shares of common stock held directly by PIF, shared voting power over 1,100,965,202 shares of common stock held by Ayar and sole dispositive power over 1,109,006,595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for Ayar do not include 4,654,595 shares of common stock held by H.E. Al-Rumayyan or 2,091,169 shares of common stock held by Mr. Alnowaiser (which amount includes 7,470 shares issuable pursuant to restricted stock units that will not vest for more than 60 days after the date hereof). Shares offered by Ayar hereby include 1,015,252,523 shares of common stock issued to Ayar upon the Closing (including in connection with the PIPE Investment) and 85,712,679 shares issued to Ayar pursuant to the Subscription Agreement. The business address for PIF and for H.E. Al-Rumayyan is Alr’idah Digital City, Building MU04, Al Nakhil District, P.O. Box 6847, Riyadh 11452, The Kingdom of Saudi Arabia.</w:t>
      </w:r>
    </w:p>
    <w:p>
      <w:pPr>
        <w:spacing w:after="0" w:line="42" w:lineRule="exact"/>
        <w:rPr>
          <w:rFonts w:ascii="Arial" w:cs="Arial" w:eastAsia="Arial" w:hAnsi="Arial"/>
          <w:sz w:val="17"/>
          <w:szCs w:val="17"/>
          <w:color w:val="auto"/>
        </w:rPr>
      </w:pPr>
    </w:p>
    <w:p>
      <w:pPr>
        <w:ind w:left="1620" w:hanging="360"/>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Jose E. Feliciano is the beneficiary of Citibank NA as Custodian FBO Jose E. Feliciano.</w:t>
      </w: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following is a discussion of certain material U.S. federal income and estate tax consequences of the ownership and disposition of our common stock and warrants, which we refer to collectively as our securities. This discussion applies only to securities that are purchased from us or the Selling Securityholders pursuant to this prospectus, and to securities that are held as capital assets.</w:t>
      </w:r>
    </w:p>
    <w:p>
      <w:pPr>
        <w:spacing w:after="0" w:line="9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w:t>
      </w:r>
    </w:p>
    <w:p>
      <w:pPr>
        <w:spacing w:after="0" w:line="63" w:lineRule="exact"/>
        <w:rPr>
          <w:sz w:val="20"/>
          <w:szCs w:val="20"/>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dealers or brokers in securities, commodities or foreign currencies;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traders in securities that elect to apply a mark-to-market method of tax accounting;</w:t>
      </w:r>
    </w:p>
    <w:p>
      <w:pPr>
        <w:spacing w:after="0" w:line="117"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are required to recognize income or gain no later than such income or gain is required to be reported on an applicable financial statement under Section 451(b) of the Internal Revenue Code of 1986, as amended (the “Code”);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(5%) or more (by vote or value)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partnerships, S corporations or other pass-through entities or investors therein;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hold our securities as part of a hedge, straddle, constructive sale or conversion transaction or other integrated investment;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through a tax qualified retirement plan or otherwise as compensation.</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w:t>
      </w:r>
    </w:p>
    <w:p>
      <w:pPr>
        <w:spacing w:after="0" w:line="12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w:t>
      </w:r>
    </w:p>
    <w:p>
      <w:pPr>
        <w:sectPr>
          <w:pgSz w:w="11900" w:h="16838" w:orient="portrait"/>
          <w:cols w:equalWidth="0" w:num="1">
            <w:col w:w="9879"/>
          </w:cols>
          <w:pgMar w:left="580" w:top="90" w:right="1440" w:bottom="1440" w:gutter="0" w:footer="0" w:header="0"/>
        </w:sectPr>
      </w:pPr>
    </w:p>
    <w:p>
      <w:pPr>
        <w:spacing w:after="0" w:line="36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U.S. Holders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our securities who or that is:</w:t>
      </w:r>
    </w:p>
    <w:p>
      <w:pPr>
        <w:spacing w:after="0" w:line="63" w:lineRule="exact"/>
        <w:rPr>
          <w:sz w:val="20"/>
          <w:szCs w:val="20"/>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Distributions on our Common Stock</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and Warrants”).</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 xml:space="preserve">The terms of each warrant provide for an adjustment to the number of shares of our common stock for which the warrant may be exercised or to the exercise price of the warrant on the occurrence of certain events. An adjustment which has the effect of preventing dilution generally is not a taxable event. U.S. Holders of the warrants would, however, be treated as receiving a constructive distribution from us if, for example, the adjustment to the number of such shares or to such exercise price increases the warrant holders’ proportionate interest in our assets or earnings and profits </w:t>
      </w:r>
      <w:r>
        <w:rPr>
          <w:rFonts w:ascii="Arial" w:cs="Arial" w:eastAsia="Arial" w:hAnsi="Arial"/>
          <w:sz w:val="17"/>
          <w:szCs w:val="17"/>
          <w:i w:val="1"/>
          <w:iCs w:val="1"/>
          <w:color w:val="auto"/>
        </w:rPr>
        <w:t>(e. g.,</w:t>
      </w:r>
      <w:r>
        <w:rPr>
          <w:rFonts w:ascii="Arial" w:cs="Arial" w:eastAsia="Arial" w:hAnsi="Arial"/>
          <w:sz w:val="17"/>
          <w:szCs w:val="17"/>
          <w:color w:val="auto"/>
        </w:rPr>
        <w:t xml:space="preserve"> through an increase in the number of shares of our common stock that would be obtained upon exercise or through a decrease in the exercise price of the warrants), including as a result of a distribution of cash or other property to the holders of shares of our common stock which is taxable to such holders of such shares as a distribution. Any constructive distribution received by a U.S. Holder would be subject to tax in the same manner as if such U.S. Holder received a cash distribution from us equal to the fair market value of such increased interest resulting from the adjustment. Generally, a U.S. Holder’s adjusted tax basis in its warrants would be increased to the extent any such constructive distribution is treated as a dividend.</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Upon sales, exchanges or other taxable dispositions of our common stock or warrants (which, in general, would include a redemption of our warrants that is treated as a taxable exchange of such warrants as described below under “— Tax Consequences to U.S. Holders — Exercise, Lapse or Redemption of a Warrant”), a U.S. Holder generally will recognize capital gain or loss equal to the difference between (i) the amount of cash and the fair market value of all other property received upon such disposition and (ii) such U.S. Holder’s adjusted tax basis in its common stock or warrant. Such capital gain or loss will be long-term capital gain or loss if the U.S. Holder’s holding period in the common stock or warrant is more than one year at the time of the taxable disposition. Long-term capital gains recognized by certain non-corporate U.S.</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Holders (including individuals) generally are subject to reduced rates of U.S. federal income tax. The deductibility of capital losses is subject to limitations.</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as a result of the acquisition of our common stock upon exercise of a warrant for cash. The U.S. Holder’s tax basis in the shares of our common stock received upon exercise of the warrants generally will be an amount equal to the sum of the U.S. Holder’s initial investment in the warrants and the exercise price of such warrants. For U.S. federal income tax purposes, it is unclear whether the U.S. Holder’s holding period for our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such holder’s basis in the warrants. If the cashless exercise were treated as not being a realization event, it is unclear whether a U.S. Holder’s holding period in the common stock would be treated as commencing on the date following the date of exercise or on the date of exercise of the warrant. If the cashless exercise were treated as a recapitalization, the holding period of our common stock would include the holding period of the warrants exercised therefor.</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would be deemed to have surrendered a number of warrants having an aggregate value equal to the exercise price for the number of warrants deemed exercised. The U.S. Holder would recognize capital gain or loss in an amount equal to the difference between the exercise price of the warrants deemed exercised and such holder’s tax basis in the warrants deemed surrendered. Such gain or loss would be long-term or short-term depending on the U.S. Holder’s holding period in the warrants deemed surrendered. In this case, the U.S. Holder’s tax basis in the common stock received would equal the sum of its initial investment in the warrants deemed exercised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07"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as to which, if any, of the alternative tax consequences and holding periods described above would be adopted by the IRS or a court of law. Accordingly, U.S. Holders should consult their own tax advisors regarding the tax consequences of a cashless exercise.</w:t>
      </w:r>
    </w:p>
    <w:p>
      <w:pPr>
        <w:spacing w:after="0" w:line="109"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If we redeem warrants for cash or if we purchase warrants in an open market transaction, such redemption or purchase generally will be treated as a taxable disposition to the U.S. Holder, taxed as described above under “— Sale, Exchange or Other Taxable Disposition of our Common Stock and Warrants.”</w:t>
      </w:r>
    </w:p>
    <w:p>
      <w:pPr>
        <w:spacing w:after="0" w:line="106"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If we give notice of an intention to redeem warrants and a U.S. Holder exercises its warrants on a cashless basis and receives an amount of common stock in respect thereof, we intend to treat such exercise as a redemption of warrants for the common stock for U.S. federal income tax purposes. Such redemption should be treated as a “recapitalization” within the meaning of Section 368(a)(l)(E) of the Code.</w:t>
      </w:r>
    </w:p>
    <w:p>
      <w:pPr>
        <w:spacing w:after="0" w:line="104"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Accordingly, a U.S. Holder should not recognize any gain or loss on the redemption of warrants for shares of our common stock. A U.S. Holder’s aggregate tax basis in the shares of our common stock received</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spacing w:after="0" w:line="288" w:lineRule="auto"/>
        <w:rPr>
          <w:sz w:val="20"/>
          <w:szCs w:val="20"/>
          <w:color w:val="auto"/>
        </w:rPr>
      </w:pPr>
      <w:r>
        <w:rPr>
          <w:rFonts w:ascii="Arial" w:cs="Arial" w:eastAsia="Arial" w:hAnsi="Arial"/>
          <w:sz w:val="16"/>
          <w:szCs w:val="16"/>
          <w:color w:val="auto"/>
        </w:rPr>
        <w:t>in the redemption generally should equal such holder’s aggregate tax basis in the warrants redeemed and the holding period for the shares of our common stock received should include such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w:t>
      </w:r>
    </w:p>
    <w:p>
      <w:pPr>
        <w:spacing w:after="0" w:line="8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Accordingly, U.S. Holders are urged to consult their own tax advisors regarding the tax consequences of a redemption of warrants for shares of our common stock.</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Information reporting requirements generally will apply to payments to a U.S. Holder of dividends on shares of common stock (as well as constructive dividends deemed paid with respect to the warrants) and the proceeds of a sale of common stock or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w:t>
      </w:r>
    </w:p>
    <w:p>
      <w:pPr>
        <w:spacing w:after="0" w:line="11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the U.S. Holder’s U.S. federal income tax liability provided the required information is furnished timely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Non-U.S. Holders</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our securities who or that is, for U.S. federal income tax purposes:</w:t>
      </w:r>
    </w:p>
    <w:p>
      <w:pPr>
        <w:spacing w:after="0" w:line="76" w:lineRule="exact"/>
        <w:rPr>
          <w:sz w:val="20"/>
          <w:szCs w:val="20"/>
          <w:color w:val="auto"/>
        </w:rPr>
      </w:pPr>
    </w:p>
    <w:p>
      <w:pPr>
        <w:ind w:left="1800" w:right="51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In the case of any constructive dividend to a non-U.S. Holder of warrants (as described above under “— Tax Consequences to U.S. Holders — Possible Constructive Dividends”), it is possible that this tax would be withheld from any amount owed to the non-U.S. Holder by the applicable withholding agent, including cash distributions on other property or sale proceeds from warrants or other property subsequently paid or credit to such non-U.S. Holder.</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w:t>
      </w:r>
    </w:p>
    <w:p>
      <w:pPr>
        <w:sectPr>
          <w:pgSz w:w="11900" w:h="16838" w:orient="portrait"/>
          <w:cols w:equalWidth="0" w:num="1">
            <w:col w:w="9879"/>
          </w:cols>
          <w:pgMar w:left="580" w:top="90" w:right="1440" w:bottom="1440" w:gutter="0" w:footer="0" w:header="0"/>
        </w:sectPr>
      </w:pP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479"/>
        <w:spacing w:after="0" w:line="277" w:lineRule="auto"/>
        <w:rPr>
          <w:sz w:val="20"/>
          <w:szCs w:val="20"/>
          <w:color w:val="auto"/>
        </w:rPr>
      </w:pPr>
      <w:r>
        <w:rPr>
          <w:rFonts w:ascii="Arial" w:cs="Arial" w:eastAsia="Arial" w:hAnsi="Arial"/>
          <w:sz w:val="18"/>
          <w:szCs w:val="18"/>
          <w:color w:val="auto"/>
        </w:rPr>
        <w:t>income may also be subject to an additional “branch profits tax” imposed at a rate of 30% (or a lower treaty rate) on its effectively connected earnings and profits (subject to certain adjustments).</w:t>
      </w:r>
    </w:p>
    <w:p>
      <w:pPr>
        <w:spacing w:after="0" w:line="89"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A non -U.S. holder eligible for a reduced rate of U.S. federal withholding tax pursuant to an income tax treaty may obtain a refund of any excess amounts withheld by timely filing an appropriate claim for refund with the IRS.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jc w:val="both"/>
        <w:ind w:left="1260" w:right="419" w:firstLine="360"/>
        <w:spacing w:after="0" w:line="256"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securities unless:</w:t>
      </w:r>
    </w:p>
    <w:p>
      <w:pPr>
        <w:spacing w:after="0" w:line="67" w:lineRule="exact"/>
        <w:rPr>
          <w:sz w:val="20"/>
          <w:szCs w:val="20"/>
          <w:color w:val="auto"/>
        </w:rPr>
      </w:pPr>
    </w:p>
    <w:p>
      <w:pPr>
        <w:ind w:left="1800" w:right="539" w:hanging="180"/>
        <w:spacing w:after="0" w:line="25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7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83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certain exceptions do not apply.</w:t>
      </w:r>
    </w:p>
    <w:p>
      <w:pPr>
        <w:spacing w:after="0" w:line="103"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w:t>
      </w:r>
    </w:p>
    <w:p>
      <w:pPr>
        <w:spacing w:after="0" w:line="90"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6"/>
          <w:szCs w:val="16"/>
          <w:color w:val="auto"/>
        </w:rPr>
        <w:t xml:space="preserve">U.S. Holder, as described above under </w:t>
      </w:r>
      <w:r>
        <w:rPr>
          <w:rFonts w:ascii="Arial" w:cs="Arial" w:eastAsia="Arial" w:hAnsi="Arial"/>
          <w:sz w:val="16"/>
          <w:szCs w:val="16"/>
          <w:i w:val="1"/>
          <w:iCs w:val="1"/>
          <w:color w:val="auto"/>
        </w:rPr>
        <w:t>“Tax Consequences to U.S. Holders — Exercise, Lapse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of a Warrant”, </w:t>
      </w:r>
      <w:r>
        <w:rPr>
          <w:rFonts w:ascii="Arial" w:cs="Arial" w:eastAsia="Arial" w:hAnsi="Arial"/>
          <w:sz w:val="16"/>
          <w:szCs w:val="16"/>
          <w:color w:val="auto"/>
        </w:rPr>
        <w:t>although to the extent a cashless exercise or redemption of a warrant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taxable exchange, the consequences would be similar to those described above under </w:t>
      </w:r>
      <w:r>
        <w:rPr>
          <w:rFonts w:ascii="Arial" w:cs="Arial" w:eastAsia="Arial" w:hAnsi="Arial"/>
          <w:sz w:val="16"/>
          <w:szCs w:val="16"/>
          <w:i w:val="1"/>
          <w:iCs w:val="1"/>
          <w:color w:val="auto"/>
        </w:rPr>
        <w:t>“Tax Consequences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Non-U.S. Holders — Sale, Exchange or Other Taxable Disposition of our Common Stock and Warrants.”</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3"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6"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Information reporting and, depending on the circumstances, backup withholding will apply to the</w:t>
      </w:r>
    </w:p>
    <w:p>
      <w:pPr>
        <w:spacing w:after="0" w:line="23" w:lineRule="exact"/>
        <w:rPr>
          <w:sz w:val="20"/>
          <w:szCs w:val="20"/>
          <w:color w:val="auto"/>
        </w:rPr>
      </w:pPr>
    </w:p>
    <w:p>
      <w:pPr>
        <w:ind w:left="1260" w:right="559"/>
        <w:spacing w:after="0" w:line="273" w:lineRule="auto"/>
        <w:rPr>
          <w:sz w:val="20"/>
          <w:szCs w:val="20"/>
          <w:color w:val="auto"/>
        </w:rPr>
      </w:pPr>
      <w:r>
        <w:rPr>
          <w:rFonts w:ascii="Arial" w:cs="Arial" w:eastAsia="Arial" w:hAnsi="Arial"/>
          <w:sz w:val="17"/>
          <w:szCs w:val="17"/>
          <w:color w:val="auto"/>
        </w:rPr>
        <w:t>proceeds of a sale or other disposition of our common stock and warrants made within the United States or conducted through certain U.S.-related financial intermediaries, unless the non-U.S. Holder complies with</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spacing w:after="0" w:line="286" w:lineRule="auto"/>
        <w:rPr>
          <w:sz w:val="20"/>
          <w:szCs w:val="20"/>
          <w:color w:val="auto"/>
        </w:rPr>
      </w:pPr>
      <w:r>
        <w:rPr>
          <w:rFonts w:ascii="Arial" w:cs="Arial" w:eastAsia="Arial" w:hAnsi="Arial"/>
          <w:sz w:val="17"/>
          <w:szCs w:val="17"/>
          <w:color w:val="auto"/>
        </w:rPr>
        <w:t>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173,544,948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685165</wp:posOffset>
            </wp:positionV>
            <wp:extent cx="4817745" cy="300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48177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439"/>
        <w:spacing w:after="0"/>
        <w:rPr>
          <w:sz w:val="20"/>
          <w:szCs w:val="20"/>
          <w:color w:val="auto"/>
        </w:rPr>
      </w:pPr>
      <w:r>
        <w:rPr>
          <w:rFonts w:ascii="Arial" w:cs="Arial" w:eastAsia="Arial" w:hAnsi="Arial"/>
          <w:sz w:val="29"/>
          <w:szCs w:val="29"/>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766445</wp:posOffset>
            </wp:positionV>
            <wp:extent cx="12344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60"/>
        <w:spacing w:after="0"/>
        <w:rPr>
          <w:sz w:val="20"/>
          <w:szCs w:val="20"/>
          <w:color w:val="auto"/>
        </w:rPr>
      </w:pPr>
      <w:r>
        <w:rPr>
          <w:rFonts w:ascii="Arial" w:cs="Arial" w:eastAsia="Arial" w:hAnsi="Arial"/>
          <w:sz w:val="26"/>
          <w:szCs w:val="26"/>
          <w:b w:val="1"/>
          <w:bCs w:val="1"/>
          <w:color w:val="auto"/>
        </w:rPr>
        <w:t>BofA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863600</wp:posOffset>
            </wp:positionV>
            <wp:extent cx="52120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4"/>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0"/>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Roman"/>
      <w:start w:val="3"/>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2"/>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Roman"/>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1)"/>
      <w:numFmt w:val="decimal"/>
      <w:start w:val="1"/>
    </w:lvl>
    <w:lvl w:ilvl="1">
      <w:lvlJc w:val="left"/>
      <w:lvlText w:val="(%2)"/>
      <w:numFmt w:val="lowerRoman"/>
      <w:start w:val="1"/>
    </w:lvl>
  </w:abstractNum>
  <w:abstractNum w:abstractNumId="53">
    <w:nsid w:val="180115BE"/>
    <w:multiLevelType w:val="hybridMultilevel"/>
    <w:lvl w:ilvl="0">
      <w:lvlJc w:val="left"/>
      <w:lvlText w:val="%1"/>
      <w:numFmt w:val="decimal"/>
      <w:start w:val="1"/>
    </w:lvl>
    <w:lvl w:ilvl="1">
      <w:lvlJc w:val="left"/>
      <w:lvlText w:val="(%2)"/>
      <w:numFmt w:val="lowerRoman"/>
      <w:start w:val="2"/>
    </w:lvl>
  </w:abstractNum>
  <w:abstractNum w:abstractNumId="54">
    <w:nsid w:val="235BA861"/>
    <w:multiLevelType w:val="hybridMultilevel"/>
    <w:lvl w:ilvl="0">
      <w:lvlJc w:val="left"/>
      <w:lvlText w:val="(%1)"/>
      <w:numFmt w:val="decimal"/>
      <w:start w:val="4"/>
    </w:lvl>
    <w:lvl w:ilvl="1">
      <w:lvlJc w:val="left"/>
      <w:lvlText w:val="(%2)"/>
      <w:numFmt w:val="lowerRoman"/>
      <w:start w:val="2"/>
    </w:lvl>
  </w:abstractNum>
  <w:abstractNum w:abstractNumId="55">
    <w:nsid w:val="47398C89"/>
    <w:multiLevelType w:val="hybridMultilevel"/>
    <w:lvl w:ilvl="0">
      <w:lvlJc w:val="left"/>
      <w:lvlText w:val="%1"/>
      <w:numFmt w:val="decimal"/>
      <w:start w:val="1"/>
    </w:lvl>
    <w:lvl w:ilvl="1">
      <w:lvlJc w:val="left"/>
      <w:lvlText w:val="(%2)"/>
      <w:numFmt w:val="lowerRoman"/>
      <w:start w:val="1"/>
    </w:lvl>
  </w:abstractNum>
  <w:abstractNum w:abstractNumId="56">
    <w:nsid w:val="354FE9F9"/>
    <w:multiLevelType w:val="hybridMultilevel"/>
    <w:lvl w:ilvl="0">
      <w:lvlJc w:val="left"/>
      <w:lvlText w:val="(%1)"/>
      <w:numFmt w:val="decimal"/>
      <w:start w:val="7"/>
    </w:lvl>
    <w:lvl w:ilvl="1">
      <w:lvlJc w:val="left"/>
      <w:lvlText w:val="%2"/>
      <w:numFmt w:val="lowerRoman"/>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jpe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jpe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31" Type="http://schemas.openxmlformats.org/officeDocument/2006/relationships/hyperlink" Target="http://www.sec.gov/ix?doc=/Archives/edgar/data/1811210/000162828023005540/lcid-20221231.htm" TargetMode="External"/><Relationship Id="rId32" Type="http://schemas.openxmlformats.org/officeDocument/2006/relationships/hyperlink" Target="http://www.sec.gov/ix?doc=/Archives/edgar/data/1811210/000162828023016405/lcid-20230331.htm" TargetMode="External"/><Relationship Id="rId33" Type="http://schemas.openxmlformats.org/officeDocument/2006/relationships/hyperlink" Target="http://www.sec.gov/ix?doc=/Archives/edgar/data/1811210/000110465923031532/tm232032d5_def14a.htm" TargetMode="External"/><Relationship Id="rId34" Type="http://schemas.openxmlformats.org/officeDocument/2006/relationships/hyperlink" Target="http://www.sec.gov/ix?doc=/Archives/edgar/data/1811210/000110465923007598/tm234549d1_8k.htm" TargetMode="External"/><Relationship Id="rId35" Type="http://schemas.openxmlformats.org/officeDocument/2006/relationships/hyperlink" Target="http://www.sec.gov/ix?doc=/Archives/edgar/data/1811210/000110465923008803/tm234958d1_8k.htm" TargetMode="External"/><Relationship Id="rId36" Type="http://schemas.openxmlformats.org/officeDocument/2006/relationships/hyperlink" Target="http://www.sec.gov/ix?doc=/Archives/edgar/data/1811210/000110465923010817/tm235543d1_8k.htm" TargetMode="External"/><Relationship Id="rId37" Type="http://schemas.openxmlformats.org/officeDocument/2006/relationships/hyperlink" Target="http://www.sec.gov/ix?doc=/Archives/edgar/data/1811210/000110465923023905/tm237398d1_8k.htm" TargetMode="External"/><Relationship Id="rId38" Type="http://schemas.openxmlformats.org/officeDocument/2006/relationships/hyperlink" Target="http://www.sec.gov/ix?doc=/Archives/edgar/data/1811210/000110465923028423/tm238322d1_8k.htm" TargetMode="External"/><Relationship Id="rId39" Type="http://schemas.openxmlformats.org/officeDocument/2006/relationships/hyperlink" Target="http://www.sec.gov/ix?doc=/Archives/edgar/data/1811210/000110465923037708/tm2310732d1_8k.htm" TargetMode="External"/><Relationship Id="rId40" Type="http://schemas.openxmlformats.org/officeDocument/2006/relationships/hyperlink" Target="http://www.sec.gov/ix?doc=/Archives/edgar/data/1811210/000110465923049685/tm2313633d1_8k.htm" TargetMode="External"/><Relationship Id="rId41" Type="http://schemas.openxmlformats.org/officeDocument/2006/relationships/hyperlink" Target="http://www.sec.gov/ix?doc=/Archives/edgar/data/1811210/000110465923054825/tm2314261d1_8k.htm" TargetMode="External"/><Relationship Id="rId42" Type="http://schemas.openxmlformats.org/officeDocument/2006/relationships/hyperlink" Target="https://www.sec.gov/ix?doc=/Archives/edgar/data/1811210/000110465923066270/tm2317326d2_8k.htm" TargetMode="External"/><Relationship Id="rId43" Type="http://schemas.openxmlformats.org/officeDocument/2006/relationships/hyperlink" Target="http://www.sec.gov/Archives/edgar/data/1811210/000110465921095277/tm2120294d8_8a12b.htm" TargetMode="External"/><Relationship Id="rId99" Type="http://schemas.openxmlformats.org/officeDocument/2006/relationships/hyperlink" Target="https://www.sec.gov/ix?doc=/Archives/edgar/data/1811210/000162828023005540/lcid-20221231.htm" TargetMode="External"/><Relationship Id="rId100" Type="http://schemas.openxmlformats.org/officeDocument/2006/relationships/hyperlink" Target="http://www.sec.gov/ix?doc=/Archives/edgar/data/0001811210/000162828023016405/lcid-20230331.htm" TargetMode="External"/><Relationship Id="rId101" Type="http://schemas.openxmlformats.org/officeDocument/2006/relationships/hyperlink" Target="https://www.sec.gov/ix?doc=/Archives/edgar/data/1811210/000110465923031532/tm232032d5_def14a.htm" TargetMode="External"/><Relationship Id="rId102" Type="http://schemas.openxmlformats.org/officeDocument/2006/relationships/hyperlink" Target="https://www.sec.gov/ix?doc=/Archives/edgar/data/1811210/000110465923007598/tm234549d1_8k.htm" TargetMode="External"/><Relationship Id="rId103" Type="http://schemas.openxmlformats.org/officeDocument/2006/relationships/hyperlink" Target="https://www.sec.gov/ix?doc=/Archives/edgar/data/1811210/000110465923008803/tm234958d1_8k.htm" TargetMode="External"/><Relationship Id="rId104" Type="http://schemas.openxmlformats.org/officeDocument/2006/relationships/hyperlink" Target="https://www.sec.gov/ix?doc=/Archives/edgar/data/1811210/000110465923054825/tm2314261d1_8k.htm" TargetMode="External"/><Relationship Id="rId105" Type="http://schemas.openxmlformats.org/officeDocument/2006/relationships/hyperlink" Target="https://www.sec.gov/Archives/edgar/data/1811210/000110465921095277/tm2120294d8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2023-06-02T16:28:28Z</dcterms:created>
  <dcterms:modified xsi:type="dcterms:W3CDTF">2023-06-02T16:28:28Z</dcterms:modified>
</cp:coreProperties>
</file>