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300611.xml.htm"/>
      <w:bookmarkStart w:id="1" w:name="kswkform4_17413006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Dhingra Gagan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LUCID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Lucid Group, Inc.</w:t>
              </w:r>
            </w:hyperlink>
            <w:r>
              <w:rPr/>
              <w:t xml:space="preserve"> [ </w:t>
            </w:r>
            <w:r>
              <w:rPr>
                <w:rFonts w:ascii="Times;serif" w:hAnsi="Times;serif"/>
                <w:color w:val="0000FF"/>
                <w:sz w:val="24"/>
                <w:shd w:fill="FFFFFF" w:val="clear"/>
              </w:rPr>
              <w:t>LCID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Accounting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055"/>
        <w:gridCol w:w="446"/>
        <w:gridCol w:w="609"/>
        <w:gridCol w:w="1270"/>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270,730</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1,052,117</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101,185</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w:t>
            </w:r>
            <w:r>
              <w:rPr/>
              <w:t xml:space="preserve"> </w:t>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950,932</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("PSUs") as to which the performance criteria have been satisfied. 50% of shares reported in this Form 4 vested on March 5, 2025, and the remaining shares are subject to service-based vesting requirements that will vest in 1/8th increments on June 5, 2025, September 5, 2025, December 5, 2025, and March 5, 2026, following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that have been withheld by the Issuer to satisfy tax withholding and remittance obligations in connection with the settlement of PSUs for which service based vesting requirements have been satisfied and the time-based vesting of restricted stock units ("RSUs"). The acquisition of such PSUs and RSUs has previously been reported on Forms 4 filed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Dhingra serves as Principal Accounting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Wang, as attorney-in-fact for Gagan Dhingra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939" TargetMode="External"/><Relationship Id="rId5" Type="http://schemas.openxmlformats.org/officeDocument/2006/relationships/hyperlink" Target="http://www.sec.gov/cgi-bin/browse-edgar?action=getcompany&amp;CIK=00018112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3859</Characters>
  <CharactersWithSpaces>4505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