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8-A</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2340"/>
              <w:spacing w:after="0"/>
              <w:rPr>
                <w:sz w:val="20"/>
                <w:szCs w:val="20"/>
                <w:color w:val="auto"/>
              </w:rPr>
            </w:pPr>
            <w:r>
              <w:rPr>
                <w:rFonts w:ascii="Arial" w:cs="Arial" w:eastAsia="Arial" w:hAnsi="Arial"/>
                <w:sz w:val="18"/>
                <w:szCs w:val="18"/>
                <w:b w:val="1"/>
                <w:bCs w:val="1"/>
                <w:color w:val="auto"/>
              </w:rPr>
              <w:t>Delaware</w:t>
            </w:r>
          </w:p>
        </w:tc>
        <w:tc>
          <w:tcPr>
            <w:tcW w:w="5380" w:type="dxa"/>
            <w:vAlign w:val="bottom"/>
          </w:tcPr>
          <w:p>
            <w:pPr>
              <w:jc w:val="right"/>
              <w:ind w:right="2170"/>
              <w:spacing w:after="0"/>
              <w:rPr>
                <w:sz w:val="20"/>
                <w:szCs w:val="20"/>
                <w:color w:val="auto"/>
              </w:rPr>
            </w:pPr>
            <w:r>
              <w:rPr>
                <w:rFonts w:ascii="Arial" w:cs="Arial" w:eastAsia="Arial" w:hAnsi="Arial"/>
                <w:sz w:val="18"/>
                <w:szCs w:val="18"/>
                <w:b w:val="1"/>
                <w:bCs w:val="1"/>
                <w:color w:val="auto"/>
              </w:rPr>
              <w:t>85-0891392</w:t>
            </w:r>
          </w:p>
        </w:tc>
      </w:tr>
      <w:tr>
        <w:trPr>
          <w:trHeight w:val="195"/>
        </w:trPr>
        <w:tc>
          <w:tcPr>
            <w:tcW w:w="5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46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8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Organization)</w:t>
            </w:r>
          </w:p>
        </w:tc>
        <w:tc>
          <w:tcPr>
            <w:tcW w:w="5380" w:type="dxa"/>
            <w:vAlign w:val="bottom"/>
          </w:tcPr>
          <w:p>
            <w:pPr>
              <w:spacing w:after="0"/>
              <w:rPr>
                <w:sz w:val="20"/>
                <w:szCs w:val="20"/>
                <w:color w:val="auto"/>
              </w:rPr>
            </w:pPr>
          </w:p>
        </w:tc>
      </w:tr>
      <w:tr>
        <w:trPr>
          <w:trHeight w:val="446"/>
        </w:trPr>
        <w:tc>
          <w:tcPr>
            <w:tcW w:w="5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7373 Gateway Boulevard, Newark, CA</w:t>
            </w: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94560</w:t>
            </w:r>
          </w:p>
        </w:tc>
      </w:tr>
      <w:tr>
        <w:trPr>
          <w:trHeight w:val="224"/>
        </w:trPr>
        <w:tc>
          <w:tcPr>
            <w:tcW w:w="54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53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Title of Each Class</w:t>
            </w:r>
          </w:p>
        </w:tc>
        <w:tc>
          <w:tcPr>
            <w:tcW w:w="4380" w:type="dxa"/>
            <w:vAlign w:val="bottom"/>
          </w:tcPr>
          <w:p>
            <w:pPr>
              <w:jc w:val="center"/>
              <w:ind w:left="10"/>
              <w:spacing w:after="0"/>
              <w:rPr>
                <w:sz w:val="20"/>
                <w:szCs w:val="20"/>
                <w:color w:val="auto"/>
              </w:rPr>
            </w:pPr>
            <w:r>
              <w:rPr>
                <w:rFonts w:ascii="Arial" w:cs="Arial" w:eastAsia="Arial" w:hAnsi="Arial"/>
                <w:sz w:val="18"/>
                <w:szCs w:val="18"/>
                <w:color w:val="auto"/>
                <w:w w:val="90"/>
              </w:rPr>
              <w:t>Name of Each Exchange on Which</w:t>
            </w:r>
          </w:p>
        </w:tc>
      </w:tr>
      <w:tr>
        <w:trPr>
          <w:trHeight w:val="230"/>
        </w:trPr>
        <w:tc>
          <w:tcPr>
            <w:tcW w:w="6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 be Registered</w:t>
            </w:r>
          </w:p>
        </w:tc>
        <w:tc>
          <w:tcPr>
            <w:tcW w:w="4380" w:type="dxa"/>
            <w:vAlign w:val="bottom"/>
          </w:tcPr>
          <w:p>
            <w:pPr>
              <w:jc w:val="center"/>
              <w:ind w:left="10"/>
              <w:spacing w:after="0"/>
              <w:rPr>
                <w:sz w:val="20"/>
                <w:szCs w:val="20"/>
                <w:color w:val="auto"/>
              </w:rPr>
            </w:pPr>
            <w:r>
              <w:rPr>
                <w:rFonts w:ascii="Arial" w:cs="Arial" w:eastAsia="Arial" w:hAnsi="Arial"/>
                <w:sz w:val="18"/>
                <w:szCs w:val="18"/>
                <w:color w:val="auto"/>
                <w:w w:val="87"/>
              </w:rPr>
              <w:t>Each Class is to be Registered</w:t>
            </w:r>
          </w:p>
        </w:tc>
      </w:tr>
      <w:tr>
        <w:trPr>
          <w:trHeight w:val="228"/>
        </w:trPr>
        <w:tc>
          <w:tcPr>
            <w:tcW w:w="664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rPr>
              <w:t>Class A Common stock, par value $0.0001</w:t>
            </w:r>
          </w:p>
        </w:tc>
        <w:tc>
          <w:tcPr>
            <w:tcW w:w="220" w:type="dxa"/>
            <w:vAlign w:val="bottom"/>
          </w:tcPr>
          <w:p>
            <w:pPr>
              <w:spacing w:after="0"/>
              <w:rPr>
                <w:sz w:val="19"/>
                <w:szCs w:val="19"/>
                <w:color w:val="auto"/>
              </w:rPr>
            </w:pPr>
          </w:p>
        </w:tc>
        <w:tc>
          <w:tcPr>
            <w:tcW w:w="4380" w:type="dxa"/>
            <w:vAlign w:val="bottom"/>
            <w:tcBorders>
              <w:top w:val="single" w:sz="8" w:color="auto"/>
            </w:tcBorders>
          </w:tcPr>
          <w:p>
            <w:pPr>
              <w:ind w:left="980"/>
              <w:spacing w:after="0"/>
              <w:rPr>
                <w:sz w:val="20"/>
                <w:szCs w:val="20"/>
                <w:color w:val="auto"/>
              </w:rPr>
            </w:pPr>
            <w:r>
              <w:rPr>
                <w:rFonts w:ascii="Arial" w:cs="Arial" w:eastAsia="Arial" w:hAnsi="Arial"/>
                <w:sz w:val="18"/>
                <w:szCs w:val="18"/>
                <w:b w:val="1"/>
                <w:bCs w:val="1"/>
                <w:color w:val="auto"/>
              </w:rPr>
              <w:t>The Nasdaq Stock Market LLC</w:t>
            </w:r>
          </w:p>
        </w:tc>
      </w:tr>
      <w:tr>
        <w:trPr>
          <w:trHeight w:val="399"/>
        </w:trPr>
        <w:tc>
          <w:tcPr>
            <w:tcW w:w="6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Warrants, each exercisable for one share of Class A Common Stock at an exercise price of</w:t>
            </w:r>
          </w:p>
        </w:tc>
        <w:tc>
          <w:tcPr>
            <w:tcW w:w="43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0"/>
        </w:trPr>
        <w:tc>
          <w:tcPr>
            <w:tcW w:w="6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$11.50 per share</w:t>
            </w:r>
          </w:p>
        </w:tc>
        <w:tc>
          <w:tcPr>
            <w:tcW w:w="4380" w:type="dxa"/>
            <w:vAlign w:val="bottom"/>
          </w:tcPr>
          <w:p>
            <w:pPr>
              <w:spacing w:after="0"/>
              <w:rPr>
                <w:sz w:val="20"/>
                <w:szCs w:val="20"/>
                <w:color w:val="auto"/>
              </w:rPr>
            </w:pPr>
          </w:p>
        </w:tc>
      </w:tr>
    </w:tbl>
    <w:p>
      <w:pPr>
        <w:spacing w:after="0" w:line="22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333-254543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registration statement on Form 8-A is being filed with the U.S. Securities and Exchange Commission (the “SEC”) in connection with the transfer of the listing of the shares of Class A common stock of Lucid Group, Inc., par value $0.0001 per share (the “Class A Common Stock”) and warrants, each exercisable for one share of Class A Common Stock at an exercise price of $11.50 per share (the “Warrants”), from The New York Stock Exchange to The Nasdaq Stock Market LLC, in connection with the business combination between Lucid Group, Inc. (f/k/a Churchill Capital Corp IV) and Atieva, Inc. (d/b/a Lucid Motors), an exempted company incorporated with limited liability under the laws of the Cayman Islands. The transfer of listing is to occur at the opening of trading on July 26, 2021.</w:t>
      </w:r>
    </w:p>
    <w:p>
      <w:pPr>
        <w:spacing w:after="0" w:line="192"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The description of the Warrants and Class A Common Stock under the caption “Description of Securities” in the Company’s definitive proxy statement/prospectus (Registration No. 333-254543) filed with the SEC on June 25, 2021, as amended from time to time (including any subsequent amendments with respect to the description of the Warrants and the Class A Common Stock), is incorporated by reference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LUCID GROUP,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23, 2021</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/s/ Sherry House</w:t>
            </w:r>
          </w:p>
        </w:tc>
      </w:tr>
      <w:tr>
        <w:trPr>
          <w:trHeight w:val="195"/>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Sherry House</w:t>
            </w:r>
          </w:p>
        </w:tc>
      </w:tr>
      <w:tr>
        <w:trPr>
          <w:trHeight w:val="230"/>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32"/>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2021-07-23T10:31:45Z</dcterms:created>
  <dcterms:modified xsi:type="dcterms:W3CDTF">2021-07-23T10:31:45Z</dcterms:modified>
</cp:coreProperties>
</file>