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 pursuant to</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425 under the Securities Act of 1933, as amended,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following communication was made available by Lucid Motors on Facebook, Twitter, Instagram and LinkedIn on February 22, 2021</w:t>
      </w:r>
    </w:p>
    <w:p>
      <w:pPr>
        <w:spacing w:after="0" w:line="225"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i w:val="1"/>
          <w:iCs w:val="1"/>
          <w:color w:val="auto"/>
        </w:rPr>
        <w:t>“#LucidMotors is on a mission to elevate the expectations for electric vehicles. Today, we’ve entered an agreement to merge with CCIV, a special purpose acquisition company. Going public will accelerate our efforts to introduce the most advanced EV's in the world. #LucidAir #DreamAhead”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5245735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239395</wp:posOffset>
            </wp:positionV>
            <wp:extent cx="4440555" cy="4440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40555" cy="44405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Atieva, Inc.’s (d/b/a Lucid Motors; “Lucid”) go-to-market strategy, and expectations related to the terms and timing of the proposed transactions. These statements are based on various assumptions, whether or not identified in this communication, and on the current expectations of Lucid’s and Churchill Capital Corp IV’s (“CCIV”)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CCIV’s final prospectus dated July 30, 2020 and the Quarterly Reports on Form 10-Q for the quarters ended July 30, 2020 and September 30, 2020, in each case, under the heading “Risk Factors,” and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proposed transactions will be submitted to shareholders of CCIV for their consideration. CCIV intends to file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filed and declared effective, CCIV will mail a definitive proxy statement and other relevant documents to its shareholders as of the record date established for voting on the proposed transactions. CCIV’s shareholders and other interested persons are advised to read, once available,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ind w:right="80"/>
        <w:spacing w:after="0" w:line="261" w:lineRule="auto"/>
        <w:rPr>
          <w:sz w:val="20"/>
          <w:szCs w:val="20"/>
          <w:color w:val="auto"/>
        </w:rPr>
      </w:pPr>
      <w:r>
        <w:rPr>
          <w:rFonts w:ascii="Arial" w:cs="Arial" w:eastAsia="Arial" w:hAnsi="Arial"/>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will be set forth in CCIV’s proxy statement/prospectus when it is filed with the SEC. You can find more information about CCIV’s directors and executive officers in CCIV’s final prospectus filed with the SEC on July 30, 2020.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2021-02-23T05:27:58Z</dcterms:created>
  <dcterms:modified xsi:type="dcterms:W3CDTF">2021-02-23T05:27:58Z</dcterms:modified>
</cp:coreProperties>
</file>