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59"/>
        <w:spacing w:after="0"/>
        <w:rPr>
          <w:sz w:val="20"/>
          <w:szCs w:val="20"/>
          <w:color w:val="auto"/>
        </w:rPr>
      </w:pPr>
      <w:r>
        <w:rPr>
          <w:rFonts w:ascii="Arial" w:cs="Arial" w:eastAsia="Arial" w:hAnsi="Arial"/>
          <w:sz w:val="36"/>
          <w:szCs w:val="36"/>
          <w:b w:val="1"/>
          <w:bCs w:val="1"/>
          <w:color w:val="auto"/>
        </w:rPr>
        <w:t>Churchill Capital Corp IV</w:t>
      </w:r>
    </w:p>
    <w:p>
      <w:pPr>
        <w:spacing w:after="0" w:line="4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23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2560" w:type="dxa"/>
            <w:vAlign w:val="bottom"/>
          </w:tcPr>
          <w:p>
            <w:pPr>
              <w:jc w:val="center"/>
              <w:ind w:left="1130"/>
              <w:spacing w:after="0"/>
              <w:rPr>
                <w:sz w:val="20"/>
                <w:szCs w:val="20"/>
                <w:color w:val="auto"/>
              </w:rPr>
            </w:pPr>
            <w:r>
              <w:rPr>
                <w:rFonts w:ascii="Arial" w:cs="Arial" w:eastAsia="Arial" w:hAnsi="Arial"/>
                <w:sz w:val="18"/>
                <w:szCs w:val="18"/>
                <w:b w:val="1"/>
                <w:bCs w:val="1"/>
                <w:color w:val="auto"/>
                <w:w w:val="89"/>
              </w:rPr>
              <w:t>85-0891392</w:t>
            </w:r>
          </w:p>
        </w:tc>
      </w:tr>
      <w:tr>
        <w:trPr>
          <w:trHeight w:val="216"/>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0"/>
              </w:rPr>
              <w:t>(State or other</w:t>
            </w:r>
          </w:p>
        </w:tc>
        <w:tc>
          <w:tcPr>
            <w:tcW w:w="38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2560" w:type="dxa"/>
            <w:vAlign w:val="bottom"/>
          </w:tcPr>
          <w:p>
            <w:pPr>
              <w:jc w:val="center"/>
              <w:ind w:left="1130"/>
              <w:spacing w:after="0"/>
              <w:rPr>
                <w:sz w:val="20"/>
                <w:szCs w:val="20"/>
                <w:color w:val="auto"/>
              </w:rPr>
            </w:pPr>
            <w:r>
              <w:rPr>
                <w:rFonts w:ascii="Arial" w:cs="Arial" w:eastAsia="Arial" w:hAnsi="Arial"/>
                <w:sz w:val="18"/>
                <w:szCs w:val="18"/>
                <w:color w:val="auto"/>
                <w:w w:val="92"/>
              </w:rPr>
              <w:t>(I.R.S. Employer</w:t>
            </w:r>
          </w:p>
        </w:tc>
      </w:tr>
      <w:tr>
        <w:trPr>
          <w:trHeight w:val="216"/>
        </w:trPr>
        <w:tc>
          <w:tcPr>
            <w:tcW w:w="2340" w:type="dxa"/>
            <w:vAlign w:val="bottom"/>
          </w:tcPr>
          <w:p>
            <w:pPr>
              <w:jc w:val="center"/>
              <w:ind w:right="1190"/>
              <w:spacing w:after="0"/>
              <w:rPr>
                <w:sz w:val="20"/>
                <w:szCs w:val="20"/>
                <w:color w:val="auto"/>
              </w:rPr>
            </w:pPr>
            <w:r>
              <w:rPr>
                <w:rFonts w:ascii="Arial" w:cs="Arial" w:eastAsia="Arial" w:hAnsi="Arial"/>
                <w:sz w:val="18"/>
                <w:szCs w:val="18"/>
                <w:color w:val="auto"/>
                <w:w w:val="97"/>
              </w:rPr>
              <w:t>jurisdiction of</w:t>
            </w: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2560" w:type="dxa"/>
            <w:vAlign w:val="bottom"/>
          </w:tcPr>
          <w:p>
            <w:pPr>
              <w:jc w:val="center"/>
              <w:ind w:left="113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2340" w:type="dxa"/>
            <w:vAlign w:val="bottom"/>
          </w:tcPr>
          <w:p>
            <w:pPr>
              <w:jc w:val="center"/>
              <w:ind w:right="1210"/>
              <w:spacing w:after="0"/>
              <w:rPr>
                <w:sz w:val="20"/>
                <w:szCs w:val="20"/>
                <w:color w:val="auto"/>
              </w:rPr>
            </w:pPr>
            <w:r>
              <w:rPr>
                <w:rFonts w:ascii="Arial" w:cs="Arial" w:eastAsia="Arial" w:hAnsi="Arial"/>
                <w:sz w:val="18"/>
                <w:szCs w:val="18"/>
                <w:color w:val="auto"/>
                <w:w w:val="94"/>
              </w:rPr>
              <w:t>incorporation)</w:t>
            </w:r>
          </w:p>
        </w:tc>
        <w:tc>
          <w:tcPr>
            <w:tcW w:w="38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0" w:lineRule="exact"/>
        <w:rPr>
          <w:sz w:val="24"/>
          <w:szCs w:val="24"/>
          <w:color w:val="auto"/>
        </w:rPr>
      </w:pPr>
    </w:p>
    <w:p>
      <w:pPr>
        <w:sectPr>
          <w:pgSz w:w="11900" w:h="16838" w:orient="portrait"/>
          <w:cols w:equalWidth="0" w:num="1">
            <w:col w:w="11080"/>
          </w:cols>
          <w:pgMar w:left="320" w:top="976" w:right="499" w:bottom="887" w:gutter="0" w:footer="0" w:header="0"/>
        </w:sectPr>
      </w:pPr>
    </w:p>
    <w:p>
      <w:pPr>
        <w:spacing w:after="0" w:line="1"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640 Fifth Avenue, 12</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2260"/>
        <w:spacing w:after="0"/>
        <w:rPr>
          <w:sz w:val="20"/>
          <w:szCs w:val="20"/>
          <w:color w:val="auto"/>
        </w:rPr>
      </w:pPr>
      <w:r>
        <w:rPr>
          <w:rFonts w:ascii="Arial" w:cs="Arial" w:eastAsia="Arial" w:hAnsi="Arial"/>
          <w:sz w:val="18"/>
          <w:szCs w:val="18"/>
          <w:b w:val="1"/>
          <w:bCs w:val="1"/>
          <w:color w:val="auto"/>
        </w:rPr>
        <w:t>10019</w:t>
      </w:r>
    </w:p>
    <w:p>
      <w:pPr>
        <w:spacing w:after="0" w:line="27" w:lineRule="exact"/>
        <w:rPr>
          <w:sz w:val="24"/>
          <w:szCs w:val="24"/>
          <w:color w:val="auto"/>
        </w:rPr>
      </w:pPr>
    </w:p>
    <w:p>
      <w:pPr>
        <w:jc w:val="center"/>
        <w:ind w:right="22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40"/>
          </w:cols>
          <w:pgMar w:left="320" w:top="976" w:right="499" w:bottom="887" w:gutter="0" w:footer="0" w:header="0"/>
          <w:type w:val="continuous"/>
        </w:sectPr>
      </w:pPr>
    </w:p>
    <w:p>
      <w:pPr>
        <w:spacing w:after="0" w:line="30"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380-7500</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8" w:lineRule="exact"/>
        <w:rPr>
          <w:sz w:val="24"/>
          <w:szCs w:val="24"/>
          <w:color w:val="auto"/>
        </w:rPr>
      </w:pPr>
    </w:p>
    <w:tbl>
      <w:tblPr>
        <w:tblLayout w:type="fixed"/>
        <w:tblInd w:w="160" w:type="dxa"/>
        <w:tblCellMar>
          <w:top w:w="0" w:type="dxa"/>
          <w:left w:w="0" w:type="dxa"/>
          <w:bottom w:w="0" w:type="dxa"/>
          <w:right w:w="0" w:type="dxa"/>
        </w:tblCellMar>
      </w:tblPr>
      <w:tr>
        <w:trPr>
          <w:trHeight w:val="207"/>
        </w:trPr>
        <w:tc>
          <w:tcPr>
            <w:tcW w:w="1180" w:type="dxa"/>
            <w:vAlign w:val="bottom"/>
          </w:tcPr>
          <w:p>
            <w:pPr>
              <w:spacing w:after="0"/>
              <w:rPr>
                <w:sz w:val="18"/>
                <w:szCs w:val="18"/>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8"/>
              </w:rPr>
              <w:t>Title of each class</w:t>
            </w:r>
          </w:p>
        </w:tc>
        <w:tc>
          <w:tcPr>
            <w:tcW w:w="3260" w:type="dxa"/>
            <w:vAlign w:val="bottom"/>
            <w:gridSpan w:val="3"/>
          </w:tcPr>
          <w:p>
            <w:pPr>
              <w:jc w:val="center"/>
              <w:ind w:right="840"/>
              <w:spacing w:after="0"/>
              <w:rPr>
                <w:sz w:val="20"/>
                <w:szCs w:val="20"/>
                <w:color w:val="auto"/>
              </w:rPr>
            </w:pPr>
            <w:r>
              <w:rPr>
                <w:rFonts w:ascii="Arial" w:cs="Arial" w:eastAsia="Arial" w:hAnsi="Arial"/>
                <w:sz w:val="18"/>
                <w:szCs w:val="18"/>
                <w:color w:val="auto"/>
                <w:w w:val="93"/>
              </w:rPr>
              <w:t>Trading Symbol</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1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22"/>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Units, each consisting of one share of Class A</w:t>
            </w:r>
          </w:p>
        </w:tc>
        <w:tc>
          <w:tcPr>
            <w:tcW w:w="620" w:type="dxa"/>
            <w:vAlign w:val="bottom"/>
          </w:tcPr>
          <w:p>
            <w:pPr>
              <w:spacing w:after="0"/>
              <w:rPr>
                <w:sz w:val="19"/>
                <w:szCs w:val="19"/>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4"/>
              </w:rPr>
              <w:t>CCIV.U</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90"/>
              </w:rPr>
              <w:t>common stock, $0.0001 par value, and one-fifth of</w:t>
            </w: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80" w:type="dxa"/>
            <w:vAlign w:val="bottom"/>
          </w:tcPr>
          <w:p>
            <w:pPr>
              <w:spacing w:after="0"/>
              <w:rPr>
                <w:sz w:val="18"/>
                <w:szCs w:val="18"/>
                <w:color w:val="auto"/>
              </w:rPr>
            </w:pPr>
          </w:p>
        </w:tc>
      </w:tr>
      <w:tr>
        <w:trPr>
          <w:trHeight w:val="230"/>
        </w:trPr>
        <w:tc>
          <w:tcPr>
            <w:tcW w:w="1180" w:type="dxa"/>
            <w:vAlign w:val="bottom"/>
          </w:tcPr>
          <w:p>
            <w:pPr>
              <w:spacing w:after="0"/>
              <w:rPr>
                <w:sz w:val="20"/>
                <w:szCs w:val="20"/>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8"/>
              </w:rPr>
              <w:t>one warrant</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432"/>
        </w:trPr>
        <w:tc>
          <w:tcPr>
            <w:tcW w:w="426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Shares of Class A common Stock</w:t>
            </w:r>
          </w:p>
        </w:tc>
        <w:tc>
          <w:tcPr>
            <w:tcW w:w="62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7"/>
              </w:rPr>
              <w:t>CCIV</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432"/>
        </w:trPr>
        <w:tc>
          <w:tcPr>
            <w:tcW w:w="1180" w:type="dxa"/>
            <w:vAlign w:val="bottom"/>
          </w:tcPr>
          <w:p>
            <w:pPr>
              <w:spacing w:after="0"/>
              <w:rPr>
                <w:sz w:val="24"/>
                <w:szCs w:val="24"/>
                <w:color w:val="auto"/>
              </w:rPr>
            </w:pPr>
          </w:p>
        </w:tc>
        <w:tc>
          <w:tcPr>
            <w:tcW w:w="3080" w:type="dxa"/>
            <w:vAlign w:val="bottom"/>
            <w:gridSpan w:val="2"/>
          </w:tcPr>
          <w:p>
            <w:pPr>
              <w:jc w:val="center"/>
              <w:ind w:right="1800"/>
              <w:spacing w:after="0"/>
              <w:rPr>
                <w:sz w:val="20"/>
                <w:szCs w:val="20"/>
                <w:color w:val="auto"/>
              </w:rPr>
            </w:pPr>
            <w:r>
              <w:rPr>
                <w:rFonts w:ascii="Arial" w:cs="Arial" w:eastAsia="Arial" w:hAnsi="Arial"/>
                <w:sz w:val="18"/>
                <w:szCs w:val="18"/>
                <w:color w:val="auto"/>
                <w:w w:val="87"/>
              </w:rPr>
              <w:t>Warrants</w:t>
            </w:r>
          </w:p>
        </w:tc>
        <w:tc>
          <w:tcPr>
            <w:tcW w:w="62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Arial" w:cs="Arial" w:eastAsia="Arial" w:hAnsi="Arial"/>
                <w:sz w:val="18"/>
                <w:szCs w:val="18"/>
                <w:color w:val="auto"/>
                <w:w w:val="96"/>
              </w:rPr>
              <w:t>CCIV WS</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750570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976" w:right="499" w:bottom="887"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9, 2021, Churchill Capital Corp IV (“CCIV”) and Atieva, Inc. d/b/a Lucid Motors (“Lucid”) issued a joint press release, which is attached as Exhibit 99.1 and incorporated by reference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business combination between Lucid and CCIV and the related PIPE investment (together, the “proposed transactions”) will be submitted to shareholders of CCIV for their consideration. CCIV has filed a registration statement on Form S-4 (the “Registration Statement”) with the Securities and Exchange Commission (the “SEC”) which included a definitive proxy statement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CCIV mailed a definitive proxy statement and has mailed or will mail other relevant documents to its stockholders as of the record date established for voting on the proposed transactions. CCIV’s stockholders and other interested persons are advised to read the definitive proxy statement/prospectus and any amendments thereto in connection with CCIV’s solicitation of proxies for its special meeting of shareholders to be held to approve, among other things, the proposed transactions, because these documents contain important information about CCIV, Lucid and the proposed transactions. Shareholders may also obtain a copy of the definitive proxy statement as well as other documents filed with the SEC regarding the proposed transactions and other documents filed with the SEC by CCIV, without charge, at the SEC's website located at www.sec.gov or by directing a request to CCIV.</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Registration Statement.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communication includes “forward-looking statements” within the meaning of the “safe harbor” provisions of the United States Private Securities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Litigation Reform Act of 1995. Forward-looking statements may be identified by the use of words such as “estimate,” “plan,” “project,” “forecast,”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“intend,” “will,” “expect,” “anticipate,” “believe,” “seek,” “target,” “continue,” “could,” “may,” “might,” “possible,” “potential,” “predict” or other similar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expressions that predict or indicate future events or trends or that are not statements of historical matters. These forward-looking statements include, but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limited to, statements regarding expectations and timing related to commercial product launches, including the start of production and launch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Lucid Air and any future products, the performance, range and other features of the Lucid Air, future manufacturing capabilities and facilities, the potential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success of Lucid’s go-to-market strategy and expectations related to the terms and timing of the proposed transactions, including the timing of Lucid’s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planned public listing. These statements are based on various assumptions, whether or not identified in this communication, and on the current expectations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Lucid’s and CCIV’s management and are not predictions of actual performance. These forward-looking statements are provided for illustrative purposes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only and are not intended to serve as, and must not be relied on by any investor as, a guarantee, an assurance, a prediction or a definitive statement of fact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probability. Actual events and circumstances are difficult or impossible to predict and will differ from assumptions. Many actual events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circumstances are beyond the control of Lucid and CCIV. These forward-looking statements are subject to a number of risks and uncertainties,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changes in domestic and foreign business, market, financial, political and legal conditions; the inability of the parties to successfully or timely consummate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transactions, including the risk that any required regulatory approvals are not obtained, are delayed or are subject to unanticipated conditions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that could adversely affect the combined company or the expected benefits of the proposed transactions or that the approval of the shareholders of CCIV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Lucid is not obtained; the outcome of any legal proceedings that have been or may be instituted against Lucid or CCIV following announcement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proposed transactions; failure to realize the anticipated benefits of the proposed transactions; risks related to the timing of expected business milestones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 launch, including Lucid’s ability to mass produce the Lucid Air and complete the tooling of its manufacturing facility; risks related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expansion of Lucid’s manufacturing facility and the increase of Lucid’s production capacity; risks related to future market adoption of Lucid’s offerings;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competition and the pace and depth of electric vehicle adoption generally on Lucid’s future business; changes in regulatory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governmental incentives and fuel and energy prices; Lucid’s ability to rapidly innovate; Lucid’s ability to deliver Environmental Protection Agency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(“EPA”) estimated driving ranges that match or exceed its pre-production projected driving ranges; future changes to vehicle specifications which may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impact performance, pricing, and other expectations; Lucid’s ability to enter into or maintain partnerships with original equipment manufacturers, vendors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technology providers; Lucid’s ability to effectively manage its growth and recruit and retain key employees, including its chief executive officer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executive team; Lucid’s ability to establish its brand and capture additional market share, and the risks associated with negative press or reputational harm;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Lucid’s ability to manage expenses; the outcome of any potential litigation, government and regulatory proceedings, investigations and inquiries; and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impact of the global COVID-19 pandemic on Lucid, CCIV, the combined company’s projected results of operations, financial performance or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metrics, or on any of the foregoing risks; and those factors discussed under the heading “Risk Factors” in the Registration Statement and CCIV’s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2020, as well as other documents of CCIV filed, or to be filed, with the SEC. If any of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risks materialize or our assumptions prove incorrect, actual results could differ materially from the results implied by these forward-looking statements.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may be additional risks that neither Lucid nor CCIV presently know or that Lucid and CCIV currently believe are immaterial that could also cause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actual results to differ from those contained in the forward-looking statements. In addition, forward-looking statements reflect Lucid’s and CCIV’s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expectations, plans or forecasts of future events and views as of the date of this communication. Lucid and CCIV anticipate that subsequent events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developments will cause Lucid’s and CCIV’s assessments to change. However, while Lucid and CCIV may elect to update these forward-looking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statements at some point in the future, Lucid and CCIV specifically disclaim any obligation to do so. These forward-looking statements should not be relied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as representing Lucid’s and CCIV’s assessments as of any date subsequent to the date of this communication. Accordingly, undue reliance should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placed upon the forward-looking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0"/>
        <w:spacing w:after="0"/>
        <w:tabs>
          <w:tab w:leader="none" w:pos="14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7" w:lineRule="exact"/>
        <w:rPr>
          <w:sz w:val="20"/>
          <w:szCs w:val="20"/>
          <w:color w:val="auto"/>
        </w:rPr>
      </w:pPr>
    </w:p>
    <w:p>
      <w:pPr>
        <w:ind w:left="1460" w:hanging="1398"/>
        <w:spacing w:after="0"/>
        <w:tabs>
          <w:tab w:leader="none" w:pos="1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 Index is incorporated by reference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tcPr>
          <w:p>
            <w:pPr>
              <w:spacing w:after="0"/>
              <w:rPr>
                <w:sz w:val="24"/>
                <w:szCs w:val="24"/>
                <w:color w:val="auto"/>
              </w:rPr>
            </w:pPr>
          </w:p>
        </w:tc>
        <w:tc>
          <w:tcPr>
            <w:tcW w:w="9880" w:type="dxa"/>
            <w:vAlign w:val="bottom"/>
            <w:tcBorders>
              <w:top w:val="single" w:sz="8" w:color="auto"/>
            </w:tcBorders>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w:t>
              </w:r>
            </w:hyperlink>
          </w:p>
        </w:tc>
      </w:tr>
      <w:tr>
        <w:trPr>
          <w:trHeight w:val="669"/>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8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Dated: July 9, 2021</w:t>
      </w:r>
    </w:p>
    <w:p>
      <w:pPr>
        <w:spacing w:after="0" w:line="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5715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8"/>
          <w:szCs w:val="18"/>
          <w:color w:val="auto"/>
        </w:rPr>
        <w:t>Name: Jay Taragin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340"/>
          </w:cols>
          <w:pgMar w:left="320" w:top="904" w:right="1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Lucid Motors and Churchill Capital Corp IV to Host Investor Call</w:t>
      </w:r>
    </w:p>
    <w:p>
      <w:pPr>
        <w:spacing w:after="0" w:line="31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NEWARK, Calif. and NEW YORK, NY — July 9,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Lucid Motors</w:t>
      </w:r>
      <w:r>
        <w:rPr>
          <w:rFonts w:ascii="Arial" w:cs="Arial" w:eastAsia="Arial" w:hAnsi="Arial"/>
          <w:sz w:val="18"/>
          <w:szCs w:val="18"/>
          <w:b w:val="1"/>
          <w:bCs w:val="1"/>
          <w:color w:val="auto"/>
        </w:rPr>
        <w:t xml:space="preserve"> </w:t>
      </w:r>
      <w:r>
        <w:rPr>
          <w:rFonts w:ascii="Arial" w:cs="Arial" w:eastAsia="Arial" w:hAnsi="Arial"/>
          <w:sz w:val="18"/>
          <w:szCs w:val="18"/>
          <w:color w:val="auto"/>
        </w:rPr>
        <w:t>(“Lucid”), which is setting new standards for sustainable mobility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advanced luxury EVs, and Churchill Capital Corp IV (NYSE: CCIV), a special purpose acquisition company, announced today that Lucid’s management team will host an investor call on Tuesday, July 13, 2021 at 1:30 pm PT / 4:30 pm ET.</w:t>
      </w:r>
    </w:p>
    <w:p>
      <w:pPr>
        <w:spacing w:after="0" w:line="18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Peter Rawlinson, CEO and CTO of Lucid, and Sherry House, CFO of Lucid, will provide a business update together with an overview of the company. The live call will be presentation only, and there will be no question and answer session. Lucid and CCIV encourage all CCIV shareholders to participate in the investor call ahead of the CCIV shareholder meeting on July 22, 2021.</w:t>
      </w:r>
    </w:p>
    <w:p>
      <w:pPr>
        <w:spacing w:after="0" w:line="18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Parties in the United States can access the call by dialing </w:t>
      </w:r>
      <w:r>
        <w:rPr>
          <w:rFonts w:ascii="Arial" w:cs="Arial" w:eastAsia="Arial" w:hAnsi="Arial"/>
          <w:sz w:val="18"/>
          <w:szCs w:val="18"/>
          <w:u w:val="single" w:color="auto"/>
          <w:color w:val="auto"/>
        </w:rPr>
        <w:t>+1-833-470-1428</w:t>
      </w:r>
      <w:r>
        <w:rPr>
          <w:rFonts w:ascii="Arial" w:cs="Arial" w:eastAsia="Arial" w:hAnsi="Arial"/>
          <w:sz w:val="18"/>
          <w:szCs w:val="18"/>
          <w:color w:val="auto"/>
        </w:rPr>
        <w:t xml:space="preserve">, using conference code </w:t>
      </w:r>
      <w:r>
        <w:rPr>
          <w:rFonts w:ascii="Arial" w:cs="Arial" w:eastAsia="Arial" w:hAnsi="Arial"/>
          <w:sz w:val="18"/>
          <w:szCs w:val="18"/>
          <w:u w:val="single" w:color="auto"/>
          <w:color w:val="auto"/>
        </w:rPr>
        <w:t>731 370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International parties can access the call by dialing </w:t>
      </w:r>
      <w:r>
        <w:rPr>
          <w:rFonts w:ascii="Arial" w:cs="Arial" w:eastAsia="Arial" w:hAnsi="Arial"/>
          <w:sz w:val="18"/>
          <w:szCs w:val="18"/>
          <w:u w:val="single" w:color="auto"/>
          <w:color w:val="auto"/>
        </w:rPr>
        <w:t>+1-404-975-4839</w:t>
      </w:r>
      <w:r>
        <w:rPr>
          <w:rFonts w:ascii="Arial" w:cs="Arial" w:eastAsia="Arial" w:hAnsi="Arial"/>
          <w:sz w:val="18"/>
          <w:szCs w:val="18"/>
          <w:color w:val="auto"/>
        </w:rPr>
        <w:t xml:space="preserve">, using conference code </w:t>
      </w:r>
      <w:r>
        <w:rPr>
          <w:rFonts w:ascii="Arial" w:cs="Arial" w:eastAsia="Arial" w:hAnsi="Arial"/>
          <w:sz w:val="18"/>
          <w:szCs w:val="18"/>
          <w:u w:val="single" w:color="auto"/>
          <w:color w:val="auto"/>
        </w:rPr>
        <w:t>731 370</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Lucid</w:t>
      </w:r>
    </w:p>
    <w:p>
      <w:pPr>
        <w:spacing w:after="0" w:line="229"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www.sec.gov. The documents filed by CCIV with the SEC also may be obtained free of charge at CCIV’s website at: https://iv.churchillcapitalcorp.com/# or upon written request to 640 Fifth Avenue, 12th Floor 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2021-07-09T07:54:19Z</dcterms:created>
  <dcterms:modified xsi:type="dcterms:W3CDTF">2021-07-09T07:54:19Z</dcterms:modified>
</cp:coreProperties>
</file>