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on July 9, 2021:</w:t>
      </w:r>
    </w:p>
    <w:p>
      <w:pPr>
        <w:spacing w:after="0" w:line="221" w:lineRule="exact"/>
        <w:rPr>
          <w:sz w:val="24"/>
          <w:szCs w:val="24"/>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Peter Rawlinson, CEO &amp; CTO and Sherry House, CFO of Lucid, will provide a business update together with an overview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July 13, 2021.</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auto"/>
        </w:rPr>
        <w:t>https://www.lucidmotors.com/media-room/lucid-motors-and-churchill-capital-corp-iv-to-host-investor-call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220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The documents filed by CCIV with the SEC also may be obtained free of charge at CCIV’s website at: </w:t>
      </w:r>
      <w:r>
        <w:rPr>
          <w:rFonts w:ascii="Arial" w:cs="Arial" w:eastAsia="Arial" w:hAnsi="Arial"/>
          <w:sz w:val="16"/>
          <w:szCs w:val="16"/>
          <w:u w:val="single" w:color="auto"/>
          <w:color w:val="auto"/>
        </w:rPr>
        <w:t>https://iv.churchillcapitalcorp.com/#</w:t>
      </w:r>
      <w:r>
        <w:rPr>
          <w:rFonts w:ascii="Arial" w:cs="Arial" w:eastAsia="Arial" w:hAnsi="Arial"/>
          <w:sz w:val="16"/>
          <w:szCs w:val="16"/>
          <w:color w:val="auto"/>
        </w:rPr>
        <w:t xml:space="preserve">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2021-07-09T16:30:32Z</dcterms:created>
  <dcterms:modified xsi:type="dcterms:W3CDTF">2021-07-09T16:30:32Z</dcterms:modified>
</cp:coreProperties>
</file>