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Dhingra Gagan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Lucid Group,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LCID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SVP Finance &amp; Accounting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LUCID GROUP, 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7373 GATEWAY BOULEVARD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NEWARK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94560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46,818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2.23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905,202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4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shares that have been withheld by the Issuer to satisfy tax withholding and remittance obligations in connection with the settlement of performance-based restricted stock units ("PSUs") for which service based vesting requirements have been satisfied and the time-based vesting of restricted stock units ("RSUs"). The acquisition of such PSUs and RSUs has previously been reported on Form 4s filed by the reporting person.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Includes 1,088 shares of Class A Common Stock purchased pursuant to the Lucid Group, Inc. Amended and Restated 2021 Employee Stock Purchase Plan not previously reported.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Mr. Dhingra serves as the Issuer's Principal Accounting Officer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Bruce Wang, as attorney-in-fact for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Gagan Dhingra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89939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2025-06-09T15:55:49Z</dcterms:created>
  <dcterms:modified xsi:type="dcterms:W3CDTF">2025-06-09T15:55:49Z</dcterms:modified>
</cp:coreProperties>
</file>