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Lucid Motors on Twitter, Facebook, Instagram and LinkedIn:</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$LCID coming to @Nasdaq following planned merger with CCIV. #Lucid Motors #DreamAhead</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For more legal information: lucidmotors.com/media-room/lucid-motors-public-merger-churchill-capital-corp-iv/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229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22922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Facebook</w:t>
      </w:r>
      <w:r>
        <w:rPr>
          <w:rFonts w:ascii="Arial" w:cs="Arial" w:eastAsia="Arial" w:hAnsi="Arial"/>
          <w:sz w:val="17"/>
          <w:szCs w:val="17"/>
          <w:color w:val="auto"/>
        </w:rPr>
        <w:t>: $LCID coming to Nasdaq following planned merger with CCIV. #Lucid Motors #DreamAhead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For more legal information: lucidmotors.com/media-room/lucid-motors-public-merger-churchill-capital-corp-iv/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166370</wp:posOffset>
            </wp:positionV>
            <wp:extent cx="3240405" cy="4791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40405" cy="479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6"/>
          <w:szCs w:val="16"/>
          <w:b w:val="1"/>
          <w:bCs w:val="1"/>
          <w:color w:val="auto"/>
        </w:rPr>
        <w:t>Instagram: $LCID coming to @nasdaq following planned merger with CCIV. #Lucid Motors #DreamAhead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more legal information: lucidmotors.com/media-room/lucid-motors-public-merger-churchill-capital-corp-iv/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159385</wp:posOffset>
            </wp:positionV>
            <wp:extent cx="4920615" cy="4423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20615" cy="442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LinkedIn</w:t>
      </w:r>
      <w:r>
        <w:rPr>
          <w:rFonts w:ascii="Arial" w:cs="Arial" w:eastAsia="Arial" w:hAnsi="Arial"/>
          <w:sz w:val="17"/>
          <w:szCs w:val="17"/>
          <w:color w:val="auto"/>
        </w:rPr>
        <w:t>: $LCID coming to Nasdaq following planned merger with CCIV. #Lucid Motors #DreamAhead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For more legal information: lucidmotors.com/media-room/lucid-motors-public-merger-churchill-capital-corp-iv/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166370</wp:posOffset>
            </wp:positionV>
            <wp:extent cx="4311650" cy="5066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1650" cy="5066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(as amended,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2021-05-19T15:38:24Z</dcterms:created>
  <dcterms:modified xsi:type="dcterms:W3CDTF">2021-05-19T15:38:24Z</dcterms:modified>
</cp:coreProperties>
</file>