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3700" w:right="1360" w:hanging="3691"/>
        <w:spacing w:after="0" w:line="382" w:lineRule="auto"/>
        <w:tabs>
          <w:tab w:leader="none" w:pos="314"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 ended June 30, 2021</w:t>
      </w:r>
    </w:p>
    <w:p>
      <w:pPr>
        <w:spacing w:after="0" w:line="23" w:lineRule="exact"/>
        <w:rPr>
          <w:sz w:val="24"/>
          <w:szCs w:val="24"/>
          <w:color w:val="auto"/>
        </w:rPr>
      </w:pPr>
    </w:p>
    <w:p>
      <w:pPr>
        <w:ind w:left="320" w:hanging="311"/>
        <w:spacing w:after="0"/>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280" w:type="dxa"/>
            <w:vAlign w:val="bottom"/>
            <w:gridSpan w:val="5"/>
          </w:tcPr>
          <w:p>
            <w:pPr>
              <w:ind w:left="3440"/>
              <w:spacing w:after="0"/>
              <w:rPr>
                <w:sz w:val="20"/>
                <w:szCs w:val="20"/>
                <w:color w:val="auto"/>
              </w:rPr>
            </w:pPr>
            <w:r>
              <w:rPr>
                <w:rFonts w:ascii="Arial" w:cs="Arial" w:eastAsia="Arial" w:hAnsi="Arial"/>
                <w:sz w:val="16"/>
                <w:szCs w:val="16"/>
                <w:b w:val="1"/>
                <w:bCs w:val="1"/>
                <w:color w:val="auto"/>
              </w:rPr>
              <w:t>For the transition period from</w:t>
            </w:r>
          </w:p>
        </w:tc>
        <w:tc>
          <w:tcPr>
            <w:tcW w:w="3640" w:type="dxa"/>
            <w:vAlign w:val="bottom"/>
          </w:tcPr>
          <w:p>
            <w:pPr>
              <w:ind w:left="60"/>
              <w:spacing w:after="0"/>
              <w:rPr>
                <w:sz w:val="20"/>
                <w:szCs w:val="20"/>
                <w:color w:val="auto"/>
              </w:rPr>
            </w:pPr>
            <w:r>
              <w:rPr>
                <w:rFonts w:ascii="Arial" w:cs="Arial" w:eastAsia="Arial" w:hAnsi="Arial"/>
                <w:sz w:val="16"/>
                <w:szCs w:val="16"/>
                <w:b w:val="1"/>
                <w:bCs w:val="1"/>
                <w:color w:val="auto"/>
              </w:rPr>
              <w:t>to</w:t>
            </w:r>
          </w:p>
        </w:tc>
      </w:tr>
      <w:tr>
        <w:trPr>
          <w:trHeight w:val="289"/>
        </w:trPr>
        <w:tc>
          <w:tcPr>
            <w:tcW w:w="6280" w:type="dxa"/>
            <w:vAlign w:val="bottom"/>
            <w:gridSpan w:val="5"/>
          </w:tcPr>
          <w:p>
            <w:pPr>
              <w:jc w:val="center"/>
              <w:ind w:left="3579"/>
              <w:spacing w:after="0"/>
              <w:rPr>
                <w:sz w:val="20"/>
                <w:szCs w:val="20"/>
                <w:color w:val="auto"/>
              </w:rPr>
            </w:pPr>
            <w:r>
              <w:rPr>
                <w:rFonts w:ascii="Arial" w:cs="Arial" w:eastAsia="Arial" w:hAnsi="Arial"/>
                <w:sz w:val="16"/>
                <w:szCs w:val="16"/>
                <w:b w:val="1"/>
                <w:bCs w:val="1"/>
                <w:color w:val="auto"/>
                <w:w w:val="91"/>
              </w:rPr>
              <w:t>Commission file number: 001-39408</w:t>
            </w:r>
          </w:p>
        </w:tc>
        <w:tc>
          <w:tcPr>
            <w:tcW w:w="3640" w:type="dxa"/>
            <w:vAlign w:val="bottom"/>
          </w:tcPr>
          <w:p>
            <w:pPr>
              <w:spacing w:after="0"/>
              <w:rPr>
                <w:sz w:val="24"/>
                <w:szCs w:val="24"/>
                <w:color w:val="auto"/>
              </w:rPr>
            </w:pPr>
          </w:p>
        </w:tc>
      </w:tr>
      <w:tr>
        <w:trPr>
          <w:trHeight w:val="20"/>
        </w:trPr>
        <w:tc>
          <w:tcPr>
            <w:tcW w:w="552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48"/>
        </w:trPr>
        <w:tc>
          <w:tcPr>
            <w:tcW w:w="6280" w:type="dxa"/>
            <w:vAlign w:val="bottom"/>
            <w:gridSpan w:val="5"/>
          </w:tcPr>
          <w:p>
            <w:pPr>
              <w:jc w:val="center"/>
              <w:ind w:left="3559"/>
              <w:spacing w:after="0"/>
              <w:rPr>
                <w:sz w:val="20"/>
                <w:szCs w:val="20"/>
                <w:color w:val="auto"/>
              </w:rPr>
            </w:pPr>
            <w:r>
              <w:rPr>
                <w:rFonts w:ascii="Arial" w:cs="Arial" w:eastAsia="Arial" w:hAnsi="Arial"/>
                <w:sz w:val="16"/>
                <w:szCs w:val="16"/>
                <w:b w:val="1"/>
                <w:bCs w:val="1"/>
                <w:color w:val="auto"/>
                <w:w w:val="94"/>
              </w:rPr>
              <w:t>Lucid Group, Inc.</w:t>
            </w:r>
          </w:p>
        </w:tc>
        <w:tc>
          <w:tcPr>
            <w:tcW w:w="3640" w:type="dxa"/>
            <w:vAlign w:val="bottom"/>
          </w:tcPr>
          <w:p>
            <w:pPr>
              <w:spacing w:after="0"/>
              <w:rPr>
                <w:sz w:val="24"/>
                <w:szCs w:val="24"/>
                <w:color w:val="auto"/>
              </w:rPr>
            </w:pPr>
          </w:p>
        </w:tc>
      </w:tr>
      <w:tr>
        <w:trPr>
          <w:trHeight w:val="206"/>
        </w:trPr>
        <w:tc>
          <w:tcPr>
            <w:tcW w:w="9920" w:type="dxa"/>
            <w:vAlign w:val="bottom"/>
            <w:gridSpan w:val="6"/>
          </w:tcPr>
          <w:p>
            <w:pPr>
              <w:jc w:val="center"/>
              <w:spacing w:after="0"/>
              <w:rPr>
                <w:sz w:val="20"/>
                <w:szCs w:val="20"/>
                <w:color w:val="auto"/>
              </w:rPr>
            </w:pPr>
            <w:r>
              <w:rPr>
                <w:rFonts w:ascii="Arial" w:cs="Arial" w:eastAsia="Arial" w:hAnsi="Arial"/>
                <w:sz w:val="16"/>
                <w:szCs w:val="16"/>
                <w:color w:val="auto"/>
                <w:w w:val="92"/>
              </w:rPr>
              <w:t>(Exact Name of Registrant as Specified in Its Charter)</w:t>
            </w:r>
          </w:p>
        </w:tc>
      </w:tr>
      <w:tr>
        <w:trPr>
          <w:trHeight w:val="341"/>
        </w:trPr>
        <w:tc>
          <w:tcPr>
            <w:tcW w:w="6280" w:type="dxa"/>
            <w:vAlign w:val="bottom"/>
            <w:gridSpan w:val="5"/>
          </w:tcPr>
          <w:p>
            <w:pPr>
              <w:jc w:val="center"/>
              <w:ind w:right="1420"/>
              <w:spacing w:after="0"/>
              <w:rPr>
                <w:sz w:val="20"/>
                <w:szCs w:val="20"/>
                <w:color w:val="auto"/>
              </w:rPr>
            </w:pPr>
            <w:r>
              <w:rPr>
                <w:rFonts w:ascii="Arial" w:cs="Arial" w:eastAsia="Arial" w:hAnsi="Arial"/>
                <w:sz w:val="16"/>
                <w:szCs w:val="16"/>
                <w:b w:val="1"/>
                <w:bCs w:val="1"/>
                <w:color w:val="auto"/>
                <w:w w:val="93"/>
              </w:rPr>
              <w:t>Delaware</w:t>
            </w:r>
          </w:p>
        </w:tc>
        <w:tc>
          <w:tcPr>
            <w:tcW w:w="3640" w:type="dxa"/>
            <w:vAlign w:val="bottom"/>
          </w:tcPr>
          <w:p>
            <w:pPr>
              <w:jc w:val="center"/>
              <w:ind w:right="1139"/>
              <w:spacing w:after="0"/>
              <w:rPr>
                <w:sz w:val="20"/>
                <w:szCs w:val="20"/>
                <w:color w:val="auto"/>
              </w:rPr>
            </w:pPr>
            <w:r>
              <w:rPr>
                <w:rFonts w:ascii="Arial" w:cs="Arial" w:eastAsia="Arial" w:hAnsi="Arial"/>
                <w:sz w:val="16"/>
                <w:szCs w:val="16"/>
                <w:b w:val="1"/>
                <w:bCs w:val="1"/>
                <w:color w:val="auto"/>
                <w:w w:val="91"/>
              </w:rPr>
              <w:t>85-0891392</w:t>
            </w:r>
          </w:p>
        </w:tc>
      </w:tr>
      <w:tr>
        <w:trPr>
          <w:trHeight w:val="189"/>
        </w:trPr>
        <w:tc>
          <w:tcPr>
            <w:tcW w:w="48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(State or other jurisdiction of</w:t>
            </w:r>
          </w:p>
        </w:tc>
        <w:tc>
          <w:tcPr>
            <w:tcW w:w="2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640" w:type="dxa"/>
            <w:vAlign w:val="bottom"/>
            <w:tcBorders>
              <w:top w:val="single" w:sz="8" w:color="auto"/>
            </w:tcBorders>
          </w:tcPr>
          <w:p>
            <w:pPr>
              <w:jc w:val="center"/>
              <w:ind w:right="1139"/>
              <w:spacing w:after="0"/>
              <w:rPr>
                <w:sz w:val="20"/>
                <w:szCs w:val="20"/>
                <w:color w:val="auto"/>
              </w:rPr>
            </w:pPr>
            <w:r>
              <w:rPr>
                <w:rFonts w:ascii="Arial" w:cs="Arial" w:eastAsia="Arial" w:hAnsi="Arial"/>
                <w:sz w:val="16"/>
                <w:szCs w:val="16"/>
                <w:color w:val="auto"/>
                <w:w w:val="93"/>
              </w:rPr>
              <w:t>(I.R.S. Employer</w:t>
            </w:r>
          </w:p>
        </w:tc>
      </w:tr>
      <w:tr>
        <w:trPr>
          <w:trHeight w:val="206"/>
        </w:trPr>
        <w:tc>
          <w:tcPr>
            <w:tcW w:w="6280" w:type="dxa"/>
            <w:vAlign w:val="bottom"/>
            <w:gridSpan w:val="5"/>
          </w:tcPr>
          <w:p>
            <w:pPr>
              <w:jc w:val="center"/>
              <w:ind w:right="1420"/>
              <w:spacing w:after="0"/>
              <w:rPr>
                <w:sz w:val="20"/>
                <w:szCs w:val="20"/>
                <w:color w:val="auto"/>
              </w:rPr>
            </w:pPr>
            <w:r>
              <w:rPr>
                <w:rFonts w:ascii="Arial" w:cs="Arial" w:eastAsia="Arial" w:hAnsi="Arial"/>
                <w:sz w:val="16"/>
                <w:szCs w:val="16"/>
                <w:color w:val="auto"/>
                <w:w w:val="93"/>
              </w:rPr>
              <w:t>incorporation or organization)</w:t>
            </w:r>
          </w:p>
        </w:tc>
        <w:tc>
          <w:tcPr>
            <w:tcW w:w="3640" w:type="dxa"/>
            <w:vAlign w:val="bottom"/>
          </w:tcPr>
          <w:p>
            <w:pPr>
              <w:jc w:val="center"/>
              <w:ind w:right="1139"/>
              <w:spacing w:after="0"/>
              <w:rPr>
                <w:sz w:val="20"/>
                <w:szCs w:val="20"/>
                <w:color w:val="auto"/>
              </w:rPr>
            </w:pPr>
            <w:r>
              <w:rPr>
                <w:rFonts w:ascii="Arial" w:cs="Arial" w:eastAsia="Arial" w:hAnsi="Arial"/>
                <w:sz w:val="16"/>
                <w:szCs w:val="16"/>
                <w:color w:val="auto"/>
                <w:w w:val="97"/>
              </w:rPr>
              <w:t>Identification No.)</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7373 Gateway Blvd.Newark, CA 94560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(510) 648-3553</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(Issuer’s telephone number)</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16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240" w:type="dxa"/>
            <w:vAlign w:val="bottom"/>
          </w:tcPr>
          <w:p>
            <w:pPr>
              <w:spacing w:after="0"/>
              <w:rPr>
                <w:sz w:val="18"/>
                <w:szCs w:val="18"/>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240" w:type="dxa"/>
            <w:vAlign w:val="bottom"/>
          </w:tcPr>
          <w:p>
            <w:pPr>
              <w:spacing w:after="0"/>
              <w:rPr>
                <w:sz w:val="18"/>
                <w:szCs w:val="18"/>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registered</w:t>
            </w:r>
          </w:p>
        </w:tc>
        <w:tc>
          <w:tcPr>
            <w:tcW w:w="0" w:type="dxa"/>
            <w:vAlign w:val="bottom"/>
          </w:tcPr>
          <w:p>
            <w:pPr>
              <w:spacing w:after="0"/>
              <w:rPr>
                <w:sz w:val="1"/>
                <w:szCs w:val="1"/>
                <w:color w:val="auto"/>
              </w:rPr>
            </w:pPr>
          </w:p>
        </w:tc>
      </w:tr>
      <w:tr>
        <w:trPr>
          <w:trHeight w:val="392"/>
        </w:trPr>
        <w:tc>
          <w:tcPr>
            <w:tcW w:w="416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Class A Common Stock, $0.0001 par value per share</w:t>
            </w:r>
          </w:p>
        </w:tc>
        <w:tc>
          <w:tcPr>
            <w:tcW w:w="2860" w:type="dxa"/>
            <w:vAlign w:val="bottom"/>
            <w:gridSpan w:val="2"/>
          </w:tcPr>
          <w:p>
            <w:pPr>
              <w:jc w:val="center"/>
              <w:ind w:right="240"/>
              <w:spacing w:after="0"/>
              <w:rPr>
                <w:sz w:val="20"/>
                <w:szCs w:val="20"/>
                <w:color w:val="auto"/>
              </w:rPr>
            </w:pPr>
            <w:r>
              <w:rPr>
                <w:rFonts w:ascii="Arial" w:cs="Arial" w:eastAsia="Arial" w:hAnsi="Arial"/>
                <w:sz w:val="16"/>
                <w:szCs w:val="16"/>
                <w:color w:val="auto"/>
              </w:rPr>
              <w:t>LCID</w:t>
            </w:r>
          </w:p>
        </w:tc>
        <w:tc>
          <w:tcPr>
            <w:tcW w:w="290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203"/>
        </w:trPr>
        <w:tc>
          <w:tcPr>
            <w:tcW w:w="416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Warrants, each exercisable for one share of Class A</w:t>
            </w:r>
          </w:p>
        </w:tc>
        <w:tc>
          <w:tcPr>
            <w:tcW w:w="286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rPr>
              <w:t>LCIDW</w:t>
            </w:r>
          </w:p>
        </w:tc>
        <w:tc>
          <w:tcPr>
            <w:tcW w:w="2900" w:type="dxa"/>
            <w:vAlign w:val="bottom"/>
            <w:vMerge w:val="restart"/>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98"/>
        </w:trPr>
        <w:tc>
          <w:tcPr>
            <w:tcW w:w="416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0"/>
              </w:rPr>
              <w:t>Common Stock at an exercise price of $11.50 per share</w:t>
            </w:r>
          </w:p>
        </w:tc>
        <w:tc>
          <w:tcPr>
            <w:tcW w:w="2860" w:type="dxa"/>
            <w:vAlign w:val="bottom"/>
            <w:gridSpan w:val="2"/>
            <w:vMerge w:val="continue"/>
          </w:tcPr>
          <w:p>
            <w:pPr>
              <w:spacing w:after="0"/>
              <w:rPr>
                <w:sz w:val="8"/>
                <w:szCs w:val="8"/>
                <w:color w:val="auto"/>
              </w:rPr>
            </w:pPr>
          </w:p>
        </w:tc>
        <w:tc>
          <w:tcPr>
            <w:tcW w:w="2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60" w:type="dxa"/>
            <w:vAlign w:val="bottom"/>
            <w:gridSpan w:val="2"/>
            <w:vMerge w:val="continue"/>
          </w:tcPr>
          <w:p>
            <w:pPr>
              <w:spacing w:after="0"/>
              <w:rPr>
                <w:sz w:val="9"/>
                <w:szCs w:val="9"/>
                <w:color w:val="auto"/>
              </w:rPr>
            </w:pPr>
          </w:p>
        </w:tc>
        <w:tc>
          <w:tcPr>
            <w:tcW w:w="2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2"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0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01"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40" w:type="dxa"/>
            <w:vAlign w:val="bottom"/>
          </w:tcPr>
          <w:p>
            <w:pPr>
              <w:ind w:left="18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720" w:type="dxa"/>
            <w:vAlign w:val="bottom"/>
          </w:tcPr>
          <w:p>
            <w:pPr>
              <w:ind w:left="176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16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03"/>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2140" w:type="dxa"/>
            <w:vAlign w:val="bottom"/>
          </w:tcPr>
          <w:p>
            <w:pPr>
              <w:ind w:left="180"/>
              <w:spacing w:after="0" w:line="202" w:lineRule="exact"/>
              <w:rPr>
                <w:sz w:val="20"/>
                <w:szCs w:val="20"/>
                <w:color w:val="auto"/>
              </w:rPr>
            </w:pPr>
            <w:r>
              <w:rPr>
                <w:rFonts w:ascii="Arial Unicode MS" w:cs="Arial Unicode MS" w:eastAsia="Arial Unicode MS" w:hAnsi="Arial Unicode MS"/>
                <w:sz w:val="16"/>
                <w:szCs w:val="16"/>
                <w:color w:val="auto"/>
              </w:rPr>
              <w:t>⌧</w:t>
            </w:r>
          </w:p>
        </w:tc>
        <w:tc>
          <w:tcPr>
            <w:tcW w:w="3720" w:type="dxa"/>
            <w:vAlign w:val="bottom"/>
          </w:tcPr>
          <w:p>
            <w:pPr>
              <w:ind w:left="176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160"/>
              <w:spacing w:after="0" w:line="202" w:lineRule="exact"/>
              <w:rPr>
                <w:sz w:val="20"/>
                <w:szCs w:val="20"/>
                <w:color w:val="auto"/>
              </w:rPr>
            </w:pPr>
            <w:r>
              <w:rPr>
                <w:rFonts w:ascii="Arial Unicode MS" w:cs="Arial Unicode MS" w:eastAsia="Arial Unicode MS" w:hAnsi="Arial Unicode MS"/>
                <w:sz w:val="16"/>
                <w:szCs w:val="16"/>
                <w:color w:val="auto"/>
              </w:rPr>
              <w:t>☐</w:t>
            </w:r>
          </w:p>
        </w:tc>
      </w:tr>
      <w:tr>
        <w:trPr>
          <w:trHeight w:val="254"/>
        </w:trPr>
        <w:tc>
          <w:tcPr>
            <w:tcW w:w="16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720" w:type="dxa"/>
            <w:vAlign w:val="bottom"/>
          </w:tcPr>
          <w:p>
            <w:pPr>
              <w:ind w:left="176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16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100"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70" w:lineRule="exact"/>
        <w:rPr>
          <w:sz w:val="24"/>
          <w:szCs w:val="24"/>
          <w:color w:val="auto"/>
        </w:rPr>
      </w:pPr>
    </w:p>
    <w:p>
      <w:pPr>
        <w:ind w:right="1540"/>
        <w:spacing w:after="0" w:line="28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As of August 13, 2021, there were 1,618,621,534 shares of common stock, $0.0001 par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81280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115570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EXPLANATORY NOTE</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July 23, 2021, subsequent to the fiscal quarter ended June 30, 2021, the fiscal quarter to which this Quarterly Report on Form 10-Q (this “Quarterly Report”) relates, Churchill Capital Corp IV (formerly known as Annetta Acquisition Corp. and now known as Lucid Group, Inc.), a Delaware corporation that is our predecessor, consummated the previously announced business combination (the “Business Combination”) pursuant to that certain Agreement and Plan of Merger, dated as of February 22, 2021 (as amended, modified, supplemented or waived, the “Merger Agreement”), by and among Churchill Capital Corp IV, Atieva, Inc., d/b/a Lucid Motors, an exempted company incorporated with limited liability under the laws of the Cayman Islands (“Lucid”), and Air Merger Sub, Inc., a Delaware corporation and wholly owned subsidiary of Churchill Capital Corp IV (“Merger Sub”). Pursuant to the Merger Agreement, following the approval by the Company’s stockholders on July 23, 2021, Merger Sub was merged with and into Lucid with Lucid being the surviving company in the merger.</w:t>
      </w:r>
    </w:p>
    <w:p>
      <w:pPr>
        <w:spacing w:after="0" w:line="125"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Unless stated otherwise, this Quarterly Report contains information about the Company before the Business Combination. References to the “Company,” “our,” “us” or “we” in this Quarterly Report refer to Churchill Capital Corp IV and its consolidated subsidiaries before the consummation of the Business Combination and to Lucid Group, Inc. and its consolidated subsidiaries after the Business Combination, as the context suggests.</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Except as otherwise expressly provided herein, the information in this Quarterly Report does not reflect the consummation of the Business Combination, which, as discussed above, occurred subsequent to the period covered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912495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gridSpan w:val="2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9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8940" w:type="dxa"/>
            <w:vAlign w:val="bottom"/>
            <w:gridSpan w:val="24"/>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Item 1.</w:t>
              </w:r>
            </w:hyperlink>
          </w:p>
        </w:tc>
        <w:tc>
          <w:tcPr>
            <w:tcW w:w="1520" w:type="dxa"/>
            <w:vAlign w:val="bottom"/>
            <w:tcBorders>
              <w:bottom w:val="single" w:sz="8" w:color="0000EE"/>
            </w:tcBorders>
            <w:gridSpan w:val="7"/>
          </w:tcPr>
          <w:p>
            <w:pPr>
              <w:ind w:left="20"/>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6740" w:type="dxa"/>
            <w:vAlign w:val="bottom"/>
            <w:gridSpan w:val="14"/>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June 30, 2021 (Unaudited) and December 31, 2020</w:t>
              </w:r>
            </w:hyperlink>
          </w:p>
        </w:tc>
        <w:tc>
          <w:tcPr>
            <w:tcW w:w="1620" w:type="dxa"/>
            <w:vAlign w:val="bottom"/>
            <w:gridSpan w:val="4"/>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and six months ended June 30, 2021 and for the period</w:t>
              </w:r>
            </w:hyperlink>
          </w:p>
        </w:tc>
        <w:tc>
          <w:tcPr>
            <w:tcW w:w="10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8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from April 30, 2020 (inception) through June 30, 2020 (Unaudited)</w:t>
              </w:r>
            </w:hyperlink>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80" w:type="dxa"/>
            <w:vAlign w:val="bottom"/>
            <w:gridSpan w:val="22"/>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Changes in Stockholders’ Equity for the three and six months ended June 30,</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2021 and for the period from April 30, 2020 (inception) through June 30, 2020 (Unaudited)</w:t>
              </w:r>
            </w:hyperlink>
          </w:p>
        </w:tc>
        <w:tc>
          <w:tcPr>
            <w:tcW w:w="1820" w:type="dxa"/>
            <w:vAlign w:val="bottom"/>
            <w:tcBorders>
              <w:top w:val="single" w:sz="8" w:color="0000EE"/>
            </w:tcBorders>
            <w:gridSpan w:val="4"/>
          </w:tcPr>
          <w:p>
            <w:pPr>
              <w:spacing w:after="0"/>
              <w:rPr>
                <w:sz w:val="17"/>
                <w:szCs w:val="17"/>
                <w:color w:val="auto"/>
              </w:rPr>
            </w:pPr>
          </w:p>
        </w:tc>
        <w:tc>
          <w:tcPr>
            <w:tcW w:w="2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3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June 30, 2021 and for the period from</w:t>
              </w:r>
            </w:hyperlink>
          </w:p>
        </w:tc>
        <w:tc>
          <w:tcPr>
            <w:tcW w:w="360" w:type="dxa"/>
            <w:vAlign w:val="bottom"/>
            <w:gridSpan w:val="3"/>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8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April 30, 2020 (inception) through June 30, 2020 (Unaudited)</w:t>
              </w:r>
            </w:hyperlink>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3760" w:type="dxa"/>
            <w:vAlign w:val="bottom"/>
            <w:gridSpan w:val="8"/>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70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Item 2. Management’s Discussion and Analysis of Financial Condition and Results of Operations</w:t>
              </w:r>
            </w:hyperlink>
          </w:p>
        </w:tc>
        <w:tc>
          <w:tcPr>
            <w:tcW w:w="1780" w:type="dxa"/>
            <w:vAlign w:val="bottom"/>
            <w:gridSpan w:val="5"/>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3. Quantitative and Qualitative Disclosures Regarding Market Risk</w:t>
              </w:r>
            </w:hyperlink>
          </w:p>
        </w:tc>
        <w:tc>
          <w:tcPr>
            <w:tcW w:w="3580" w:type="dxa"/>
            <w:vAlign w:val="bottom"/>
            <w:gridSpan w:val="7"/>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80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4. Controls and Procedures</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40" w:type="dxa"/>
            <w:vAlign w:val="bottom"/>
            <w:gridSpan w:val="2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Part II. Other Information</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800" w:type="dxa"/>
            <w:vAlign w:val="bottom"/>
            <w:gridSpan w:val="2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9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6880" w:type="dxa"/>
            <w:vAlign w:val="bottom"/>
            <w:gridSpan w:val="15"/>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800" w:type="dxa"/>
            <w:vAlign w:val="bottom"/>
            <w:gridSpan w:val="2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Item 2. Unregistered Sales of Equity Securities and Use of Proceeds</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Item 3. 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3900" w:type="dxa"/>
            <w:vAlign w:val="bottom"/>
            <w:gridSpan w:val="10"/>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800" w:type="dxa"/>
            <w:vAlign w:val="bottom"/>
            <w:gridSpan w:val="23"/>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4. Mine Safety Disclosures</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5. Other Information</w:t>
              </w:r>
            </w:hyperlink>
          </w:p>
        </w:tc>
        <w:tc>
          <w:tcPr>
            <w:tcW w:w="6480" w:type="dxa"/>
            <w:vAlign w:val="bottom"/>
            <w:gridSpan w:val="13"/>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4"/>
          </w:tcPr>
          <w:p>
            <w:pPr>
              <w:spacing w:after="0"/>
              <w:rPr>
                <w:sz w:val="17"/>
                <w:szCs w:val="17"/>
                <w:color w:val="auto"/>
              </w:rPr>
            </w:pPr>
          </w:p>
        </w:tc>
        <w:tc>
          <w:tcPr>
            <w:tcW w:w="6940" w:type="dxa"/>
            <w:vAlign w:val="bottom"/>
            <w:gridSpan w:val="16"/>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r>
        <w:trPr>
          <w:trHeight w:val="196"/>
        </w:trPr>
        <w:tc>
          <w:tcPr>
            <w:tcW w:w="8940" w:type="dxa"/>
            <w:vAlign w:val="bottom"/>
            <w:gridSpan w:val="2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Part III. Signatures</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1026"/>
        </w:trPr>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2"/>
              <w:spacing w:after="0" w:line="142" w:lineRule="exact"/>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675,344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937,786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1,675,503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4,530,643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2,070,290,785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2,070,086,006</w:t>
            </w:r>
          </w:p>
        </w:tc>
        <w:tc>
          <w:tcPr>
            <w:tcW w:w="0" w:type="dxa"/>
            <w:vAlign w:val="bottom"/>
          </w:tcPr>
          <w:p>
            <w:pPr>
              <w:spacing w:after="0"/>
              <w:rPr>
                <w:sz w:val="1"/>
                <w:szCs w:val="1"/>
                <w:color w:val="auto"/>
              </w:rPr>
            </w:pPr>
          </w:p>
        </w:tc>
      </w:tr>
      <w:tr>
        <w:trPr>
          <w:trHeight w:val="250"/>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2,071,966,288</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2,074,616,649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827,213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1,446,951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Convertible promissory note – related party, net of discount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2,050,791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1,599,645,794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72,450,000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1,674,146,585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216,178,873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A common stock subject to possible redemption, 207,000,000 and 185,343,777 shares at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redemption value as of June 30, 2021 and December 31, 2020, respectively</w:t>
            </w: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2,070,000,000</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1,853,437,770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w w:val="94"/>
              </w:rPr>
              <w:t>Preferred stock, $0.0001 par value; 1,000,000 shares authorized; none issued or outstanding</w:t>
            </w:r>
          </w:p>
        </w:tc>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Class A common stock, $0.0001 par value; 400,000,000 shares authorized; 0 and 21,656,223</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shares issued and outstanding (excluding 207,000,000 and 185,343,777 shares subject to</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possible redemption) as of June 30, 2021 and December 31, 2020, respectively</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tcPr>
          <w:p>
            <w:pPr>
              <w:spacing w:after="0" w:line="201" w:lineRule="exact"/>
              <w:rPr>
                <w:sz w:val="20"/>
                <w:szCs w:val="20"/>
                <w:color w:val="auto"/>
              </w:rPr>
            </w:pPr>
            <w:r>
              <w:rPr>
                <w:rFonts w:ascii="Arial" w:cs="Arial" w:eastAsia="Arial" w:hAnsi="Arial"/>
                <w:sz w:val="18"/>
                <w:szCs w:val="18"/>
                <w:color w:val="auto"/>
                <w:w w:val="93"/>
              </w:rPr>
              <w:t>Class B common stock, $0.0001 par value; 100,000,000 shares authorized; 51,750,000 shares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issued and outstanding as of June 30, 2021 and December 31, 2020</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5,175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68,460,540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(1,672,185,472)</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(63,467,875)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(1,672,180,297)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10"/>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2,071,966,288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2,074,616,649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Three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from April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Months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562,194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3,652,018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Loss from operations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(562,194)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(3,652,018)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derivative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(587,379,256)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(1,399,753,658)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Interest expense - excess fair value of conversion liability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(56,191,636)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 amortization of debt discount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Interest earned on marketable securities held in Trust Account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204,779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loss on marketable securities held in Trust Account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Other expense net</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(588,255,759)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(1,456,940,515)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9"/>
              </w:rPr>
              <w:t>(588,817,953)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89"/>
              </w:rPr>
              <w:t>(1,460,592,533)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(588,819,915)</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(1,460,618,073)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0" w:type="dxa"/>
            <w:vAlign w:val="bottom"/>
          </w:tcPr>
          <w:p>
            <w:pPr>
              <w:spacing w:after="0" w:line="201" w:lineRule="exact"/>
              <w:rPr>
                <w:sz w:val="20"/>
                <w:szCs w:val="20"/>
                <w:color w:val="auto"/>
              </w:rPr>
            </w:pPr>
            <w:r>
              <w:rPr>
                <w:rFonts w:ascii="Arial" w:cs="Arial" w:eastAsia="Arial" w:hAnsi="Arial"/>
                <w:sz w:val="18"/>
                <w:szCs w:val="18"/>
                <w:color w:val="auto"/>
                <w:w w:val="91"/>
              </w:rPr>
              <w:t>Basic and diluted weighted average shares outstanding, Class A common stock subject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to redemption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207,000,000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201,682,674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400" w:type="dxa"/>
            <w:vAlign w:val="bottom"/>
          </w:tcPr>
          <w:p>
            <w:pPr>
              <w:spacing w:after="0"/>
              <w:rPr>
                <w:sz w:val="20"/>
                <w:szCs w:val="20"/>
                <w:color w:val="auto"/>
              </w:rPr>
            </w:pPr>
            <w:r>
              <w:rPr>
                <w:rFonts w:ascii="Arial" w:cs="Arial" w:eastAsia="Arial" w:hAnsi="Arial"/>
                <w:sz w:val="18"/>
                <w:szCs w:val="18"/>
                <w:color w:val="auto"/>
                <w:w w:val="93"/>
              </w:rPr>
              <w:t>Basic and diluted net income per share, Class A common stock subject to redemption</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w w:val="90"/>
              </w:rPr>
              <w:t>Basic and diluted weighted average shares outstanding, Non-redeemable common stock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58,496,884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45,000,000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Basic and diluted net loss per share, Non-redeemable common stock</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(24.97)</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10120"/>
          </w:cols>
          <w:pgMar w:left="980" w:top="665" w:right="7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Class A</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gridSpan w:val="6"/>
          </w:tcPr>
          <w:p>
            <w:pPr>
              <w:jc w:val="center"/>
              <w:ind w:right="660"/>
              <w:spacing w:after="0"/>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Borders>
              <w:bottom w:val="single" w:sz="8" w:color="auto"/>
            </w:tcBorders>
            <w:gridSpan w:val="6"/>
          </w:tcPr>
          <w:p>
            <w:pPr>
              <w:ind w:left="460"/>
              <w:spacing w:after="0"/>
              <w:rPr>
                <w:sz w:val="20"/>
                <w:szCs w:val="20"/>
                <w:color w:val="auto"/>
              </w:rPr>
            </w:pPr>
            <w:r>
              <w:rPr>
                <w:rFonts w:ascii="Arial" w:cs="Arial" w:eastAsia="Arial" w:hAnsi="Arial"/>
                <w:sz w:val="13"/>
                <w:szCs w:val="13"/>
                <w:b w:val="1"/>
                <w:bCs w:val="1"/>
                <w:color w:val="auto"/>
                <w:w w:val="92"/>
              </w:rPr>
              <w:t>Common Stock</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Paid-in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3"/>
                <w:szCs w:val="13"/>
                <w:color w:val="auto"/>
                <w:w w:val="90"/>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ind w:left="220"/>
              <w:spacing w:after="0" w:line="129" w:lineRule="exact"/>
              <w:rPr>
                <w:sz w:val="20"/>
                <w:szCs w:val="20"/>
                <w:color w:val="auto"/>
              </w:rPr>
            </w:pPr>
            <w:r>
              <w:rPr>
                <w:rFonts w:ascii="Arial" w:cs="Arial" w:eastAsia="Arial" w:hAnsi="Arial"/>
                <w:sz w:val="13"/>
                <w:szCs w:val="13"/>
                <w:color w:val="auto"/>
                <w:w w:val="82"/>
              </w:rPr>
              <w:t>Shares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right"/>
              <w:ind w:right="200"/>
              <w:spacing w:after="0" w:line="129" w:lineRule="exact"/>
              <w:rPr>
                <w:sz w:val="20"/>
                <w:szCs w:val="20"/>
                <w:color w:val="auto"/>
              </w:rPr>
            </w:pPr>
            <w:r>
              <w:rPr>
                <w:rFonts w:ascii="Arial" w:cs="Arial" w:eastAsia="Arial" w:hAnsi="Arial"/>
                <w:sz w:val="13"/>
                <w:szCs w:val="13"/>
                <w:color w:val="auto"/>
              </w:rPr>
              <w:t>Amount</w:t>
            </w:r>
          </w:p>
        </w:tc>
        <w:tc>
          <w:tcPr>
            <w:tcW w:w="160" w:type="dxa"/>
            <w:vAlign w:val="bottom"/>
          </w:tcPr>
          <w:p>
            <w:pPr>
              <w:spacing w:after="0"/>
              <w:rPr>
                <w:sz w:val="11"/>
                <w:szCs w:val="11"/>
                <w:color w:val="auto"/>
              </w:rPr>
            </w:pPr>
          </w:p>
        </w:tc>
        <w:tc>
          <w:tcPr>
            <w:tcW w:w="760" w:type="dxa"/>
            <w:vAlign w:val="bottom"/>
            <w:gridSpan w:val="2"/>
          </w:tcPr>
          <w:p>
            <w:pPr>
              <w:jc w:val="right"/>
              <w:ind w:right="157"/>
              <w:spacing w:after="0" w:line="129" w:lineRule="exact"/>
              <w:rPr>
                <w:sz w:val="20"/>
                <w:szCs w:val="20"/>
                <w:color w:val="auto"/>
              </w:rPr>
            </w:pPr>
            <w:r>
              <w:rPr>
                <w:rFonts w:ascii="Arial" w:cs="Arial" w:eastAsia="Arial" w:hAnsi="Arial"/>
                <w:sz w:val="13"/>
                <w:szCs w:val="13"/>
                <w:color w:val="auto"/>
              </w:rPr>
              <w:t>Shares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80"/>
              <w:spacing w:after="0" w:line="129" w:lineRule="exact"/>
              <w:rPr>
                <w:sz w:val="20"/>
                <w:szCs w:val="20"/>
                <w:color w:val="auto"/>
              </w:rPr>
            </w:pPr>
            <w:r>
              <w:rPr>
                <w:rFonts w:ascii="Arial" w:cs="Arial" w:eastAsia="Arial" w:hAnsi="Arial"/>
                <w:sz w:val="13"/>
                <w:szCs w:val="13"/>
                <w:color w:val="auto"/>
              </w:rPr>
              <w:t>Amount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20"/>
              <w:spacing w:after="0" w:line="129" w:lineRule="exact"/>
              <w:rPr>
                <w:sz w:val="20"/>
                <w:szCs w:val="20"/>
                <w:color w:val="auto"/>
              </w:rPr>
            </w:pPr>
            <w:r>
              <w:rPr>
                <w:rFonts w:ascii="Arial" w:cs="Arial" w:eastAsia="Arial" w:hAnsi="Arial"/>
                <w:sz w:val="13"/>
                <w:szCs w:val="13"/>
                <w:color w:val="auto"/>
                <w:w w:val="88"/>
              </w:rPr>
              <w:t>Capital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280"/>
              <w:spacing w:after="0" w:line="129" w:lineRule="exact"/>
              <w:rPr>
                <w:sz w:val="20"/>
                <w:szCs w:val="20"/>
                <w:color w:val="auto"/>
              </w:rPr>
            </w:pPr>
            <w:r>
              <w:rPr>
                <w:rFonts w:ascii="Arial" w:cs="Arial" w:eastAsia="Arial" w:hAnsi="Arial"/>
                <w:sz w:val="13"/>
                <w:szCs w:val="13"/>
                <w:color w:val="auto"/>
                <w:w w:val="99"/>
              </w:rPr>
              <w:t>Deficit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120"/>
              <w:spacing w:after="0" w:line="129" w:lineRule="exact"/>
              <w:rPr>
                <w:sz w:val="20"/>
                <w:szCs w:val="20"/>
                <w:color w:val="auto"/>
              </w:rPr>
            </w:pPr>
            <w:r>
              <w:rPr>
                <w:rFonts w:ascii="Arial" w:cs="Arial" w:eastAsia="Arial" w:hAnsi="Arial"/>
                <w:sz w:val="13"/>
                <w:szCs w:val="13"/>
                <w:color w:val="auto"/>
                <w:w w:val="88"/>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Balance – January 1, 2021</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gridSpan w:val="4"/>
            <w:shd w:val="clear" w:color="auto" w:fill="CCEEFF"/>
          </w:tcPr>
          <w:p>
            <w:pPr>
              <w:jc w:val="right"/>
              <w:spacing w:after="0" w:line="129" w:lineRule="exact"/>
              <w:rPr>
                <w:sz w:val="20"/>
                <w:szCs w:val="20"/>
                <w:color w:val="auto"/>
              </w:rPr>
            </w:pPr>
            <w:r>
              <w:rPr>
                <w:rFonts w:ascii="Arial" w:cs="Arial" w:eastAsia="Arial" w:hAnsi="Arial"/>
                <w:sz w:val="13"/>
                <w:szCs w:val="13"/>
                <w:color w:val="auto"/>
              </w:rPr>
              <w:t>21,656,223</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98"/>
              </w:rPr>
              <w:t>2,166</w:t>
            </w: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51,750,000</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5,175</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68,460,540</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(63,467,875)</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5,000,006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89"/>
              </w:rPr>
              <w:t>Change in value of common stock subject to redemption</w:t>
            </w:r>
          </w:p>
        </w:tc>
        <w:tc>
          <w:tcPr>
            <w:tcW w:w="1060" w:type="dxa"/>
            <w:vAlign w:val="bottom"/>
            <w:gridSpan w:val="6"/>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(21,656,223)</w:t>
            </w:r>
          </w:p>
        </w:tc>
        <w:tc>
          <w:tcPr>
            <w:tcW w:w="44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7"/>
              </w:rPr>
              <w:t>(2,166)</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(68,460,540)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8"/>
              </w:rPr>
              <w:t>(148,099,524)</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(216,562,230)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1"/>
              </w:rPr>
              <w:t>—</w:t>
            </w:r>
          </w:p>
        </w:tc>
        <w:tc>
          <w:tcPr>
            <w:tcW w:w="44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8"/>
              </w:rPr>
              <w:t>(871,798,158)</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(871,798,158)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Balance – March 31, 2021</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1"/>
              </w:rPr>
              <w:t>—</w:t>
            </w:r>
          </w:p>
        </w:tc>
        <w:tc>
          <w:tcPr>
            <w:tcW w:w="44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51,750,000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5,175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7"/>
              </w:rPr>
              <w:t>(1,083,365,557)</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(1,083,360,382)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89"/>
              </w:rPr>
              <w:t>Change in value of common stock subject to redemption</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1"/>
              </w:rPr>
              <w:t>—</w:t>
            </w:r>
          </w:p>
        </w:tc>
        <w:tc>
          <w:tcPr>
            <w:tcW w:w="44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1"/>
              </w:rPr>
              <w:t>—</w:t>
            </w:r>
          </w:p>
        </w:tc>
        <w:tc>
          <w:tcPr>
            <w:tcW w:w="44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8"/>
              </w:rPr>
              <w:t>(588,819,915)</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(588,819,915)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Balance – June 30, 2021</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51,750,000</w:t>
            </w:r>
          </w:p>
        </w:tc>
        <w:tc>
          <w:tcPr>
            <w:tcW w:w="140" w:type="dxa"/>
            <w:vAlign w:val="bottom"/>
            <w:gridSpan w:val="2"/>
            <w:shd w:val="clear" w:color="auto" w:fill="CCEEFF"/>
          </w:tcPr>
          <w:p>
            <w:pPr>
              <w:spacing w:after="0"/>
              <w:rPr>
                <w:sz w:val="11"/>
                <w:szCs w:val="11"/>
                <w:color w:val="auto"/>
              </w:rPr>
            </w:pPr>
          </w:p>
        </w:tc>
        <w:tc>
          <w:tcPr>
            <w:tcW w:w="140" w:type="dxa"/>
            <w:vAlign w:val="bottom"/>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5,175</w:t>
            </w:r>
          </w:p>
        </w:tc>
        <w:tc>
          <w:tcPr>
            <w:tcW w:w="20" w:type="dxa"/>
            <w:vAlign w:val="bottom"/>
            <w:shd w:val="clear" w:color="auto" w:fill="CCEEFF"/>
          </w:tcPr>
          <w:p>
            <w:pPr>
              <w:spacing w:after="0"/>
              <w:rPr>
                <w:sz w:val="11"/>
                <w:szCs w:val="11"/>
                <w:color w:val="auto"/>
              </w:rPr>
            </w:pPr>
          </w:p>
        </w:tc>
        <w:tc>
          <w:tcPr>
            <w:tcW w:w="2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3"/>
            <w:shd w:val="clear" w:color="auto" w:fill="CCEEFF"/>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7"/>
              </w:rPr>
              <w:t>(1,672,185,472)</w:t>
            </w:r>
          </w:p>
        </w:tc>
        <w:tc>
          <w:tcPr>
            <w:tcW w:w="12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(1,672,180,297)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940" w:type="dxa"/>
            <w:vAlign w:val="bottom"/>
            <w:gridSpan w:val="30"/>
          </w:tcPr>
          <w:p>
            <w:pPr>
              <w:ind w:left="1080"/>
              <w:spacing w:after="0"/>
              <w:rPr>
                <w:sz w:val="20"/>
                <w:szCs w:val="20"/>
                <w:color w:val="auto"/>
              </w:rPr>
            </w:pPr>
            <w:r>
              <w:rPr>
                <w:rFonts w:ascii="Arial" w:cs="Arial" w:eastAsia="Arial" w:hAnsi="Arial"/>
                <w:sz w:val="18"/>
                <w:szCs w:val="18"/>
                <w:b w:val="1"/>
                <w:bCs w:val="1"/>
                <w:color w:val="auto"/>
                <w:w w:val="99"/>
              </w:rPr>
              <w:t>FOR THE PERIOD FROM APRIL 30, 2020 (INCEPTION) THROUGH JUNE 30, 2020 (unaudited)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5"/>
          </w:tcPr>
          <w:p>
            <w:pPr>
              <w:ind w:left="400"/>
              <w:spacing w:after="0"/>
              <w:rPr>
                <w:sz w:val="20"/>
                <w:szCs w:val="20"/>
                <w:color w:val="auto"/>
              </w:rPr>
            </w:pPr>
            <w:r>
              <w:rPr>
                <w:rFonts w:ascii="Arial" w:cs="Arial" w:eastAsia="Arial" w:hAnsi="Arial"/>
                <w:sz w:val="13"/>
                <w:szCs w:val="13"/>
                <w:b w:val="1"/>
                <w:bCs w:val="1"/>
                <w:color w:val="auto"/>
              </w:rPr>
              <w:t>Class A</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5"/>
          </w:tcPr>
          <w:p>
            <w:pPr>
              <w:jc w:val="center"/>
              <w:ind w:left="577"/>
              <w:spacing w:after="0"/>
              <w:rPr>
                <w:sz w:val="20"/>
                <w:szCs w:val="20"/>
                <w:color w:val="auto"/>
              </w:rPr>
            </w:pPr>
            <w:r>
              <w:rPr>
                <w:rFonts w:ascii="Arial" w:cs="Arial" w:eastAsia="Arial" w:hAnsi="Arial"/>
                <w:sz w:val="13"/>
                <w:szCs w:val="13"/>
                <w:b w:val="1"/>
                <w:bCs w:val="1"/>
                <w:color w:val="auto"/>
                <w:w w:val="83"/>
              </w:rPr>
              <w:t>Class B</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ind w:lef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6"/>
          </w:tcPr>
          <w:p>
            <w:pPr>
              <w:jc w:val="right"/>
              <w:ind w:right="21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7"/>
          </w:tcPr>
          <w:p>
            <w:pPr>
              <w:ind w:left="36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3"/>
                <w:szCs w:val="13"/>
                <w:color w:val="auto"/>
                <w:w w:val="90"/>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ind w:left="100"/>
              <w:spacing w:after="0" w:line="129" w:lineRule="exact"/>
              <w:rPr>
                <w:sz w:val="20"/>
                <w:szCs w:val="20"/>
                <w:color w:val="auto"/>
              </w:rPr>
            </w:pPr>
            <w:r>
              <w:rPr>
                <w:rFonts w:ascii="Arial" w:cs="Arial" w:eastAsia="Arial" w:hAnsi="Arial"/>
                <w:sz w:val="13"/>
                <w:szCs w:val="13"/>
                <w:color w:val="auto"/>
              </w:rPr>
              <w:t>Shares</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93"/>
              </w:rPr>
              <w:t>Amount</w:t>
            </w:r>
          </w:p>
        </w:tc>
        <w:tc>
          <w:tcPr>
            <w:tcW w:w="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277"/>
              <w:spacing w:after="0" w:line="129" w:lineRule="exact"/>
              <w:rPr>
                <w:sz w:val="20"/>
                <w:szCs w:val="20"/>
                <w:color w:val="auto"/>
              </w:rPr>
            </w:pPr>
            <w:r>
              <w:rPr>
                <w:rFonts w:ascii="Arial" w:cs="Arial" w:eastAsia="Arial" w:hAnsi="Arial"/>
                <w:sz w:val="13"/>
                <w:szCs w:val="13"/>
                <w:color w:val="auto"/>
                <w:w w:val="97"/>
              </w:rPr>
              <w:t>Shares</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3"/>
                <w:szCs w:val="13"/>
                <w:color w:val="auto"/>
                <w:w w:val="89"/>
              </w:rPr>
              <w:t>Amount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20"/>
              <w:spacing w:after="0" w:line="129" w:lineRule="exact"/>
              <w:rPr>
                <w:sz w:val="20"/>
                <w:szCs w:val="20"/>
                <w:color w:val="auto"/>
              </w:rPr>
            </w:pPr>
            <w:r>
              <w:rPr>
                <w:rFonts w:ascii="Arial" w:cs="Arial" w:eastAsia="Arial" w:hAnsi="Arial"/>
                <w:sz w:val="13"/>
                <w:szCs w:val="13"/>
                <w:color w:val="auto"/>
                <w:w w:val="88"/>
              </w:rPr>
              <w:t>Capital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200"/>
              <w:spacing w:after="0" w:line="129" w:lineRule="exact"/>
              <w:rPr>
                <w:sz w:val="20"/>
                <w:szCs w:val="20"/>
                <w:color w:val="auto"/>
              </w:rPr>
            </w:pPr>
            <w:r>
              <w:rPr>
                <w:rFonts w:ascii="Arial" w:cs="Arial" w:eastAsia="Arial" w:hAnsi="Arial"/>
                <w:sz w:val="13"/>
                <w:szCs w:val="13"/>
                <w:color w:val="auto"/>
                <w:w w:val="99"/>
              </w:rPr>
              <w:t>Deficit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80"/>
              <w:spacing w:after="0" w:line="129" w:lineRule="exact"/>
              <w:rPr>
                <w:sz w:val="20"/>
                <w:szCs w:val="20"/>
                <w:color w:val="auto"/>
              </w:rPr>
            </w:pPr>
            <w:r>
              <w:rPr>
                <w:rFonts w:ascii="Arial" w:cs="Arial" w:eastAsia="Arial" w:hAnsi="Arial"/>
                <w:sz w:val="13"/>
                <w:szCs w:val="13"/>
                <w:color w:val="auto"/>
                <w:w w:val="88"/>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 April 30, 2020 (Inception)</w:t>
            </w:r>
          </w:p>
        </w:tc>
        <w:tc>
          <w:tcPr>
            <w:tcW w:w="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360"/>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Issuance of Class B common stock to Sponsor</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51,750,000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19,825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Balance – June 30, 2020</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51,750,000</w:t>
            </w:r>
          </w:p>
        </w:tc>
        <w:tc>
          <w:tcPr>
            <w:tcW w:w="1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5,175</w:t>
            </w:r>
          </w:p>
        </w:tc>
        <w:tc>
          <w:tcPr>
            <w:tcW w:w="20" w:type="dxa"/>
            <w:vAlign w:val="bottom"/>
            <w:shd w:val="clear" w:color="auto" w:fill="CCEEFF"/>
          </w:tcPr>
          <w:p>
            <w:pPr>
              <w:spacing w:after="0"/>
              <w:rPr>
                <w:sz w:val="11"/>
                <w:szCs w:val="11"/>
                <w:color w:val="auto"/>
              </w:rPr>
            </w:pPr>
          </w:p>
        </w:tc>
        <w:tc>
          <w:tcPr>
            <w:tcW w:w="2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19,825</w:t>
            </w:r>
          </w:p>
        </w:tc>
        <w:tc>
          <w:tcPr>
            <w:tcW w:w="24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w:t>
            </w:r>
          </w:p>
        </w:tc>
        <w:tc>
          <w:tcPr>
            <w:tcW w:w="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4"/>
              <w:spacing w:after="0"/>
              <w:rPr>
                <w:sz w:val="20"/>
                <w:szCs w:val="20"/>
                <w:color w:val="auto"/>
              </w:rPr>
            </w:pPr>
            <w:r>
              <w:rPr>
                <w:rFonts w:ascii="Arial" w:cs="Arial" w:eastAsia="Arial" w:hAnsi="Arial"/>
                <w:sz w:val="14"/>
                <w:szCs w:val="14"/>
                <w:b w:val="1"/>
                <w:bCs w:val="1"/>
                <w:color w:val="auto"/>
                <w:w w:val="97"/>
              </w:rPr>
              <w:t>from April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Six Months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2020 (Inception)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8"/>
                <w:szCs w:val="18"/>
                <w:color w:val="auto"/>
              </w:rPr>
            </w:pPr>
          </w:p>
        </w:tc>
        <w:tc>
          <w:tcPr>
            <w:tcW w:w="1020" w:type="dxa"/>
            <w:vAlign w:val="bottom"/>
          </w:tcPr>
          <w:p>
            <w:pPr>
              <w:jc w:val="center"/>
              <w:ind w:right="14"/>
              <w:spacing w:after="0"/>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8"/>
                <w:szCs w:val="18"/>
                <w:color w:val="auto"/>
              </w:rPr>
            </w:pPr>
          </w:p>
        </w:tc>
        <w:tc>
          <w:tcPr>
            <w:tcW w:w="102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(1,460,618,073)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Change in fair value of derivative liabilities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97"/>
              </w:rPr>
              <w:t>1,399,753,658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 excess fair value of conversion liability</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56,191,636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earned on marketable securities held in Trust Account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(204,779)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(619,738)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(57,844)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(4,092,698)</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Class B common stock to Sponsor</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Payment of convertible promissory note – related party</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1,500,000</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Change in Cash</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(2,592,698)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3,592,857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280" w:type="dxa"/>
            <w:vAlign w:val="bottom"/>
            <w:gridSpan w:val="2"/>
          </w:tcPr>
          <w:p>
            <w:pPr>
              <w:spacing w:after="0"/>
              <w:rPr>
                <w:sz w:val="20"/>
                <w:szCs w:val="20"/>
                <w:color w:val="auto"/>
              </w:rPr>
            </w:pPr>
            <w:r>
              <w:rPr>
                <w:rFonts w:ascii="Arial" w:cs="Arial" w:eastAsia="Arial" w:hAnsi="Arial"/>
                <w:sz w:val="18"/>
                <w:szCs w:val="18"/>
                <w:color w:val="auto"/>
              </w:rPr>
              <w:t>Cash – Ending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1,000,159</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172,100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included in accrued offering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216,562,230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conversion option liability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57,691,636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one subsidiary, Air Merger Sub, Inc., a direct, wholly-owned subsidiary of the Company incorporated in Delaware on February 19, 2021 (“Merger Sub”) (see Note 6).</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2021, the Company had not commenced any operations. All activity for the period from April 30, 2020 (inception) through June 30, 2021 relates to the Company’s formation and the initial public offering (“Initial Public Offering”), identifying a target company for a Business Combination, and activities in connection with the proposed acquisition of Atieva, Inc., d/b/a Lucid Motors, an exempted company incorporated with limited liability under the laws of the Cayman Islands (“Lucid”) (see Note 6).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5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registration statements for the Company’s Initial Public Offering were declared effective on July 29, 2020. On August 3, 2020, the Company consummated the Initial Public Offering of 207,000,000 units (the “Units” and, with respect to the shares of Class A common stock included in the Units sold, the “Public Shares”), which includes the full exercise by the underwriters of the over-allotment option to purchase an additional 27,000,000 Units, at $10.00 per Unit, generating gross proceeds of $2,070,000,000, which is described in Note 3.</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42,850,000 warrants (the “Private Placement Warrants”) at a price of $1.00 per Private Placement Warrant in a private placement to Churchill Sponsor IV LLC, (the “Sponsor”), generating gross proceeds of $42,850,000 which is described in Note 4.</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costs amounted to $109,714,885, consisting of $36,403,600 of underwriting fees, $72,450,000 of deferred underwriting fees and $861,285 of other offering costs.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Following the closing of the Initial Public Offering on August 3, 2020, an amount of $2,070,000,000 ($10.00 per Unit) from the net proceeds of the sale of the Units in the Initial Public Offering and the sale of the Private Placement Warrants was placed in a trust account (the “Trust Account”) located in the United States and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(excluding taxes payable on interest income earned from the Trust Account and the deferred underwriting commissions)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on deposit in the Trust Account (initially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5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w:t>
      </w:r>
    </w:p>
    <w:p>
      <w:pPr>
        <w:spacing w:after="0" w:line="5" w:lineRule="exact"/>
        <w:rPr>
          <w:sz w:val="20"/>
          <w:szCs w:val="20"/>
          <w:color w:val="auto"/>
        </w:rPr>
      </w:pPr>
    </w:p>
    <w:p>
      <w:pPr>
        <w:ind w:firstLine="8"/>
        <w:spacing w:after="0" w:line="323" w:lineRule="auto"/>
        <w:tabs>
          <w:tab w:leader="none" w:pos="198" w:val="left"/>
        </w:tabs>
        <w:numPr>
          <w:ilvl w:val="0"/>
          <w:numId w:val="3"/>
        </w:numPr>
        <w:rPr>
          <w:rFonts w:ascii="Arial" w:cs="Arial" w:eastAsia="Arial" w:hAnsi="Arial"/>
          <w:sz w:val="16"/>
          <w:szCs w:val="16"/>
          <w:color w:val="auto"/>
        </w:rPr>
      </w:pPr>
      <w:r>
        <w:rPr>
          <w:rFonts w:ascii="Arial" w:cs="Arial" w:eastAsia="Arial" w:hAnsi="Arial"/>
          <w:sz w:val="16"/>
          <w:szCs w:val="16"/>
          <w:color w:val="auto"/>
        </w:rPr>
        <w:t>and any Public Shares acquired during or after the Initial Public Offering in favor of approving a Business Combination. Additionally, public stockholders may elect to redeem their Public Shares irrespective of whether they vote for or against the Business Combination.</w:t>
      </w:r>
    </w:p>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Sponsor has agreed (a) to waive its redemption rights with respect to its Founder Shares and the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the Company is unable to complete a Business Combination by August 3, 2022 (or November 3, 2022 if the Company has an executed letter of intent, agreement in principle or definitive agreement for a Business Combination by August 3, 2022) (the “Combination Window”),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Public Warrants, which will expire worthless if the Company fails to complete a Business Combination within the Combination Window.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Initial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7)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funds on deposit in the Trust Account remaining available for distribution will be less than the Initial Public Offering price per Unit of $10.00 in the Initial Public Offering.</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on deposit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that executed a waiver of any and all rights to seek access to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w:t>
      </w:r>
    </w:p>
    <w:p>
      <w:pPr>
        <w:spacing w:after="0" w:line="1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principally financed its operations from inception using proceeds from the sale of its equity securities to its shareholders prior to the Initial Public Offering and such amount of proceeds from the Initial Public Offering that were placed in an account outside of the Trust Account for working capital purposes. As of June 30, 2021, approximately $290,785 of the amount on deposit in the Trust Account represented interest income, which is available to pay the Company's tax obligations and for permitted withdrawals. 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may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 Company believes it will have sufficient cash to meet its needs for a reasonable period of time, which is considered to be one year from the issuance date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Company’s Annual Report on Form 10-K/A for the fiscal year ended December 31, 2020, as filed with the SEC on May 14, 2021. The interim results for the three and six months ended June 30, 2021 are not necessarily indicative of the results to be expected for the year ending December 31, 2021 or for any future periods.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condensed consolidated financial statements include the accounts of the Company and its wholly-owned subsidiary.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as amended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the Company’s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30, 2021 and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and December 31, 2020, substantially all of the assets held in the Trust Account were held in U.S. Treasury Bills. From inception to June 30, 2021, the Company withdrew $450,000 of interest earned on the Trust Account for working capital purposes, of which no amounts were withdrawn during the three and six months ended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conversion options embedded in convertible notes in accordance with ASC 815. ASC 815 generally requires companies to bifurcate conversion options embedded in convertible notes from their host instruments and to account for them as free standing derivative financial instruments.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reviews the terms of convertible debt issued to determine whether there are embedded derivative instruments, including embedded conversion options, which are required to be bifurcated and accounted for separately as derivative financial instruments. In circumstances where the host instrument contains more than one embedded derivative instrument, including the conversion option, that is required to be bifurcated, the bifurcated derivative instruments are accounted for as a single, compound derivative instrument.</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Bifurcated embedded derivatives are initially recorded at fair value and are then revalued at each reporting date with changes in the fair value reported as non-operating income or expense. When the equity or convertible debt instruments contain embedded derivative instruments that are to be bifurcated and accounted for as liabilities, the total proceeds received are first allocated to the fair value of all the bifurcated derivative instruments. The remaining proceeds, if any, are then allocated to the host instruments themselves, usually resulting in those instruments being recorded at a discount from their face value. The discount from the face value of the convertible debt, together with the stated interest on the instrument, is amortized over the life of the instrument through periodic charges to 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accounts for debt and equity issuances as either equity-classified or liability-classified instruments based on an assessment of the instruments specific terms and applicable authoritative guidance in Financial Accounting Standards Board (“FASB”) Accounting Standards Codification (“ASC”) 480, Distinguishing Liabilities from Equity (“ASC 480”) and ASC 815, Derivatives and Hedging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holders could potentially require “net cash settlement” in a circumstance outside of the Company’s control, among other conditions for equity classification. This assessment, which requires the use of professional judgment, is conducted at the time of issuance of the instruments and as of each subsequent quarterly period end date while the instruments are outstanding.</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issued or modified instruments that meet all of the criteria for equity classification, the instruments are required to be recorded as a component of additional paid-in capital at the time of issuance. For issued or modified instruments that do not meet all the criteria for equity classification, the instruments are required to be recorded as a derivative liability at their initial fair value on the date of issuance, and each balance sheet date thereafter. Changes in the estimated fair value of the instruments are recognized as a non-cash gain or loss on the condensed consolidated statements of operations.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its Class A common stock subject to possible redemption in accordance with the guidance in ASC 480. Shares of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issuer’s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Class A common stock subject to possible redemption is presented at redemption value as temporary equity, outside of the stockholders’ equity section of the Company’s condensed consolidated balance sheets.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June 30, 2021 and December 31, 2020, the Company had a deferred tax asset of approximately $1,342,000 and $594,000 respectively, which had a full valuation allowance recorded against it.</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ASC 740 prescribes a recognition threshold and a measurement attribute for the financial statements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currently taxable income primarily consists of interest income on the Trust Account. The Company’s general and administrative costs are generally considered start-up costs and are not currently deductible. During the three and six months ended June 30, 2021, the Company recorded $1,962 of income tax expense. The Company’s effective tax rate for the three and six months ended June 30, 2021 was approximately 0%, which differs from the expected income tax rate primarily due to the permanent differences associated with the change in the fair value of the derivative liabilities and start-up costs (discussed above) which are not currently deductible.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(loss) per share is computed by dividing net income by the weighted-average number of shares of common stock outstanding during the period. The Company has not considered the effect of the warrants sold in the Initial Public Offering and private placement to purchase an aggregate of 84,250,000 shares of common stock in the calculation of diluted loss per share, since the inclusion of such warrants would be anti-dilutive.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statements of operations include a presentation of income (loss) per share for Class A common stock subject to possible redemption in a manner similar to the two-class method of income (loss) per share. Net income (loss) per share, basic and diluted, for Class A common stock subject to possible redemption is calculated by dividing the proportionate share of income or loss on marketable securities held by the Trust Account the weighted average number of Class A common stock subject to possible redemption outstanding since original issuance.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(loss) per share, basic and diluted, for non-redeemable common stock is calculated by dividing the net income (loss), adjusted for income or loss on marketable securities attributable to Class A common stock subject to possible redemption, by the weighted average number of non-redeemable common stock outstanding for the period.</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Non-redeemable common stock includes Founder Shares and non-redeemable shares of common stock as these shares do not have any redemption features. Non-redeemable common stock participates in the income or loss on marketable securities based on non-redeemable shares’ proportionate interest.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calculation of basic and diluted net income (loss) per share (in dollars,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For the 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From April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6"/>
              <w:spacing w:after="0" w:line="149" w:lineRule="exact"/>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Three Months</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Six Months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Ended</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6"/>
              <w:spacing w:after="0" w:line="149" w:lineRule="exact"/>
              <w:rPr>
                <w:sz w:val="20"/>
                <w:szCs w:val="20"/>
                <w:color w:val="auto"/>
              </w:rPr>
            </w:pPr>
            <w:r>
              <w:rPr>
                <w:rFonts w:ascii="Arial" w:cs="Arial" w:eastAsia="Arial" w:hAnsi="Arial"/>
                <w:sz w:val="14"/>
                <w:szCs w:val="14"/>
                <w:color w:val="auto"/>
                <w:w w:val="92"/>
              </w:rPr>
              <w:t>through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June 30,</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June 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6"/>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89"/>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100"/>
              <w:spacing w:after="0" w:line="201" w:lineRule="exact"/>
              <w:rPr>
                <w:sz w:val="20"/>
                <w:szCs w:val="20"/>
                <w:color w:val="auto"/>
              </w:rPr>
            </w:pPr>
            <w:r>
              <w:rPr>
                <w:rFonts w:ascii="Arial" w:cs="Arial" w:eastAsia="Arial" w:hAnsi="Arial"/>
                <w:sz w:val="18"/>
                <w:szCs w:val="18"/>
                <w:color w:val="auto"/>
                <w:w w:val="95"/>
              </w:rPr>
              <w:t>Numerator: Earnings allocable to Class A common stock subject to possible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redemption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204,779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Unrealized gain on investments held in Trust Account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(3,956)</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Company’s portion available to be withdrawn to pay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(23,497)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200"/>
              <w:spacing w:after="0" w:line="201" w:lineRule="exact"/>
              <w:rPr>
                <w:sz w:val="20"/>
                <w:szCs w:val="20"/>
                <w:color w:val="auto"/>
              </w:rPr>
            </w:pPr>
            <w:r>
              <w:rPr>
                <w:rFonts w:ascii="Arial" w:cs="Arial" w:eastAsia="Arial" w:hAnsi="Arial"/>
                <w:sz w:val="18"/>
                <w:szCs w:val="18"/>
                <w:color w:val="auto"/>
              </w:rPr>
              <w:t>Less: Company’s portion available to be withdrawn for working capital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purposes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(75,469)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ind w:left="320"/>
              <w:spacing w:after="0" w:line="182" w:lineRule="exact"/>
              <w:rPr>
                <w:sz w:val="20"/>
                <w:szCs w:val="20"/>
                <w:color w:val="auto"/>
              </w:rPr>
            </w:pPr>
            <w:r>
              <w:rPr>
                <w:rFonts w:ascii="Arial" w:cs="Arial" w:eastAsia="Arial" w:hAnsi="Arial"/>
                <w:sz w:val="18"/>
                <w:szCs w:val="18"/>
                <w:color w:val="auto"/>
              </w:rPr>
              <w:t>Net income allocable to Class A common stock subject to possible</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redemption</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100"/>
              <w:spacing w:after="0" w:line="201" w:lineRule="exact"/>
              <w:rPr>
                <w:sz w:val="20"/>
                <w:szCs w:val="20"/>
                <w:color w:val="auto"/>
              </w:rPr>
            </w:pPr>
            <w:r>
              <w:rPr>
                <w:rFonts w:ascii="Arial" w:cs="Arial" w:eastAsia="Arial" w:hAnsi="Arial"/>
                <w:sz w:val="18"/>
                <w:szCs w:val="18"/>
                <w:color w:val="auto"/>
                <w:w w:val="95"/>
              </w:rPr>
              <w:t>Denominator: Weighted Average Class A common stock subject to possible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redemption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Basic and diluted weighted average shares outstanding, Class A common stock</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subject to possible redemption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207,000,000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201,682,674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100"/>
              <w:spacing w:after="0" w:line="201" w:lineRule="exact"/>
              <w:rPr>
                <w:sz w:val="20"/>
                <w:szCs w:val="20"/>
                <w:color w:val="auto"/>
              </w:rPr>
            </w:pPr>
            <w:r>
              <w:rPr>
                <w:rFonts w:ascii="Arial" w:cs="Arial" w:eastAsia="Arial" w:hAnsi="Arial"/>
                <w:sz w:val="18"/>
                <w:szCs w:val="18"/>
                <w:color w:val="auto"/>
                <w:w w:val="98"/>
              </w:rPr>
              <w:t>Basic and diluted net income per share, Class A common stock subject to</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possible redemption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Non-Redeemable Common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Numerator: Net Loss minus Net Earnings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(588,819,915)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(1,460,618,073)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Less: Income allocable to Class A common stock subject to possible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redemption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Non-Redeemable Net Loss</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(588,819,915)</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(1,460,618,073)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Denominator: Weighted Average Non-redeemable Common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100"/>
              <w:spacing w:after="0" w:line="201" w:lineRule="exact"/>
              <w:rPr>
                <w:sz w:val="20"/>
                <w:szCs w:val="20"/>
                <w:color w:val="auto"/>
              </w:rPr>
            </w:pPr>
            <w:r>
              <w:rPr>
                <w:rFonts w:ascii="Arial" w:cs="Arial" w:eastAsia="Arial" w:hAnsi="Arial"/>
                <w:sz w:val="18"/>
                <w:szCs w:val="18"/>
                <w:color w:val="auto"/>
                <w:w w:val="98"/>
              </w:rPr>
              <w:t>Basic and diluted weighted average shares outstanding, Non-redeemable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51,750,000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58,496,884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 net loss per share, Non-redeemable Common stock</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864"/>
        </w:trPr>
        <w:tc>
          <w:tcPr>
            <w:tcW w:w="5920" w:type="dxa"/>
            <w:vAlign w:val="bottom"/>
            <w:gridSpan w:val="2"/>
          </w:tcPr>
          <w:p>
            <w:pPr>
              <w:jc w:val="right"/>
              <w:ind w:right="7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condensed consolidated balance sheets, primarily due to their short-term nature, except for the Company’s derivative instruments (see Note 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adopted ASU 2020-06 on January 1, 2021. The adoption of ASU 2020-06 did not have an impact on the Company’s financial statements.</w:t>
      </w:r>
    </w:p>
    <w:p>
      <w:pPr>
        <w:spacing w:after="0" w:line="1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PUBLIC OFFERING</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Initial Public Offering, the Company sold 207,000,000 Units, which includes the full exercise by the underwriters of their option to purchase an additional 27,000,000 Units, at $10.00 per Unit. Each Unit consists of one share of Class A common stock and one-fifth of one redeemable warrant (“Public Warrant”). Each whole Public Warrant entitles the holder to purchase one share of Class A common stock at a price of $11.50 per share, subject to adjustment (see Note 8). The Units sold in the Initial Public Offering comprise an aggregate of 207,000,000 shares of Class A common stock and 41,400,000 Public Warrants.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purchased an aggregate of 42,850,000 Private Placement Warrants at a price of $1.00 per Private Placement Warrant, for an aggregate purchase price of $42,850,000. Each Private Placement Warrant is exercisable to purchase one share of Class A common stock at a price of $11.50 per share. The proceeds from the Private Placement Warrants were added to the proceeds from the Initial Public Offering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22, 2020, the Sponsor purchased 21,562,500 shares of the Company’s Class B common stock for an aggregate price of $25,000 (the “Founder Shares” or, individually, a “Founder Share”). On July 14, 2020, the Company effected a stock dividend of one-third of one Founder Shares for each outstanding Founder Share, on July 27, 2020, the Company effected a stock dividend of 0.50 to 1 Founder Share for each outstanding Founder Share and on July 30, 2020, the Company effected a stock dividend of 0.20 to 1 Founder Shares for each outstanding Founder Share, resulting in 51,750,000 Founder Shares being issued and outstanding. All share and per-share amounts have been retroactively restated to reflect the stock dividends. The Founder Shares included an aggregate of up to 6,750,000 shares subject to forfeiture to the extent that the underwriters’ over-allotment option was not exercised in full or in part, so that the Sponsor would own, on an as-converted basis, 20% of the Company’s issued and outstanding shares after the Initial Public Offering. As a result of the underwriters’ election to fully exercise their over-allotment option, 6,750,000 Founder Shares are no longer subject to forfeiture.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Sponsor has agreed, subject to limited exceptions, not to transfer, assign or sell any of its Founder Shares until the earlier to occur of:</w:t>
      </w:r>
    </w:p>
    <w:p>
      <w:pPr>
        <w:spacing w:after="0" w:line="46" w:lineRule="exact"/>
        <w:rPr>
          <w:sz w:val="20"/>
          <w:szCs w:val="20"/>
          <w:color w:val="auto"/>
        </w:rPr>
      </w:pPr>
    </w:p>
    <w:p>
      <w:pPr>
        <w:jc w:val="both"/>
        <w:ind w:firstLine="8"/>
        <w:spacing w:after="0" w:line="270" w:lineRule="auto"/>
        <w:tabs>
          <w:tab w:leader="none" w:pos="306" w:val="left"/>
        </w:tabs>
        <w:numPr>
          <w:ilvl w:val="0"/>
          <w:numId w:val="4"/>
        </w:numPr>
        <w:rPr>
          <w:rFonts w:ascii="Arial" w:cs="Arial" w:eastAsia="Arial" w:hAnsi="Arial"/>
          <w:sz w:val="17"/>
          <w:szCs w:val="17"/>
          <w:color w:val="auto"/>
        </w:rPr>
      </w:pPr>
      <w:r>
        <w:rPr>
          <w:rFonts w:ascii="Arial" w:cs="Arial" w:eastAsia="Arial" w:hAnsi="Arial"/>
          <w:sz w:val="17"/>
          <w:szCs w:val="17"/>
          <w:color w:val="auto"/>
        </w:rPr>
        <w:t>one year after the completion of a Business Combination and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$12.00 per share (as adjusted for stock splits, stock dividends, reorganizations, recapitalizations and the like) for any 20 trading days within any 30-trading day period commencing at least 150 days after a Business Combination, the Founder Shares will be released from the lock-up.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agreement whereby, commencing on July 30, 2020 through the earlier of the Company’s consummation of a Business Combination and its liquidation, the Company will pay an affiliate of the Sponsor a total of $50,000 per month for office space, administrative and support services. For the three and six months ended June 30, 2021, the Company incurred and paid $150,000 and $300,0000 in fees for these services, respectively.</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28, 2021, the Company and the Sponsor amended the agreement relating to administrative and support services to provide that the Company will not be required to pay the $50,000 per month fee under the agreement from and after July 1,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Fee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13, 2020, the Sponsor agreed to loan the Company an aggregate of up to $600,000 to cover expenses related to the Initial Public Offering pursuant to a promissory note (the “Promissory Note”). The Promissory Note was non-interest bearing and payable on the earlier of December 31, 2021 or the completion of the Initial Public Offering. The borrowings outstanding under the note in the amount of $550,000 were repaid upon the consummation of the Initial Public Offering on August 3,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as may be required (the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the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$1.00 per warrant. The warrants would be identical to the Private Placement Warrants.</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22, 2021, the Company entered into a convertible promissory note with the Sponsor pursuant to which the Sponsor agreed to loan the Company up to an aggregate principal amount of $1,500,000 (the “Convertible Promissory Note”). The Convertible Promissory Note is non-interest bearing and payable on the earlier of the date on which the Company consummates a Business Combination or the date that the winding up of the Company is effective. If the Company does not consummate a Business Combination, the Company may use a portion of any funds held outside the Trust Account to repay the Promissory Note; however, no proceeds from the Trust Account may be used for such repayment. Up to $1,500,000 of the Convertible Promissory Note may be converted into warrants at a price of $1.00 per warrant at the option of the Sponsor. The warrants would be identical to the Private Placement Warrants. As of June 30, 2021, the outstanding balance under the Convertible Promissory Note amounted to an aggregate of $1,500,000.</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assessed the provisions of the Convertible Promissory Note under ASC 470-20. The derivative component of the obligation is initially valued and classified as a derivative liability. The excess of the fair value of the derivative liability over the principal in the amount of $56,191,636 was recorded as interest expense in the accompanying condensed statements of operations. The conversion option was valued using the Black-Scholes option pricing formula, which is considered to be a Level 3 fair value measurement and based on the following assumptions (see Note 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February 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2"/>
                <w:szCs w:val="12"/>
                <w:color w:val="auto"/>
              </w:rPr>
            </w:pPr>
          </w:p>
        </w:tc>
        <w:tc>
          <w:tcPr>
            <w:tcW w:w="1080" w:type="dxa"/>
            <w:vAlign w:val="bottom"/>
            <w:gridSpan w:val="3"/>
            <w:vMerge w:val="restart"/>
          </w:tcPr>
          <w:p>
            <w:pPr>
              <w:jc w:val="right"/>
              <w:ind w:right="33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Measurement)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Underlying warrant value</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Exercise price</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Holding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Risk-free rate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0.04 %</w:t>
            </w:r>
          </w:p>
        </w:tc>
        <w:tc>
          <w:tcPr>
            <w:tcW w:w="1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0.03 %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125 %</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Dividend yield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0.0 %</w:t>
            </w:r>
          </w:p>
        </w:tc>
        <w:tc>
          <w:tcPr>
            <w:tcW w:w="1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60" w:type="dxa"/>
            <w:vAlign w:val="bottom"/>
            <w:gridSpan w:val="2"/>
          </w:tcPr>
          <w:p>
            <w:pPr>
              <w:spacing w:after="0"/>
              <w:rPr>
                <w:sz w:val="20"/>
                <w:szCs w:val="20"/>
                <w:color w:val="auto"/>
              </w:rPr>
            </w:pPr>
            <w:r>
              <w:rPr>
                <w:rFonts w:ascii="Arial" w:cs="Arial" w:eastAsia="Arial" w:hAnsi="Arial"/>
                <w:sz w:val="18"/>
                <w:szCs w:val="18"/>
                <w:color w:val="auto"/>
                <w:w w:val="92"/>
              </w:rPr>
              <w:t>The following table presents the change in the fair value of conversion option liability:</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Initial measurement on February 22, 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57,691,636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(40,517,598)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Fair value as of March 31, 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17,174,038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13,220,756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gridSpan w:val="2"/>
          </w:tcPr>
          <w:p>
            <w:pPr>
              <w:spacing w:after="0"/>
              <w:rPr>
                <w:sz w:val="20"/>
                <w:szCs w:val="20"/>
                <w:color w:val="auto"/>
              </w:rPr>
            </w:pPr>
            <w:r>
              <w:rPr>
                <w:rFonts w:ascii="Arial" w:cs="Arial" w:eastAsia="Arial" w:hAnsi="Arial"/>
                <w:sz w:val="18"/>
                <w:szCs w:val="18"/>
                <w:color w:val="auto"/>
              </w:rPr>
              <w:t>Fair value as of June 30, 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30,394,794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debt discount is being amortized to interest expense as a non-cash charge over the term of the Convertible Promissory Note, which is assumed to be July 2021, the Company's expected Business Combination date. During the three and six months ended June 30, 2021, the Company recorded $900,000 and $1,200,000 of interest expense related to the amortization of the debt discount, respectively. The remaining balance of the debt discount at June 30, 2021 amounted to $300,000.</w:t>
      </w:r>
    </w:p>
    <w:p>
      <w:pPr>
        <w:sectPr>
          <w:pgSz w:w="11900" w:h="16838" w:orient="portrait"/>
          <w:cols w:equalWidth="0" w:num="1">
            <w:col w:w="9920"/>
          </w:cols>
          <w:pgMar w:left="980" w:top="665"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Lucid Merger Agreement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22, 2021, we entered into a Merger Agreement with Merger Sub and Lucid (the “Merger Agreement”), relating to a proposed business combination transaction between us and Lucid.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Merger Agreement, Merger Sub will merge with and into Lucid with Lucid being the surviving entity in the merger.</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consideration to be paid to the shareholders of Lucid will be equal to (a) $11,750,000,000 plus (b) (i) all cash and cash equivalents of Lucid and its subsidiaries less (ii) all indebtedness for borrowed money of Lucid and its subsidiaries, in each case as of two business days prior to the closing date. The consideration to the shareholders of Lucid will be paid entirely in shares of Class A common stock, par value $0.0001 per share, of the Company in an amount equal to $10.00 per share.</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execution of the Merger Agreement and in order to raise additional proceeds to fund the transactions contemplated therein, the Company entered into the PIPE Subscription Agreements with certain investment funds (“PIPE Investors”). Pursuant to the terms of the PIPE Subscription Agreements, the Company has agreed to issue and sell to the PIPE Investors and the PIPE Investors have agreed to buy 166,666,667 shares of Churchill's Class A common stock at a purchase price of $15.00 per share for an aggregate commitment of $2,500,000,005 (the “PIPE Investment”). The closing of the PIPE Investment is conditioned on all conditions set forth in the Merger Agreement having been satisfied or waived and other customary closing conditions, and the Transactions will be consummated immediately following the closing of the PIPE Investment. The PIPE Subscription Agreements will terminate upon the earlier to occur of (i) the termination of the Merger Agreement and (ii) the mutual written agreement of the parties thereto.</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22, 2021, the Company entered into a Voting and Support Agreement with certain of the PIPE Investors owning 204,148,825 shares of Lucid Series D preferred stock and 113,877,589 shares of Lucid Series E preferred stock as of the date of such agreement. Pursuant to the Voting and Support Agreement, such PIPE Investors agreed to vote all of such shares in favor of the adoption and approval of the Merger Agreement and related matters, agreements and transactions as specified in the Voting and Support Agreement, and in opposition to any Acquisition Transaction (as defined in the Merger Agreement) and any and all other proposals that could reasonably be expected to delay, impair, prevent, interfere with, postpone or impede the consummation of the transactions contemplated by the Merger Agreement as specified in the Voting and Support Agreement. The Voting and Support Agreement will automatically terminate upon the earliest of (i) the effective time, (ii) the date of termination of the Merger Agreement in accordance with its terms prior to the effective time of the transactions, (iii) the mutual written consent of the Company and the applicable PIPE Investors and (iv) the time of any modification, amendment or waiver of the Merger Agreement or any other transaction agreement without certain PIPE Investors' consent.</w:t>
      </w:r>
    </w:p>
    <w:p>
      <w:pPr>
        <w:spacing w:after="0" w:line="15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20, 2021, the Company entered into a transactional support agreement with a service provider, pursuant to which the service provider agreed to render certain financial advisory and capital markets advisory services for a potential Business Combination. The Company agreed to pay the service provider a fee of (i) $6,000,000, which is payable upon the consummation of a Business Combination, (ii) $500,000, which is payable upon consummation of the financing and (iii) out-of-pocket expenses not to exceed $125,000 without prior approval. The fee will not be payable in the event the Company does not consummate a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a registration rights agreement entered into on July 29, 2020, 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rights to require the Company to register for resale such securities pursuant to Rule 415 under the Securities Act. The Company will bear the expenses incurred in connection with the filing of any such registration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underwriters are entitled to a deferred fee of $0.35 per Unit, or $72,450,000 in the aggregate. The deferred fee will be waived by the underwriters in the event that the Company does not complete a Business Combination, subject to the terms of the underwriting agreement. The underwriters waived the upfront underwriting discount on 19,982,000 Units, resulting in a reduction of the upfront underwriting discount of $3,996,400. In addition, the underwriters reimbursed the Company an aggregate of $1,000,000 for costs incurred in connection with the Initial Public Offering.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 Company incurred legal fees of $6,487,154. These fees were paid on July 23, 2021 at consummation of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Fees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the company incurred due diligence fees of $1,499,780. These fees were paid on July 23, 2021 at consummation of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is authorized to issue 1,000,000 shares of preferred stock with a par value of $0.0001 per share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designations, voting and other rights and preferences as may be determined from time to time by the Company’s board of directors. As of June 30, 2021 and December 31, 2020, there were no shares of preferred stock issued or outstanding.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400,000,000 shares of Class A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of Class A common stock are entitled to one vote for each share. As of June 30, 2021, there were no shares of Class A common stock issued and outstanding, excluding 207,000,000 shares of Class A common stock subject to possible redemption. As of December 31, 2020, there were 21,656,223 shares of Class A common stock issued and outstanding, excluding 185,343,777 shares of Class A common stock subject to possible redemption.</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determined the common stock subject to redemption to be equal to the redemption value of approximately $10.00 per share of common stock while also taking into consideration a redemption cannot result in net tangible assets being less than $5,000,001. Upon considering the impact of the PIPE Investment and associated PIPE Subscription Agreements, it was concluded that the redemption value should include all the Public Shares resulting in the common stock subject to possible redemption being equal to $2,070,000,000. This resulted in a measurement adjustment to the initial carrying value of the common stock subject to redemption with the offset recorded to additional paid-in capital and accumulated deficit.</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100,000,000 shares of Class B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of Class B common stock are entitled to one vote for each share. As of June 30, 2021 and December 31, 2020, there were 51,750,000 shares of Class B common stock issued and outstanding.</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 LIABILITY</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become exercisable, the Company may redeem the Public Warrants:</w:t>
      </w:r>
    </w:p>
    <w:p>
      <w:pPr>
        <w:spacing w:after="0" w:line="18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84"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Public Warrant holder; and</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Public Warrant holders.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Public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 If the Company is unable to complete a Business Combination within the Combination Window and the Company liquidates the funds held in the Trust Account, holders of the Public Warrants will not receive any of such funds with respect to their Public Warrants, nor will they receive any distribution from the Company’s assets held outside of the Trust Account with the respect to such Public Warrants. Accordingly, the warrants may expire worthless.</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54" w:lineRule="exact"/>
        <w:rPr>
          <w:sz w:val="20"/>
          <w:szCs w:val="20"/>
          <w:color w:val="auto"/>
        </w:rPr>
      </w:pPr>
    </w:p>
    <w:p>
      <w:pPr>
        <w:jc w:val="both"/>
        <w:ind w:left="980" w:hanging="647"/>
        <w:spacing w:after="0" w:line="263"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3" w:lineRule="exact"/>
        <w:rPr>
          <w:sz w:val="20"/>
          <w:szCs w:val="20"/>
          <w:color w:val="auto"/>
        </w:rPr>
      </w:pPr>
    </w:p>
    <w:p>
      <w:pPr>
        <w:jc w:val="both"/>
        <w:ind w:left="980" w:right="20" w:hanging="647"/>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30" w:lineRule="exact"/>
        <w:rPr>
          <w:sz w:val="20"/>
          <w:szCs w:val="20"/>
          <w:color w:val="auto"/>
        </w:rPr>
      </w:pPr>
    </w:p>
    <w:p>
      <w:pPr>
        <w:jc w:val="both"/>
        <w:ind w:left="980" w:right="20" w:hanging="647"/>
        <w:spacing w:after="0" w:line="277" w:lineRule="auto"/>
        <w:rPr>
          <w:sz w:val="20"/>
          <w:szCs w:val="20"/>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June 30, 2021 and December 31, 2020 and indicates the fair value hierarchy of the valuation inputs the Company utilized to determine such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30,</w:t>
            </w:r>
          </w:p>
        </w:tc>
        <w:tc>
          <w:tcPr>
            <w:tcW w:w="1260" w:type="dxa"/>
            <w:vAlign w:val="bottom"/>
          </w:tcPr>
          <w:p>
            <w:pPr>
              <w:jc w:val="right"/>
              <w:ind w:right="11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4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rPr>
              <w:t>Level</w:t>
            </w:r>
          </w:p>
        </w:tc>
        <w:tc>
          <w:tcPr>
            <w:tcW w:w="1240" w:type="dxa"/>
            <w:vAlign w:val="bottom"/>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260" w:type="dxa"/>
            <w:vAlign w:val="bottom"/>
          </w:tcPr>
          <w:p>
            <w:pPr>
              <w:jc w:val="right"/>
              <w:ind w:right="396"/>
              <w:spacing w:after="0"/>
              <w:rPr>
                <w:sz w:val="20"/>
                <w:szCs w:val="20"/>
                <w:color w:val="auto"/>
              </w:rPr>
            </w:pPr>
            <w:r>
              <w:rPr>
                <w:rFonts w:ascii="Arial" w:cs="Arial" w:eastAsia="Arial" w:hAnsi="Arial"/>
                <w:sz w:val="14"/>
                <w:szCs w:val="14"/>
                <w:b w:val="1"/>
                <w:bCs w:val="1"/>
                <w:color w:val="auto"/>
              </w:rPr>
              <w:t>2020</w:t>
            </w:r>
          </w:p>
        </w:tc>
      </w:tr>
      <w:tr>
        <w:trPr>
          <w:trHeight w:val="209"/>
        </w:trPr>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89"/>
              </w:rPr>
              <w:t>$ 2,070,290,785</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w w:val="90"/>
              </w:rPr>
              <w:t>$ 2,070,086,006</w:t>
            </w: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Warrant liability – Public Warrants</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658,260,000</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62,928,000</w:t>
            </w: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910,991,000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79,272,500</w:t>
            </w: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Conversion option liability</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30,394,794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derivative instruments were accounted for as liabilities in accordance with ASC 815-40 and are measured at fair value at inception and on a recurring basis, with changes in fair value recorded in the condensed consolidated statements of operations.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Private Placement Warrants were valued using a modified Black Scholes model, which is considered to be a Level 3 fair value measurement. Subsequent to the Public Warrants detachment from the Units, the Public Warrants are valued based on quoted market price, under ticker CCIV.WS, which is a Level 1 fair value.</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March 31, 2021 and December 31, 2020, the estimated fair value of the Private Placement Warrants was determined using a Black-Scholes valuation and based on the following significant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June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5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Stock price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28.82</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23.18</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10.01</w:t>
            </w:r>
          </w:p>
        </w:tc>
        <w:tc>
          <w:tcPr>
            <w:tcW w:w="16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76.52 %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Probability of completing a Business Combination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95 %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90 %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80 %</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Risk-free rate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0.88 %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0.97 %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0.50 %</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0.0 %</w:t>
            </w:r>
          </w:p>
        </w:tc>
      </w:tr>
      <w:tr>
        <w:trPr>
          <w:trHeight w:val="432"/>
        </w:trPr>
        <w:tc>
          <w:tcPr>
            <w:tcW w:w="6560" w:type="dxa"/>
            <w:vAlign w:val="bottom"/>
          </w:tcPr>
          <w:p>
            <w:pPr>
              <w:spacing w:after="0"/>
              <w:rPr>
                <w:sz w:val="20"/>
                <w:szCs w:val="20"/>
                <w:color w:val="auto"/>
              </w:rPr>
            </w:pPr>
            <w:r>
              <w:rPr>
                <w:rFonts w:ascii="Arial" w:cs="Arial" w:eastAsia="Arial" w:hAnsi="Arial"/>
                <w:sz w:val="18"/>
                <w:szCs w:val="18"/>
                <w:color w:val="auto"/>
                <w:w w:val="92"/>
              </w:rPr>
              <w:t>The following table presents the changes in the fair value of the Level 3 warrant liabilities: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9"/>
        </w:trPr>
        <w:tc>
          <w:tcPr>
            <w:tcW w:w="6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color w:val="auto"/>
                <w:w w:val="96"/>
              </w:rPr>
              <w:t>Private</w:t>
            </w:r>
          </w:p>
        </w:tc>
      </w:tr>
      <w:tr>
        <w:trPr>
          <w:trHeight w:val="148"/>
        </w:trPr>
        <w:tc>
          <w:tcPr>
            <w:tcW w:w="6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7"/>
              </w:rPr>
              <w:t>Placement</w:t>
            </w:r>
          </w:p>
        </w:tc>
      </w:tr>
      <w:tr>
        <w:trPr>
          <w:trHeight w:val="167"/>
        </w:trPr>
        <w:tc>
          <w:tcPr>
            <w:tcW w:w="65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color w:val="auto"/>
                <w:w w:val="87"/>
              </w:rPr>
              <w:t>Warrants</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January 1, 2021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79,272,500</w:t>
            </w: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7"/>
              </w:rPr>
              <w:t>454,210,000</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533,482,500</w:t>
            </w: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7"/>
              </w:rPr>
              <w:t>377,508,500</w:t>
            </w:r>
          </w:p>
        </w:tc>
      </w:tr>
      <w:tr>
        <w:trPr>
          <w:trHeight w:val="210"/>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June 30, 2021</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910,991,000</w:t>
            </w:r>
          </w:p>
        </w:tc>
      </w:tr>
      <w:tr>
        <w:trPr>
          <w:trHeight w:val="20"/>
        </w:trPr>
        <w:tc>
          <w:tcPr>
            <w:tcW w:w="6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0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Company’s management has evaluated subsequent events and transactions that occurred after the balance sheet date up to the date that the condensed consolidated financial statements were issued. Based upon this review, except as described below, the Company did not identify any subsequent events that would have required adjustment or disclosure in the condensed consolidated financial statements.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23, 2021, the Company and Lucid consummated the closing of the transactions contemplated by the Merger Agreements (see Note 6).</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References in this Quarterly Report on Form 10-Q (the “Quarterly Report”) to “we,” “us” or the “Company” refer to Churchill Capital Corp IV, our predecessor, and its consolidated subsidiaries. References to our “management” or our “management team” refer to our officers and directors, and references to the “Sponsor” refer to Churchill Sponsor IV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completion of the Business Combination,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including that the conditions of the Business Combination are not satisfied. For information identifying important factors that could cause actual results to differ materially from those anticipated in the forward-looking statements, please refer to the “Risk Factors” section of this Quarterly Report.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blank check company formed under the laws of the State of Delaware on for the purpose of effecting a merger, share exchange, asset acquisition, stock purchase, recapitalization, reorganization or other similar business combination with one or more businesses or entities. We intend to effectuate our Business Combination using cash from the proceeds of the Initial Public Offering and the sale of the Private Placement Warrants, our capital stock, debt or a combination of cash, stock and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continue to incur significant costs in the pursuit of our acquisition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22, 2021, we entered into a Merger Agreement with Merger Sub and Lucid (the “Merger Agreement”), relating to a proposed business combination transaction between us and Lucid.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Merger Agreement, Merger Sub will merge with and into Lucid with Lucid being the surviving entity in the merger.</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consideration to be paid to the shareholders of Lucid will be equal to (a) $11,750,000,000 plus (b) (i) all cash and cash equivalents of Lucid and its subsidiaries less (ii) all indebtedness for borrowed money of Lucid and its subsidiaries, in each case as of two business days prior to the closing date. The consideration to the shareholders of Lucid will be paid entirely in shares of Class A common stock, par value $0.0001 per share, of the Company in an amount equal to $10.00 per share.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execution of the Merger Agreement and in order to raise additional proceeds to fund the transactions contemplated therein, the Company entered into the PIPE Subscription Agreements with certain investment funds (“PIPE Investors”). Pursuant to the terms of the PIPE Subscription Agreements, the Company has agreed to issue and sell to the PIPE Investors and the PIPE Investors have agreed to buy 166,666,667 shares of Churchill's Class A common stock at a purchase price of $15.00 per share for an aggregate commitment of $2,500,000,005 (the “PIPE Investment”). The closing of the PIPE Investment is conditioned on all conditions set forth in the Merger Agreement having been satisfied or waived and other customary closing conditions, and the Transactions will be consummated immediately following the closing of the PIPE Investment. The PIPE Subscription Agreements will terminate upon the earlier to occur of (i) the termination of the Merger Agreement and (ii) the mutual written agreement of the parties thereto.</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22, 2021, the Company entered into a Voting and Support Agreement with certain of the PIPE Investors owning 204,148,825 shares of Lucid Series D preferred stock and 113,877,589 shares of Lucid Series E preferred stock as of the date of such agreement. Pursuant to the Voting and Support Agreement, such PIPE Investors agreed to vote all of such shares in favor of the adoption and approval of the Merger Agreement and related matters, agreements and transactions, and in opposition to any Acquisition Transaction (as defined in the Merger Agreement) and any and all other proposals that could reasonably be expected to delay, impair, prevent, interfere with, postpone or impede the consummation of the transactions contemplated by the Merger Agreement. The Voting and Support Agreement will automatically terminate upon the earliest of (i) the effective time, (ii) the date of termination of the Merger Agreement in accordance with its terms prior to the effective time of the transactions, (iii) the mutual written consent of the Company and the applicable PIPE Investors and (iv) the time of any modification, amendment or waiver of the Merger Agreement or any other transaction agreement without certain PIPE Investors' consent.</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20, 2021, we entered into a transactional support agreement with a service provider, pursuant to which the service provider agreed to render certain financial advisory and capital markets advisory services for a potential Business Combination. We agreed to pay the service provider a fee of (i) $6,000,000, which is payable upon the consummation of a Business Combination, (ii) $500,000, which is payable upon consummation of the financing and (iii) out-of-pocket expenses not to exceed $125,000 without prior approval.</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22, 2021, we entered into a convertible promissory note with the Sponsor pursuant to which the Sponsor agreed to loan us up to an aggregate principal amount of $1,500,000 (the “Convertible Promissory Note”). The Convertible Promissory Note is non-interest bearing and payable on the earlier of (i) the date of which we consummate a Business Combination or (ii) the date that the winding up of the Company. If we do not consummate a Business Combination, we may use a portion of any funds held outside the Trust Account to repay the Convertible Promissory Note; however, no proceeds from the Trust Account may be used for such repayment. Up to $1,500,000 of the Convertible Promissory Note may be converted into warrants at a price of $1.00 per warrant at the option of the Sponsor. The warrants would be identical to the Private Placement Warrants. We borrowed an aggregate of $1,500,000 on February 22,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On July 23, 2021, the Company and Lucid consummated the Business Combination.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June 30, 2021 were organizational activities, those necessary to prepare for the Initial Public Offering, identifying a target for our Business Combination, and activities in connection with the proposed acquisition of Lucid.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June 30, 2021, we had a net loss of $588,819,915, which consists of operating costs of $562,194, change in the fair value of derivative liabilities of $587,379,256, a non-cash charge to interest expense associated with the amortization of the debt discount of $900,000 a provision for income taxes of $1,962 and unrealized loss on marketable securities held in our Trust Account of $3,956, offset by interest income on marketable securities held in the Trust Account of $27,453.</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2021, we had a net loss of $1,460,618,073, which consists of operating costs of $3,652,018, change in the fair value of derivative liabilities of $1,399,753,658, interest expense - excess fair value of conversion liability of $56,191,636, a non-cash charge to interest expense associated with the amortization of the debt discount of $1,200,000 and a provision for income taxes of $25,540, offset by interest income on marketable securities held in the Trust Account of $204,779.</w:t>
      </w:r>
    </w:p>
    <w:p>
      <w:pPr>
        <w:sectPr>
          <w:pgSz w:w="11900" w:h="16838" w:orient="portrait"/>
          <w:cols w:equalWidth="0" w:num="1">
            <w:col w:w="9920"/>
          </w:cols>
          <w:pgMar w:left="980" w:top="665"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period from April 30, 2020 (inception) through June 30, 2020, we had a net loss of $1,000 which consisted of formation and operational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 2020, we consummated the Initial Public Offering of 207,000,000 Units, which includes the full exercise by the underwriters of the over-allotment option, at $10.00 per unit, generating gross proceeds of $2,070,000,000. Simultaneously with the closing of the Initial Public Offering, we consummated the sale of 42,850,000 Private Placement Warrants to the Sponsor at a price of $1.00 per warrant, generating gross proceeds of $42,850,000.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Placement Warrants, a total of $2,070,000,000 was placed in the Trust Account. We incurred $109,714,885 in transaction costs, including $36,403,600 of underwriting fees, $72,450,000 of deferred underwriting fees and $861,285 of other costs.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six months ended June 30, 2021, cash used in operating activities was $4,092,698. Net loss of $1,460,618,073 was affected by a change in the fair value of derivative liabilities of $1,399,753,658, interest expense - excess fair value of conversion liability of $56,191,636, a non-cash charge to interest expense associated with the amortization of the debt discount of $1,200,000, interest income on marketable securities held in the Trust Account of $204,779 and changes in operating assets and liabilities which used $415,140 of cash from operating activities.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from April 30, 2020 (inception) through June 30, 2020, cash used in operating activities was $0. Net loss of $1,000 was affected by changes in operating assets and liabilities of $1,000.</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June 30, 2021, we had cash and marketable securities held in the trust account of $2,070,290,785. We intend to use substantially all of the funds held in the Trust Account, including any amounts representing interest earned on the Trust Account (less permitted withdrawals, deferred underwriting commissions and income taxes payable), to complete our Business Combination. We may withdraw interest for working capital requirement and to pay franchise and income taxes. Through June 30, 2021, we withdrew $450,000 of interest earned on the Trust Account for working capital purpose, of which no amounts were withdrawn during the three and six months ended June 30, 2021.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June 30, 2021, we had cash of $1,000,159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a Business Combination, the initial stockholders or their affiliates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$1.00 per warrant at the option of the lender.</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22, 2021, we entered into the Convertible Promissory Note. The Convertible Promissory Note is non-interest bearing and payable on the earlier of (i) the date of which we consummate a Business Combination or (ii) the date that the winding up of the Company. If we do not consummate a Business Combination, we may use a portion of any funds held outside the Trust Account to repay the Convertible Promissory Note; however, no proceeds from the Trust Account may be used for such repayment. Up to $1,500,000 of the Convertible Promissory Note may be converted into warrants at a price of $1.00 per warrant at the option of the Sponsor. The warrants would be identical to the Private Placement Warrants. We borrowed an aggregate of $1,500,000 on February 22, 2021.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monitor the adequacy of our working capital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If we are unable to complete our initial Business Combination because we do not have sufficient funds available to us, we will be forced to cease operations and liquidate the Trust Account.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consummation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June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an affiliate of the Sponsor a monthly fee of $50,000 for office space, administrative and support services to the Company. We began incurring these fees on July 30, 2020 and will continue to incur these fees monthly until the earlier of the completion of the Business Combination and our liquidation.</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underwriters are entitled to a deferred fee of $72,450,000 in the aggregate. The deferred fee will be waived by the underwriters in the event that we do not complete a Business Combination, subject to the terms of the underwriting agreement. The underwriters waived the upfront underwriting discount on 19,982,000 Units, resulting in a reduction of the upfront underwriting discount of $3,996,400. In addition, the underwriters reimbursed us an aggregate of $1,000,000 for costs incurred in connection with the Initial Public Offering.</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22, 2021, we entered into the Convertible Promissory Note. The Convertible Promissory Note is non-interest bearing and payable on the earlier of (i) the date of which we consummate a Business Combination or (ii) the date that the winding up of the Company. If we do not consummate a Business Combination, we may use a portion of any funds held outside the Trust Account to repay the Convertible Promissory Note; however, no proceeds from the Trust Account may be used for such repayment. Up to $1,500,000 of the Convertible Promissory Note may be converted into warrants at a price of $1.00 per warrant at the option of the Sponsor. The warrants would be identical to the Private Placement Warrants. We borrowed an aggregate of $1,500,000 on February 22,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conversion options embedded in convertible notes in accordance with ASC 815. ASC 815 generally requires companies to bifurcate conversion options embedded in convertible notes from their host instruments and to account for them as free standing derivative financial instruments.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reviews the terms of convertible debt issued to determine whether there are embedded derivative instruments, including embedded conversion options, which are required to be bifurcated and accounted for separately as derivative financial instruments. In circumstances where the host instrument contains more than one embedded derivative instrument, including the conversion option, that is required to be bifurcated, the bifurcated derivative instruments are accounted for as a single, compound derivative instrument.</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Bifurcated embedded derivatives are initially recorded at fair value and are then revalued at each reporting date with changes in the fair value reported as non-operating income or expense. When the equity or convertible debt instruments contain embedded derivative instruments that are to be bifurcated and accounted for as liabilities, the total proceeds received are first allocated to the fair value of all the bifurcated derivative instruments. The remaining proceeds, if any, are then allocated to the host instruments themselves, usually resulting in those instruments being recorded at a discount from their face value. The discount from the face value of the convertible debt, together with the stated interest on the instrument, is amortized over the life of the instrument through periodic charges to 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account for debt and equity issuances as either equity-classified or liability-classified instruments based on an assessment of the instruments specific terms and applicable authoritative guidance in Financial Accounting Standards Board (“FASB”) Accounting Standards Codification (“ASC”) 480, Distinguishing Liabilities from Equity (“ASC 480”) and ASC 815, Derivatives and Hedging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our own common stock and whether the holders could potentially require “net cash settlement” in a circumstance outside of our control, among other conditions for equity classification. This assessment, which requires the use of professional judgment, is conducted at the time of issuance of the instruments and as of each subsequent quarterly period end date while the instruments are outstanding.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issued or modified instruments that meet all of the criteria for equity classification, the instruments are required to be recorded as a component of additional paid-in capital at the time of issuance. For issued or modified instruments that do not meet all the criteria for equity classification, the instruments are required to be recorded as a derivative liability at their initial fair value on the date of issuance, and each balance sheet date thereafter. Changes in the estimated fair value of the instruments are recognized as a non-cash gain or loss on the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our Class A common stock subject to possible conversion in accordance with the guidance in ASC 480. Shares of Class A common stock subject to mandatory redemption is classified as a liability instrument and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Class A common stock features certain redemption rights that are considered to be outside of our control and subject to occurrence of uncertain future events. Accordingly, Class A common stock subject to possible redemption is presented at redemption value as temporary equity, outside of the stockholders’ equity section of our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Share of Common Stock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(loss) per share, basic and diluted for Class A redeemable common stock is calculated by dividing the interest income earned on the Trust Account, net of applicable taxes, by the weighted average number of shares of Class A redeemable common stock outstanding for the period. Net loss per share, basic and diluted for non-redeemable common stock is calculated by dividing net loss less income attributable to Class A redeemable common stock, by the weighted average number of shares of non-redeemable common stock outstanding for the period presented.</w:t>
      </w:r>
    </w:p>
    <w:p>
      <w:pPr>
        <w:sectPr>
          <w:pgSz w:w="11900" w:h="16838" w:orient="portrait"/>
          <w:cols w:equalWidth="0" w:num="1">
            <w:col w:w="9920"/>
          </w:cols>
          <w:pgMar w:left="980" w:top="66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We adopted ASU 2020-06 on January 1, 2021. The adoption of ASU 2020-06 did not have an impact on our financial statements.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if currently adopted, would have a material effect on our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Prior to the closing of the Business Combination, we invested the funds held in the Trust Account in money market funds meeting certain conditions under Rule 2a-7 under the Investment Company Act, which invest solely in United States Treasuries. Due to the short-term nature of the money market fund's investments, we do not believe that there was an associated material exposure to interest rate risk.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Background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warrant agreement governing the Company’s warrants includes a provision that provides for potential changes to the settlement amounts dependent on the characteristics of the holder of the warrant. Upon review of the statement,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previously classified the public warrants and private placement warrants issued in connection with the Company’s initial public offering (the “Warrants”) as equity instruments. Upon further consideration of the rules and guidance, management of the Company concluded that the Warrants are precluded from equity classification. As a result, the Warrants should be recorded as liabilities on the balance sheet and measured at fair value at inception and on a recurring basis in accordance with ASC 820, Fair Value Measurement, with changes in fair value recognized in the statements of operations.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14, 2021, the Company's management and the Audit Committee of the Company's board of directors, after consultation with management and a discussion with Marcum LLP, the Company's independent registered public accounting firm, concluded that its financial statements for the year-ended December 31, 2020; as of August 3, 2020; for the period from April 30, 2020 (inception) through December 31, 2020; and as of and for the period ended September 30, 2020 should no longer be relied upon based on the correction of an error as described above and such financial statements were restated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June 30, 2021, as such term is defined in Rules 13a-15(e) and 15d-15(e) under the Exchange Act. Based upon that evaluation, our principal executive officer and principal financial and accounting officer concluded that, solely due to the Company’s restatement of its financial statements to reclassify the Company’s warrants as described in the Amended Annual Report on Form 10-K/A filed on May 13, 2021, a material weakness existed and our disclosure controls and procedures were not effective as of June 30, 2021. In light of this material weakness, we performed additional analysis as deemed necessary to ensure that our unaudited interim financial statements were prepared in accordance with U.S. generally accepted accounting principles. Accordingly, management believes that the financial statements included in this Quarterly Report present fairly in all material respects our financial position, results of operations and cash flows for the period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June 30, 2021 covered by this Quarterly Report that has materially affected, or is reasonably likely to materially affect, our internal control over financial reporting, other than as described herein. Management has implemented remediation steps to address the material weakness and to improve our internal control over financial reporting. Specifically, we enhanced the supervisory review of accounting procedures in this financial reporting area and expanded and improved our review process for complex securities and related accounting standards. As of June 30, 2021, this had not been fully remediated.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8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Section 102(b)(1) of the Jumpstart Our Business Startups Act of 2012 (the “JOBS Act”) exempts “emerging growth companies” as defined in Section 2(A) of the Securities Act of 1933, as amended,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and have elected to take advantage of the benefits of this extended transition period.</w:t>
      </w:r>
    </w:p>
    <w:p>
      <w:pPr>
        <w:spacing w:after="0" w:line="13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will use this extended transition period for complying with new or revised accounting standards that have different effective dates for public business entities and non-public business entities until the earlier of the date we (a) are no longer an emerging growth company or (b) affirmatively and irrevocably opt out of the extended transition period provided in the JOBS Act. The extended transition period exemptions afforded by our emerging growth company status may make it difficult or impossible to compare our financial results with the financial results of another public company that is either not an emerging growth company or is an emerging growth company that has chosen not to take advantage of this exemption because of the potential differences in accounting standards used.</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remain an “emerging growth company” under the JOBS Act until the earliest of (a) the last day of our first fiscal year following the fifth anniversary of our initial public offering, (b) the last date of our fiscal year in which we have total annual gross revenue of at least $1.07 billion, (c) the last date of our fiscal year in which we are deemed to be a “large accelerated filer” under the rules of the SEC with at least $700.0 million of outstanding securities held by non-affiliates or (d) the date on which we have issued more than $1.0 billion in non- convertible debt securities during the previous three years. We expect that we will cease to be an emerging growth company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On March 3, 2021, Richard Hofman, a purported stockholder of the Company, filed a complaint, individually and on behalf of other Company stockholders, in the Superior Court of the State of California against the Company, Lucid, and other unnamed defendants. The complaint alleged claims for fraud, negligent misrepresentation, and false advertising and unfair business practices in connection with allegedly false and misleading statements and omissions in the Company’s public filings, concerning the proposed merger between the Company and Lucid. The complaint sought injunctive relief, as well as compensatory and punitive damages. On March 8, 2021, plaintiff filed an ex parte application for a temporary restraining order and preliminary injunction, which the Company opposed and the court denied on March 10, 2021. Plaintiff filed an amended complaint on March 22, 2021, solely in a personal capacity and not on behalf of any other Company stockholders. The amended complaint alleges claims for fraud against defendants Lucid and Peter Rawlinson, and negligent misrepresentation against the Company, Lucid, and Mr. Rawlinson. The amended complaint seeks compensatory and punitive damages. On June 7, 2021, the plaintiff filed a notice voluntarily dismissing the action without prejudice.</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April 18, 2021, four actions asserting claims under the federal securities laws have been filed in federal courts in Alabama, California, New Jersey and Indiana, including two putative class actions: Randy Phillips v. Churchill Capital Corporation IV, et al., 1:21-cv-00539-ACA (N.D. Ala., filed Apr. 18, 2021); Arec D. Simeri v. Churchill Capital Corporation IV, et al., 2:21-cv-04295 (C.D. Cal., filed May 24, 2021); Chris Arico v. Churchill Capital Corporation IV, et al., 1:21-cv-12355 (D.N.J., filed June 9, 2021); and Gregory Slabaugh v. Churchill Capital Corporation IV, et al., 1:21-cv-01652 (S.D. Ind., filed June 11, 2021). The complaints name Churchill, Atieva, Inc. (doing business as Lucid), Michael Klein, Jay Taragin, and Peter Rawlinson as defendants and generally allege violations of Sections 10(b) and 20(a) of the Exchange Act in connection with alleged false and misleading statements concerning Lucid’s business plans and prospects, as well as the proposed merger between the Company and Lucid. The complaints generally seek compensatory and/or punitive damages. We believe the claims are without merit and intend to defend ourselves vigorously.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risk factors relate to the Company after the consummation of the Business Combination.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An investment in our securities involves a high degree of risk. Our investors should carefully consider the following risk factors, together with all of the other information included in this Quarterly Report, before making an investment decision. The occurrence of one or more of the events or circumstances described in these risk factors, alone or in combination with other events or circumstances, may adversely affect the anticipated benefits of the Transactions (as defined below), and may have an adverse effect on our business, cash flows, financial condition and results of operations. Our investors should also carefully consider the following risk factors in addition to the other information included in this Quarterly Report. We may face additional risks and uncertainties that are not presently known to us or that we currently deem immaterial, which may also impair our business or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otherwise stated in this section or the context otherwise requires, references to:</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2009 Plan</w:t>
      </w:r>
      <w:r>
        <w:rPr>
          <w:rFonts w:ascii="Arial" w:cs="Arial" w:eastAsia="Arial" w:hAnsi="Arial"/>
          <w:sz w:val="18"/>
          <w:szCs w:val="18"/>
          <w:color w:val="auto"/>
        </w:rPr>
        <w:t>” are to the Atieva, Inc. 2009 Share Plan duly adopted by the board of directors of Atieva, Inc.;</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2014 Plan</w:t>
      </w:r>
      <w:r>
        <w:rPr>
          <w:rFonts w:ascii="Arial" w:cs="Arial" w:eastAsia="Arial" w:hAnsi="Arial"/>
          <w:sz w:val="17"/>
          <w:szCs w:val="17"/>
          <w:color w:val="auto"/>
        </w:rPr>
        <w:t>” are to the Atieva, Inc. 2014 Share Plan duly adopted by the board of directors of Atieva, Inc. on May 14, 2014;</w:t>
      </w:r>
    </w:p>
    <w:p>
      <w:pPr>
        <w:spacing w:after="0" w:line="19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Plan</w:t>
      </w:r>
      <w:r>
        <w:rPr>
          <w:rFonts w:ascii="Arial" w:cs="Arial" w:eastAsia="Arial" w:hAnsi="Arial"/>
          <w:sz w:val="18"/>
          <w:szCs w:val="18"/>
          <w:color w:val="auto"/>
        </w:rPr>
        <w:t>” are to the Atieva, Inc. 2021 Stock Incentive Plan duly adopted by the compensation committee of the board of directors of Atieva, Inc. on January 13, 2021 and approved by Lucid’s shareholders on January 21, 2021;</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Ayar</w:t>
      </w:r>
      <w:r>
        <w:rPr>
          <w:rFonts w:ascii="Arial" w:cs="Arial" w:eastAsia="Arial" w:hAnsi="Arial"/>
          <w:sz w:val="18"/>
          <w:szCs w:val="18"/>
          <w:color w:val="auto"/>
        </w:rPr>
        <w:t>” are to Ayar Third Investment Company, an affiliate of PIF;</w:t>
      </w:r>
    </w:p>
    <w:p>
      <w:pPr>
        <w:spacing w:after="0" w:line="18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are, prior to consummation of the Transactions, to the board of directors of Atieva, Inc., d/b/a Lucid Motors, an exempted company incorporated with limited liability under the laws of the Cayman Islands, and, following consummation of the Transactions, to Lucid Group Inc., a Delaware corporation;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CEO RSU Award”</w:t>
      </w:r>
      <w:r>
        <w:rPr>
          <w:rFonts w:ascii="Arial" w:cs="Arial" w:eastAsia="Arial" w:hAnsi="Arial"/>
          <w:sz w:val="18"/>
          <w:szCs w:val="18"/>
          <w:color w:val="auto"/>
        </w:rPr>
        <w:t xml:space="preserve"> are to the grant of 11,293,177 Lucid RSUs to Lucid’s CEO under the 2021 Plan;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bylaws</w:t>
      </w:r>
      <w:r>
        <w:rPr>
          <w:rFonts w:ascii="Arial" w:cs="Arial" w:eastAsia="Arial" w:hAnsi="Arial"/>
          <w:sz w:val="18"/>
          <w:szCs w:val="18"/>
          <w:color w:val="auto"/>
        </w:rPr>
        <w:t>” are to the Company’s Amended and Restated Bylaws in effect as of the date of this Quarterly Report;</w:t>
      </w:r>
    </w:p>
    <w:p>
      <w:pPr>
        <w:spacing w:after="0" w:line="18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 xml:space="preserve">“current certificate of incorporation” </w:t>
      </w:r>
      <w:r>
        <w:rPr>
          <w:rFonts w:ascii="Arial" w:cs="Arial" w:eastAsia="Arial" w:hAnsi="Arial"/>
          <w:sz w:val="18"/>
          <w:szCs w:val="18"/>
          <w:color w:val="auto"/>
        </w:rPr>
        <w:t>are to the Company’s Second Amended and Restated Certificate of Incorporation in effect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date of this Quarterly Report;</w:t>
      </w:r>
    </w:p>
    <w:p>
      <w:pPr>
        <w:spacing w:after="0" w:line="14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w:t>
      </w:r>
      <w:r>
        <w:rPr>
          <w:rFonts w:ascii="Arial" w:cs="Arial" w:eastAsia="Arial" w:hAnsi="Arial"/>
          <w:sz w:val="18"/>
          <w:szCs w:val="18"/>
          <w:color w:val="auto"/>
        </w:rPr>
        <w:t>”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4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Churchill’s Class A common stock”</w:t>
      </w:r>
      <w:r>
        <w:rPr>
          <w:rFonts w:ascii="Arial" w:cs="Arial" w:eastAsia="Arial" w:hAnsi="Arial"/>
          <w:sz w:val="18"/>
          <w:szCs w:val="18"/>
          <w:color w:val="auto"/>
        </w:rPr>
        <w:t xml:space="preserve"> are, prior to consummation of the Transactions, to Churchill’s Class A common stock, par value $0.0001 per share and, following consummation of the Transactions, to our Class A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 IPO</w:t>
      </w:r>
      <w:r>
        <w:rPr>
          <w:rFonts w:ascii="Arial" w:cs="Arial" w:eastAsia="Arial" w:hAnsi="Arial"/>
          <w:sz w:val="18"/>
          <w:szCs w:val="18"/>
          <w:color w:val="auto"/>
        </w:rPr>
        <w:t>” are to the initial public offering by Churchill which closed on August 3, 2020;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are to Lucid Group, Inc.’s common stock, par value $.0001 per share;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are to the consummation of the Transactions on the Closing Date;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are to July 23, 2021, the date on which the Transactions were consummated;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are to the Securities Exchange Act of 1934, as amended;</w:t>
      </w:r>
    </w:p>
    <w:p>
      <w:pPr>
        <w:spacing w:after="0" w:line="18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 Rights Agreement</w:t>
      </w:r>
      <w:r>
        <w:rPr>
          <w:rFonts w:ascii="Arial" w:cs="Arial" w:eastAsia="Arial" w:hAnsi="Arial"/>
          <w:sz w:val="18"/>
          <w:szCs w:val="18"/>
          <w:color w:val="auto"/>
        </w:rPr>
        <w:t>” are to the Investor Rights Agreement, dated as of February 22, 2021, by and among the Company, the Sponsor, Ayar and certain other parties thereto;</w:t>
      </w:r>
    </w:p>
    <w:p>
      <w:pPr>
        <w:spacing w:after="0" w:line="13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w:t>
      </w:r>
      <w:r>
        <w:rPr>
          <w:rFonts w:ascii="Arial" w:cs="Arial" w:eastAsia="Arial" w:hAnsi="Arial"/>
          <w:sz w:val="18"/>
          <w:szCs w:val="18"/>
          <w:color w:val="auto"/>
        </w:rPr>
        <w:t>” are to Atieva, Inc., d/b/a Lucid Motors, an exempted company incorporated with limited liability under the laws of the Cayman Islands, and its consolidated subsidiaries;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Common Shares</w:t>
      </w:r>
      <w:r>
        <w:rPr>
          <w:rFonts w:ascii="Arial" w:cs="Arial" w:eastAsia="Arial" w:hAnsi="Arial"/>
          <w:sz w:val="18"/>
          <w:szCs w:val="18"/>
          <w:color w:val="auto"/>
        </w:rPr>
        <w:t>” are to the common shares, par value $0.0001 per share, of Lucid;</w:t>
      </w:r>
    </w:p>
    <w:p>
      <w:pPr>
        <w:spacing w:after="0" w:line="18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Equity Awards</w:t>
      </w:r>
      <w:r>
        <w:rPr>
          <w:rFonts w:ascii="Arial" w:cs="Arial" w:eastAsia="Arial" w:hAnsi="Arial"/>
          <w:sz w:val="18"/>
          <w:szCs w:val="18"/>
          <w:color w:val="auto"/>
        </w:rPr>
        <w:t>” are to all issued and outstanding stock options, restricted stock units or other compensatory equity securities in respect of shares of Lucid outstanding as of immediately prior to the closing of the Merger, including, without limitation, any Lucid Options and Lucid RSUs;</w:t>
      </w:r>
    </w:p>
    <w:p>
      <w:pPr>
        <w:spacing w:after="0" w:line="143" w:lineRule="exact"/>
        <w:rPr>
          <w:sz w:val="20"/>
          <w:szCs w:val="20"/>
          <w:color w:val="auto"/>
        </w:rPr>
      </w:pPr>
    </w:p>
    <w:p>
      <w:pPr>
        <w:jc w:val="both"/>
        <w:ind w:right="2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Options</w:t>
      </w:r>
      <w:r>
        <w:rPr>
          <w:rFonts w:ascii="Arial" w:cs="Arial" w:eastAsia="Arial" w:hAnsi="Arial"/>
          <w:sz w:val="18"/>
          <w:szCs w:val="18"/>
          <w:color w:val="auto"/>
        </w:rPr>
        <w:t>” are to all issued and outstanding options to purchase or otherwise acquire Lucid Common Shares (whether or not vested) held by any person, including Lucid share options granted under any Lucid Share Plan;</w:t>
      </w:r>
    </w:p>
    <w:p>
      <w:pPr>
        <w:spacing w:after="0" w:line="14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RSUs</w:t>
      </w:r>
      <w:r>
        <w:rPr>
          <w:rFonts w:ascii="Arial" w:cs="Arial" w:eastAsia="Arial" w:hAnsi="Arial"/>
          <w:sz w:val="18"/>
          <w:szCs w:val="18"/>
          <w:color w:val="auto"/>
        </w:rPr>
        <w:t>” are to all issued and outstanding restricted stock unit awards with respect to Lucid Common Shares outstanding under any Lucid Share Plan;</w:t>
      </w:r>
    </w:p>
    <w:p>
      <w:pPr>
        <w:spacing w:after="0" w:line="130"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Share Plans</w:t>
      </w:r>
      <w:r>
        <w:rPr>
          <w:rFonts w:ascii="Arial" w:cs="Arial" w:eastAsia="Arial" w:hAnsi="Arial"/>
          <w:sz w:val="18"/>
          <w:szCs w:val="18"/>
          <w:color w:val="auto"/>
        </w:rPr>
        <w:t>” are to the 2009 Plan, the 2014 Plan, the 2021 Plan, in each case as amended from time to time in accordance with their terms, and any other share incentive plan or similar equity-based compensation plan maintained for employees of Lucid that may be adopted from time to time;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w:t>
      </w:r>
      <w:r>
        <w:rPr>
          <w:rFonts w:ascii="Arial" w:cs="Arial" w:eastAsia="Arial" w:hAnsi="Arial"/>
          <w:sz w:val="16"/>
          <w:szCs w:val="16"/>
          <w:color w:val="auto"/>
        </w:rPr>
        <w:t>” are to the merger of Merger Sub and Lucid, with Lucid surviving such merger as a wholly owned subsidiary of Churchill;</w:t>
      </w:r>
    </w:p>
    <w:p>
      <w:pPr>
        <w:spacing w:after="0" w:line="221"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 Agreement</w:t>
      </w:r>
      <w:r>
        <w:rPr>
          <w:rFonts w:ascii="Arial" w:cs="Arial" w:eastAsia="Arial" w:hAnsi="Arial"/>
          <w:sz w:val="16"/>
          <w:szCs w:val="16"/>
          <w:color w:val="auto"/>
        </w:rPr>
        <w:t>” are to that certain Agreement and Plan of Merger, dated as of February 22, 2021, by and among Churchill, Lucid and Merger Sub, as the same has been or may be amended, modified, supplemented or waived from time to time;</w:t>
      </w:r>
    </w:p>
    <w:p>
      <w:pPr>
        <w:spacing w:after="0" w:line="83" w:lineRule="exact"/>
        <w:rPr>
          <w:sz w:val="20"/>
          <w:szCs w:val="20"/>
          <w:color w:val="auto"/>
        </w:rPr>
      </w:pPr>
    </w:p>
    <w:p>
      <w:pPr>
        <w:ind w:left="340" w:right="1020"/>
        <w:spacing w:after="0" w:line="4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are to Air Merger Sub, Inc., a Delaware corporation and a direct, wholly-owned subsidiary of Churchill; “</w:t>
      </w:r>
      <w:r>
        <w:rPr>
          <w:rFonts w:ascii="Arial" w:cs="Arial" w:eastAsia="Arial" w:hAnsi="Arial"/>
          <w:sz w:val="18"/>
          <w:szCs w:val="18"/>
          <w:i w:val="1"/>
          <w:iCs w:val="1"/>
          <w:color w:val="auto"/>
        </w:rPr>
        <w:t>Nasdaq</w:t>
      </w:r>
      <w:r>
        <w:rPr>
          <w:rFonts w:ascii="Arial" w:cs="Arial" w:eastAsia="Arial" w:hAnsi="Arial"/>
          <w:sz w:val="18"/>
          <w:szCs w:val="18"/>
          <w:color w:val="auto"/>
        </w:rPr>
        <w:t>” are to The Nasdaq Stock Market LLC;</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PIF</w:t>
      </w:r>
      <w:r>
        <w:rPr>
          <w:rFonts w:ascii="Arial" w:cs="Arial" w:eastAsia="Arial" w:hAnsi="Arial"/>
          <w:sz w:val="18"/>
          <w:szCs w:val="18"/>
          <w:color w:val="auto"/>
        </w:rPr>
        <w:t>” are to the Public Investment Fund, the sovereign wealth fund of the Kingdom of Saudi Arabia;</w:t>
      </w:r>
    </w:p>
    <w:p>
      <w:pPr>
        <w:spacing w:after="0" w:line="18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PIPE Investment</w:t>
      </w:r>
      <w:r>
        <w:rPr>
          <w:rFonts w:ascii="Arial" w:cs="Arial" w:eastAsia="Arial" w:hAnsi="Arial"/>
          <w:sz w:val="16"/>
          <w:szCs w:val="16"/>
          <w:color w:val="auto"/>
        </w:rPr>
        <w:t>” are to the private placement pursuant to which Churchill entered into PIPE Subscription Agreements (containing commitments to funding that are subject only to conditions that generally align with the conditions set forth in the Merger</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Agreement) with certain investors whereby Churchill has agreed to issue and sell to the PIPE Investors $2.5 billion of Churchill’s Class A common stock at a purchase price of $15.00 per share;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are to the investors participating in the PIPE Investment;</w:t>
      </w:r>
    </w:p>
    <w:p>
      <w:pPr>
        <w:spacing w:after="0" w:line="19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are to Churchill’s warrants issued to the Sponsor in a private placement simultaneously with the closing of the Churchill IPO;</w:t>
      </w:r>
    </w:p>
    <w:p>
      <w:pPr>
        <w:spacing w:after="0" w:line="130"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PIPE Subscription Agreements</w:t>
      </w:r>
      <w:r>
        <w:rPr>
          <w:rFonts w:ascii="Arial" w:cs="Arial" w:eastAsia="Arial" w:hAnsi="Arial"/>
          <w:sz w:val="16"/>
          <w:szCs w:val="16"/>
          <w:color w:val="auto"/>
        </w:rPr>
        <w:t>” are to the common stock subscription agreements entered into by and among Churchill and the investors party thereto, in each case, dated as of February 22, 2021 and entered into in connection with the PIPE Investment;</w:t>
      </w:r>
    </w:p>
    <w:p>
      <w:pPr>
        <w:spacing w:after="0" w:line="8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are to Churchill’s warrants sold as part of the units in the Churchill IPO (whether they were purchased in the Churchill IPO or thereafter in the open market);</w:t>
      </w:r>
    </w:p>
    <w:p>
      <w:pPr>
        <w:spacing w:after="0" w:line="143" w:lineRule="exact"/>
        <w:rPr>
          <w:sz w:val="20"/>
          <w:szCs w:val="20"/>
          <w:color w:val="auto"/>
        </w:rPr>
      </w:pPr>
    </w:p>
    <w:p>
      <w:pPr>
        <w:ind w:left="340" w:right="4180"/>
        <w:spacing w:after="0" w:line="51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Sarbanes-Oxley Act</w:t>
      </w:r>
      <w:r>
        <w:rPr>
          <w:rFonts w:ascii="Arial" w:cs="Arial" w:eastAsia="Arial" w:hAnsi="Arial"/>
          <w:sz w:val="16"/>
          <w:szCs w:val="16"/>
          <w:color w:val="auto"/>
        </w:rPr>
        <w:t>” are to the Sarbanes-Oxley Act of 2002, as amended; “</w:t>
      </w:r>
      <w:r>
        <w:rPr>
          <w:rFonts w:ascii="Arial" w:cs="Arial" w:eastAsia="Arial" w:hAnsi="Arial"/>
          <w:sz w:val="16"/>
          <w:szCs w:val="16"/>
          <w:i w:val="1"/>
          <w:iCs w:val="1"/>
          <w:color w:val="auto"/>
        </w:rPr>
        <w:t>SEC</w:t>
      </w:r>
      <w:r>
        <w:rPr>
          <w:rFonts w:ascii="Arial" w:cs="Arial" w:eastAsia="Arial" w:hAnsi="Arial"/>
          <w:sz w:val="16"/>
          <w:szCs w:val="16"/>
          <w:color w:val="auto"/>
        </w:rPr>
        <w:t>” are to the United States Securities and Exchange Commission;</w:t>
      </w:r>
    </w:p>
    <w:p>
      <w:pPr>
        <w:spacing w:after="0" w:line="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are to Churchill Sponsor IV LLC, a Delaware limited liability company and an affiliate of M. Klein and Company in which certain of Churchill’s directors and officers hold membership interests;</w:t>
      </w:r>
    </w:p>
    <w:p>
      <w:pPr>
        <w:spacing w:after="0" w:line="14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are to the Merger, together with the other transactions contemplated by the Merger Agreement and the related agreements;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warrants</w:t>
      </w:r>
      <w:r>
        <w:rPr>
          <w:rFonts w:ascii="Arial" w:cs="Arial" w:eastAsia="Arial" w:hAnsi="Arial"/>
          <w:sz w:val="18"/>
          <w:szCs w:val="18"/>
          <w:color w:val="auto"/>
        </w:rPr>
        <w:t>” are to the Public Warrants, the Private Placement Warrants and the Working Capital Warrants; and</w:t>
      </w:r>
    </w:p>
    <w:p>
      <w:pPr>
        <w:spacing w:after="0" w:line="18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Agreement</w:t>
      </w:r>
      <w:r>
        <w:rPr>
          <w:rFonts w:ascii="Arial" w:cs="Arial" w:eastAsia="Arial" w:hAnsi="Arial"/>
          <w:sz w:val="18"/>
          <w:szCs w:val="18"/>
          <w:color w:val="auto"/>
        </w:rPr>
        <w:t>” are to the Warrant Agreement, dated July 29, 2020, entered into in connection with the Churchill IPO by and between Continental Stock Transfer &amp; Trust Company and Churchill.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The ongoing COVID-19 pandemic has adversely affected our business, results of operations and financial condition.</w:t>
      </w:r>
    </w:p>
    <w:p>
      <w:pPr>
        <w:spacing w:after="0" w:line="19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ongoing COVID-19 pandemic poses risks to our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our vehicles, or cancel their refundable deposits for our vehicles. Because of our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our suppliers, sub-suppliers or partners become insolvent or are otherwise unable to continue their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55" w:lineRule="exact"/>
        <w:rPr>
          <w:sz w:val="20"/>
          <w:szCs w:val="20"/>
          <w:color w:val="auto"/>
        </w:rPr>
      </w:pPr>
    </w:p>
    <w:p>
      <w:pPr>
        <w:ind w:right="400" w:firstLine="324"/>
        <w:spacing w:after="0" w:line="279" w:lineRule="auto"/>
        <w:rPr>
          <w:sz w:val="20"/>
          <w:szCs w:val="20"/>
          <w:color w:val="auto"/>
        </w:rPr>
      </w:pPr>
      <w:r>
        <w:rPr>
          <w:rFonts w:ascii="Arial" w:cs="Arial" w:eastAsia="Arial" w:hAnsi="Arial"/>
          <w:sz w:val="17"/>
          <w:szCs w:val="17"/>
          <w:color w:val="auto"/>
        </w:rPr>
        <w:t>The spread of COVID-19 has also periodically disrupted the manufacturing operations of other vehicle manufacturers and their suppliers. Any such disruptions to us or our suppliers could result in delays to our plans to begin commercial production of our first vehicle, the Lucid Air sedan, in the second half of 2021, and could negatively affect our production volume. Our manufacturing operations at a limited number of facilities in Casa Grande, Arizona concentrate these risks.</w:t>
      </w:r>
    </w:p>
    <w:p>
      <w:pPr>
        <w:spacing w:after="0" w:line="13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pandemic has resulted in the imposition of travel bans and restrictions, quarantines, shelter-in-place and stay-at-home orders and business shutdowns, which have contributed to delays in the anticipated production schedule of the Lucid Air. These measures pose numerous operational risks and logistical challenges to our business. For example, we may be required to limit the number of employees and contractors at our manufacturing facilities in Casa Grande, Arizona, which could cause further delays in tooling efforts or in the production schedule of the Lucid Air.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lengthened the time required to finalize and secure certain components of the Lucid Air. Further, our sales and marketing activities have been, and may in the future be, adversely affected due to the cancellation or reduction of in-person sales activities, meetings, events and conferences, and our planned construction and opening of our Lucid Studio sales and service facilities in key markets has been delayed. The transition of some of our personnel to a mostly remote workforce has also increased demand on our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our start-up, manufacturing and sales and distribution plans and timelines.</w:t>
      </w:r>
    </w:p>
    <w:p>
      <w:pPr>
        <w:spacing w:after="0" w:line="13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the COVID-19 pandemic has resulted in extreme volatility in the global financial markets, which could increase our cost of capital or limit our ability to access financing when it needs it.</w:t>
      </w:r>
    </w:p>
    <w:p>
      <w:pPr>
        <w:spacing w:after="0" w:line="143"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The severity, magnitude and duration of the COVID-19 pandemic and our economic and regulatory consequences are rapidly changing and uncertain. Accordingly, we cannot predict the ultimate impact of the COVID-19 pandemic on our business, financial condition and results of operations.</w:t>
      </w:r>
    </w:p>
    <w:p>
      <w:pPr>
        <w:spacing w:after="0" w:line="143" w:lineRule="exact"/>
        <w:rPr>
          <w:sz w:val="20"/>
          <w:szCs w:val="20"/>
          <w:color w:val="auto"/>
        </w:rPr>
      </w:pPr>
    </w:p>
    <w:p>
      <w:pPr>
        <w:ind w:left="180" w:right="620"/>
        <w:spacing w:after="0" w:line="277" w:lineRule="auto"/>
        <w:rPr>
          <w:sz w:val="20"/>
          <w:szCs w:val="20"/>
          <w:color w:val="auto"/>
        </w:rPr>
      </w:pPr>
      <w:r>
        <w:rPr>
          <w:rFonts w:ascii="Arial" w:cs="Arial" w:eastAsia="Arial" w:hAnsi="Arial"/>
          <w:sz w:val="18"/>
          <w:szCs w:val="18"/>
          <w:b w:val="1"/>
          <w:bCs w:val="1"/>
          <w:i w:val="1"/>
          <w:iCs w:val="1"/>
          <w:color w:val="auto"/>
        </w:rPr>
        <w:t>Our limited operating history makes evaluating our business and future prospects difficult and may increase the risk of our investors’ investment.</w:t>
      </w:r>
    </w:p>
    <w:p>
      <w:pPr>
        <w:spacing w:after="0" w:line="130"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We are an early-stage company with a limited operating history, operating in a rapidly evolving and highly regulated market. Furthermore, we have not yet released a commercially available vehicle, and we have no experience manufacturing or selling a commercial product at scale. Because we have yet to generate revenue from the sale of electric vehicles, and as a result of the capital-intensive nature of our business, we expect to continue to incur substantial operating losses for the foreseeable future.</w:t>
      </w:r>
    </w:p>
    <w:p>
      <w:pPr>
        <w:spacing w:after="0" w:line="14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encountered and expect to continue to encounter risks and uncertainties frequently experienced by early-stage companies in rapidly changing markets, including risks relating to our ability to, among other things:</w:t>
      </w:r>
    </w:p>
    <w:p>
      <w:pPr>
        <w:spacing w:after="0" w:line="130" w:lineRule="exact"/>
        <w:rPr>
          <w:sz w:val="20"/>
          <w:szCs w:val="20"/>
          <w:color w:val="auto"/>
        </w:rPr>
      </w:pPr>
    </w:p>
    <w:p>
      <w:pPr>
        <w:ind w:left="680" w:hanging="321"/>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successfully launch commercial production and sales of the Lucid Air on the timing and with the specifications we had planned;</w:t>
      </w:r>
    </w:p>
    <w:p>
      <w:pPr>
        <w:spacing w:after="0" w:line="207" w:lineRule="exact"/>
        <w:rPr>
          <w:rFonts w:ascii="Arial" w:cs="Arial" w:eastAsia="Arial" w:hAnsi="Arial"/>
          <w:sz w:val="16"/>
          <w:szCs w:val="16"/>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integrate and retain professional and technical talent, including key members of management;</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make significant investments in research, development, manufacturing, marketing and sales;</w:t>
      </w:r>
    </w:p>
    <w:p>
      <w:pPr>
        <w:spacing w:after="0" w:line="184"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obtain, maintain, protect and enforce our intellectual property and defend against claims of intellectual property infringement, misappropriation or other violation;</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 a well-recognized and respected brand;</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and refine our commercial manufacturing capabilities and distribution infrastructure;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and maintain satisfactory arrangements with third-party suppliers;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and expand a customer base;</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w:t>
      </w:r>
    </w:p>
    <w:p>
      <w:pPr>
        <w:spacing w:after="0" w:line="184"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 and adapt to changing market conditions, including consumer demand for certain vehicle types, models or trim levels, technological developments and changes in competitive landscape; and</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design, build, manufacture and market new models of electric vehicles to follow the Lucid Air.</w:t>
      </w:r>
    </w:p>
    <w:p>
      <w:pPr>
        <w:spacing w:after="0" w:line="19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Lucid has incurred net losses each year since its inception and we expect to incur increasing expenses and substantial losses for the foreseeable future.</w:t>
      </w:r>
    </w:p>
    <w:p>
      <w:pPr>
        <w:spacing w:after="0" w:line="13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Lucid has incurred net losses each year since its inception. We expect to continue to incur substantial losses and increasing expenses in the foreseeable future as we: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design and develop and begins to manufacture our vehicles;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equip and expand our manufacturing facilities to produce our vehicles in Arizona, and potentially in international locations;</w:t>
      </w:r>
    </w:p>
    <w:p>
      <w:pPr>
        <w:spacing w:after="0" w:line="209" w:lineRule="exact"/>
        <w:rPr>
          <w:rFonts w:ascii="Arial" w:cs="Arial" w:eastAsia="Arial" w:hAnsi="Arial"/>
          <w:sz w:val="17"/>
          <w:szCs w:val="17"/>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up inventories of parts and components for our vehicles;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manufacture an available inventory of our vehicles;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and deploy vehicle charging partnerships;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design, research, development, maintenance and repair capabilities;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sales and marketing activities and develop our distribution infrastructure;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growing operations and status as a public company.</w:t>
      </w:r>
    </w:p>
    <w:p>
      <w:pPr>
        <w:spacing w:after="0" w:line="19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our product development or commercialization is delayed, our costs and expenses may be significantly higher than we currently expect. Because we will incur the costs and expenses from these efforts before we receive any incremental revenues with respect thereto, we expect our losses in future periods will be significant. Our ability to generate product revenues will depend on our ability to finalize and begin commercial production of the Lucid Air, which we do not expect will occur until the second half of 2021, and we may never achieve profitability.</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unable to adequately control the substantial costs associated with our operations.</w:t>
      </w:r>
    </w:p>
    <w:p>
      <w:pPr>
        <w:spacing w:after="0" w:line="18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tooling and expanding our manufacturing facilities; research and development expenses (including expenses related to the development of the Lucid Air, the Project Gravity SUV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do not have historical experience forecasting and budgeting for any of these expenses, and these expenses could be significantly higher than we currently anticipate. In addition, any delays in the start of production,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4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In the longer term, our ability to become profitable in the future will depend on our ability not only to control costs, but also to sell in quantities and at prices sufficient to achieve our expected margins. If we are unable to cost-efficiently design, manufacture, market, sell, distribute and service our vehicles, our margins, profitability and prospects will be materially and adversely affected.</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have received only a limited number of reservations for the Lucid Air, all of which may be cancelled.</w:t>
      </w:r>
    </w:p>
    <w:p>
      <w:pPr>
        <w:spacing w:after="0" w:line="18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of June 30, 2021, we had reservations for more than 10,000 units of our first vehicle, the Lucid Air, with fully refundable deposits. Our customers may cancel their reservations without penalty and for any reason until they place an order for their vehicle. In addition, any further delays in the expected start of production of the Lucid Air could result in significant customer cancellations. No assurance can be given that reservations will not be cancelled and will ultimately result in the final purchase, delivery and sale or lease of vehicles. Accordingly, the number of reservations has significant limitations as a measure of demand for our vehicles, including demand for particular body styles, models or trim levels, or for future vehicle sales. If we encounter delays in the start of production of the Lucid Air that further lengthen wait times, a significant number of reservations may be cancelled.</w:t>
      </w:r>
    </w:p>
    <w:p>
      <w:pPr>
        <w:spacing w:after="0" w:line="150"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The automotive industry has significant barriers to entry that we must overcome in order to manufacture and sell electric vehicles at scale.</w:t>
      </w:r>
    </w:p>
    <w:p>
      <w:pPr>
        <w:spacing w:after="0" w:line="130" w:lineRule="exact"/>
        <w:rPr>
          <w:sz w:val="20"/>
          <w:szCs w:val="20"/>
          <w:color w:val="auto"/>
        </w:rPr>
      </w:pPr>
    </w:p>
    <w:p>
      <w:pPr>
        <w:jc w:val="both"/>
        <w:ind w:right="240" w:firstLine="324"/>
        <w:spacing w:after="0" w:line="301" w:lineRule="auto"/>
        <w:rPr>
          <w:sz w:val="20"/>
          <w:szCs w:val="20"/>
          <w:color w:val="auto"/>
        </w:rPr>
      </w:pPr>
      <w:r>
        <w:rPr>
          <w:rFonts w:ascii="Arial" w:cs="Arial" w:eastAsia="Arial" w:hAnsi="Arial"/>
          <w:sz w:val="16"/>
          <w:szCs w:val="16"/>
          <w:color w:val="auto"/>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prototypes of our electric sedan and have completed the first phase of construction of our commercial manufacturing facility in Casa Grande, Arizona, we have not finished tooling all production lines at our Casa Grande facilities, finalized the design and specifications of the Lucid Air or begun commercial manufacturing processes for the Lucid Air. If we are not able to overcome these barriers, our business, prospects, results of operations and financial condition will be negatively impacted, and our ability to grow our business will be harmed.</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automotive market is highly competitive, and we may not be successful in competing in this industry.</w:t>
      </w:r>
    </w:p>
    <w:p>
      <w:pPr>
        <w:spacing w:after="0" w:line="198"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The global automotive market, particularly for electric and alternative fuel vehicles, is highly competitive, and we expect it will become even more so in the future. In recent years, the electric vehicle industry has grown, with several companies that focus completely or partially on the electric vehicle market. We expect additional companies to enter this market within the next several years. Electric vehicle manufacturers with which we compete include Tesla as well as an increasing number of U.S.-based and international entrants, many of which have announced plans to begin selling their own electric vehicles in 2021 or 2022. We also compete with established automobile manufacturers in the luxury vehicle segment, many of which have entered or have announced plans to enter the alternative fuel and electric vehicle market with either fully electric or plug-in hybrid versions of their vehicles. We also expect to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51"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b w:val="1"/>
          <w:bCs w:val="1"/>
          <w:i w:val="1"/>
          <w:iCs w:val="1"/>
          <w:color w:val="auto"/>
        </w:rPr>
        <w:t>We will initially depend on revenue generated from a single model and in the foreseeable future will be significantly dependent on a limited number of models.</w:t>
      </w:r>
    </w:p>
    <w:p>
      <w:pPr>
        <w:spacing w:after="0" w:line="13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will initially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the end of 2023. We expect to rely on sales from the Lucid Air, among other sources of financing, for the capital that will be required to develop and commercialize those subsequent models. To the extent that production of the Lucid Air is delayed or reduced, or if the Lucid Air is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will not have a third-party retail product distribution network.</w:t>
      </w:r>
    </w:p>
    <w:p>
      <w:pPr>
        <w:spacing w:after="0" w:line="18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Third-party dealer networks are the traditional method of vehicle sales distribution. Because we plan to sell directly to consumers, we will not have a traditional dealer product distribution network. We do not have experience distributing directly to consumers, and we expect that the building of an in-house sales and marketing function, including a physical sales and marketing footprint via our Lucid Studios, will be expensive and time consuming. If our lack of a traditional dealer distribution network results in lost opportunities to generate sales, it could limit our ability to grow. Moreover, our plans to sell directly to consumers may be limited by regulatory constraints. To the extent we are unable to successfully execute on such plans, we may be required to develop a third-party dealer distribution network, which may prove costly, time-consuming or ineffective. If our use of an in-house sales and marketing team is not effective, our results of operations and financial conditions could be adversely affected.</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80" w:right="560"/>
        <w:spacing w:after="0" w:line="277" w:lineRule="auto"/>
        <w:rPr>
          <w:sz w:val="20"/>
          <w:szCs w:val="20"/>
          <w:color w:val="auto"/>
        </w:rPr>
      </w:pPr>
      <w:r>
        <w:rPr>
          <w:rFonts w:ascii="Arial" w:cs="Arial" w:eastAsia="Arial" w:hAnsi="Arial"/>
          <w:sz w:val="18"/>
          <w:szCs w:val="18"/>
          <w:b w:val="1"/>
          <w:bCs w:val="1"/>
          <w:i w:val="1"/>
          <w:iCs w:val="1"/>
          <w:color w:val="auto"/>
        </w:rPr>
        <w:t>Our sales will depend in part on our ability to establish and maintain confidence in our long-term business prospects among consumers, analysts and others within our industry.</w:t>
      </w:r>
    </w:p>
    <w:p>
      <w:pPr>
        <w:spacing w:after="0" w:line="13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 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ability to generate meaningful product revenue will depend on consumer adoption of electric vehicles.</w:t>
      </w:r>
    </w:p>
    <w:p>
      <w:pPr>
        <w:spacing w:after="0" w:line="18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are only developing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3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factors that may influence the adoption of electric vehicles include:</w:t>
      </w:r>
    </w:p>
    <w:p>
      <w:pPr>
        <w:spacing w:after="0" w:line="185" w:lineRule="exact"/>
        <w:rPr>
          <w:sz w:val="20"/>
          <w:szCs w:val="20"/>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design, performance and cost;</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perceptions about the limited range over which electric vehicles may be driven on a single battery charge;</w:t>
      </w:r>
    </w:p>
    <w:p>
      <w:pPr>
        <w:spacing w:after="0" w:line="198" w:lineRule="exact"/>
        <w:rPr>
          <w:rFonts w:ascii="Arial" w:cs="Arial" w:eastAsia="Arial" w:hAnsi="Arial"/>
          <w:sz w:val="18"/>
          <w:szCs w:val="18"/>
          <w:color w:val="auto"/>
        </w:rPr>
      </w:pPr>
    </w:p>
    <w:p>
      <w:pPr>
        <w:ind w:left="680" w:right="540" w:hanging="321"/>
        <w:spacing w:after="0" w:line="26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184" w:lineRule="exact"/>
        <w:rPr>
          <w:rFonts w:ascii="Arial" w:cs="Arial" w:eastAsia="Arial" w:hAnsi="Arial"/>
          <w:sz w:val="18"/>
          <w:szCs w:val="18"/>
          <w:color w:val="auto"/>
        </w:rPr>
      </w:pPr>
    </w:p>
    <w:p>
      <w:pPr>
        <w:ind w:left="680" w:right="200" w:hanging="321"/>
        <w:spacing w:after="0" w:line="342"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96" w:lineRule="exact"/>
        <w:rPr>
          <w:rFonts w:ascii="Arial" w:cs="Arial" w:eastAsia="Arial" w:hAnsi="Arial"/>
          <w:sz w:val="16"/>
          <w:szCs w:val="16"/>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other alternative fuel vehicles, including plug-in hybrid electric vehicles;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quality and availability of service for electric vehicles, especially in international markets;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in the cost of oil and gasoline;</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184" w:lineRule="exact"/>
        <w:rPr>
          <w:rFonts w:ascii="Arial" w:cs="Arial" w:eastAsia="Arial" w:hAnsi="Arial"/>
          <w:sz w:val="18"/>
          <w:szCs w:val="18"/>
          <w:color w:val="auto"/>
        </w:rPr>
      </w:pPr>
    </w:p>
    <w:p>
      <w:pPr>
        <w:ind w:left="680" w:right="160" w:hanging="321"/>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to charging stations and cost to charge an electric vehicle, especially in international markets, and related infrastructure costs and standardization;</w:t>
      </w:r>
    </w:p>
    <w:p>
      <w:pPr>
        <w:spacing w:after="0" w:line="129"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 and</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185"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43" w:lineRule="exact"/>
        <w:rPr>
          <w:sz w:val="20"/>
          <w:szCs w:val="20"/>
          <w:color w:val="auto"/>
        </w:rPr>
      </w:pPr>
    </w:p>
    <w:p>
      <w:pPr>
        <w:ind w:left="180" w:right="200"/>
        <w:spacing w:after="0" w:line="277" w:lineRule="auto"/>
        <w:rPr>
          <w:sz w:val="20"/>
          <w:szCs w:val="20"/>
          <w:color w:val="auto"/>
        </w:rPr>
      </w:pPr>
      <w:r>
        <w:rPr>
          <w:rFonts w:ascii="Arial" w:cs="Arial" w:eastAsia="Arial" w:hAnsi="Arial"/>
          <w:sz w:val="18"/>
          <w:szCs w:val="18"/>
          <w:b w:val="1"/>
          <w:bCs w:val="1"/>
          <w:i w:val="1"/>
          <w:iCs w:val="1"/>
          <w:color w:val="auto"/>
        </w:rPr>
        <w:t>Developments in electric vehicle or alternative fuel technology or improvements in the internal combustion engine may adversely affect the demand for our vehicles.</w:t>
      </w:r>
    </w:p>
    <w:p>
      <w:pPr>
        <w:spacing w:after="0" w:line="14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127"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b w:val="1"/>
          <w:bCs w:val="1"/>
          <w:i w:val="1"/>
          <w:iCs w:val="1"/>
          <w:color w:val="auto"/>
        </w:rPr>
        <w:t>Extended periods of low gasoline or other petroleum-based fuel prices could adversely affect demand for our vehicles, which would adversely affect our business, prospects, results of operations and financial condition.</w:t>
      </w:r>
    </w:p>
    <w:p>
      <w:pPr>
        <w:spacing w:after="0" w:line="13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13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Gasoline and other petroleum-based fuel prices have historically been extremely volatile, particularly during the ongoing COVID-19 pandemic,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b w:val="1"/>
          <w:bCs w:val="1"/>
          <w:i w:val="1"/>
          <w:iCs w:val="1"/>
          <w:color w:val="auto"/>
        </w:rPr>
        <w:t>The unavailability, reduction or elimination of certain government and economic programs could have a material adverse effect on our business, prospects, financial condition and results of operations.</w:t>
      </w:r>
    </w:p>
    <w:p>
      <w:pPr>
        <w:spacing w:after="0" w:line="13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 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our investors that the current governmental incentives and subsidies available for purchasers of electric vehicles will remain available.</w:t>
      </w:r>
    </w:p>
    <w:p>
      <w:pPr>
        <w:spacing w:after="0" w:line="14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pacing w:after="0" w:line="143" w:lineRule="exact"/>
        <w:rPr>
          <w:sz w:val="20"/>
          <w:szCs w:val="20"/>
          <w:color w:val="auto"/>
        </w:rPr>
      </w:pPr>
    </w:p>
    <w:p>
      <w:pPr>
        <w:ind w:left="180" w:right="80"/>
        <w:spacing w:after="0" w:line="342" w:lineRule="auto"/>
        <w:rPr>
          <w:sz w:val="20"/>
          <w:szCs w:val="20"/>
          <w:color w:val="auto"/>
        </w:rPr>
      </w:pPr>
      <w:r>
        <w:rPr>
          <w:rFonts w:ascii="Arial" w:cs="Arial" w:eastAsia="Arial" w:hAnsi="Arial"/>
          <w:sz w:val="16"/>
          <w:szCs w:val="16"/>
          <w:b w:val="1"/>
          <w:bCs w:val="1"/>
          <w:i w:val="1"/>
          <w:iCs w:val="1"/>
          <w:color w:val="auto"/>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8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our investors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69" w:lineRule="exact"/>
        <w:rPr>
          <w:sz w:val="20"/>
          <w:szCs w:val="20"/>
          <w:color w:val="auto"/>
        </w:rPr>
      </w:pPr>
    </w:p>
    <w:p>
      <w:pPr>
        <w:ind w:left="180" w:right="440"/>
        <w:spacing w:after="0" w:line="277" w:lineRule="auto"/>
        <w:rPr>
          <w:sz w:val="20"/>
          <w:szCs w:val="20"/>
          <w:color w:val="auto"/>
        </w:rPr>
      </w:pPr>
      <w:r>
        <w:rPr>
          <w:rFonts w:ascii="Arial" w:cs="Arial" w:eastAsia="Arial" w:hAnsi="Arial"/>
          <w:sz w:val="18"/>
          <w:szCs w:val="18"/>
          <w:b w:val="1"/>
          <w:bCs w:val="1"/>
          <w:i w:val="1"/>
          <w:iCs w:val="1"/>
          <w:color w:val="auto"/>
        </w:rPr>
        <w:t>If we fail to manage our future growth effectively, we may not be able to develop, manufacture, distribute, market and sell our vehicles successfully.</w:t>
      </w:r>
    </w:p>
    <w:p>
      <w:pPr>
        <w:spacing w:after="0" w:line="130"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Any failure to manage our growth effectively could materially and adversely affect our business, prospects, results of operations and financial condition. We intend to expand our operations significantly. We expect our future expansion will include:</w:t>
      </w:r>
    </w:p>
    <w:p>
      <w:pPr>
        <w:spacing w:after="0" w:line="106"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management team;</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hiring and training new personnel;</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or expanding design, manufacturing, sales and service facilities;</w:t>
      </w:r>
    </w:p>
    <w:p>
      <w:pPr>
        <w:spacing w:after="0" w:line="184"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implementing and enhancing administrative infrastructure, systems and processes, including in connection with our transition to a public company; and</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into new markets and establishing sales, service and manufacturing operations in such markets.</w:t>
      </w:r>
    </w:p>
    <w:p>
      <w:pPr>
        <w:spacing w:after="0" w:line="18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intend to continue to hire a significant number of additional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designing, manufacturing and servicing electric vehicles is intense, and we may not be able to attract, integrate, train, motivate or retain additional highly qualified personnel in the future. The failure to attract, integrate, train, motivate and retain these additional</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employees could seriously harm our business and prospects. In addition, we have no experience to date in high volume manufacturing of our vehicles. We cannot assure our investors that we will be able to develop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 In addition, if our manufacturing facilities are not constructed in conformity with our requirements, repair or remediation could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adversely affect our ability to timely sell and deliver our electric vehicles to customers, or impose substantial additional costs, any of which consequences could have a material adverse effect on our business, prospects, results of operations and financial condition. In addition, our success is substantially dependent upon the continued service and performance of our senior management team and key technical and vehicle management personnel. If any key personnel were to terminate their employment with us, such termination would likely increase the difficulty of managing our future growth and heighten the foregoing risks. If we fail to manage our growth effectively, such failure could result in negative publicity and damage to our brand and have a material adverse effect on our business, prospects, financial condition and results of operations.</w:t>
      </w:r>
    </w:p>
    <w:p>
      <w:pPr>
        <w:spacing w:after="0" w:line="136" w:lineRule="exact"/>
        <w:rPr>
          <w:sz w:val="20"/>
          <w:szCs w:val="20"/>
          <w:color w:val="auto"/>
        </w:rPr>
      </w:pPr>
    </w:p>
    <w:p>
      <w:pPr>
        <w:ind w:left="180" w:right="20"/>
        <w:spacing w:after="0" w:line="263" w:lineRule="auto"/>
        <w:rPr>
          <w:sz w:val="20"/>
          <w:szCs w:val="20"/>
          <w:color w:val="auto"/>
        </w:rPr>
      </w:pPr>
      <w:r>
        <w:rPr>
          <w:rFonts w:ascii="Arial" w:cs="Arial" w:eastAsia="Arial" w:hAnsi="Arial"/>
          <w:sz w:val="18"/>
          <w:szCs w:val="18"/>
          <w:b w:val="1"/>
          <w:bCs w:val="1"/>
          <w:i w:val="1"/>
          <w:iCs w:val="1"/>
          <w:color w:val="auto"/>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spacing w:after="0" w:line="15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While we currently intend to offer leasing and financing of our vehicles to potential customers through a third-party financing partner or partners, we currently have no agreements in place with any potential financing partners. We cannot provide any assurance that such third-party financing partners would be able or willing to provide such services on terms acceptable to us or our customers, or to provide such services at all. Furthermore, because we have not yet sold any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spacing w:after="0" w:line="126" w:lineRule="exact"/>
        <w:rPr>
          <w:sz w:val="20"/>
          <w:szCs w:val="20"/>
          <w:color w:val="auto"/>
        </w:rPr>
      </w:pPr>
    </w:p>
    <w:p>
      <w:pPr>
        <w:ind w:right="240" w:firstLine="324"/>
        <w:spacing w:after="0" w:line="272" w:lineRule="auto"/>
        <w:rPr>
          <w:sz w:val="20"/>
          <w:szCs w:val="20"/>
          <w:color w:val="auto"/>
        </w:rPr>
      </w:pPr>
      <w:r>
        <w:rPr>
          <w:rFonts w:ascii="Arial" w:cs="Arial" w:eastAsia="Arial" w:hAnsi="Arial"/>
          <w:sz w:val="17"/>
          <w:szCs w:val="17"/>
          <w:color w:val="auto"/>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caused by the ongoing COVID-19 pandemic.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spacing w:after="0" w:line="137" w:lineRule="exact"/>
        <w:rPr>
          <w:sz w:val="20"/>
          <w:szCs w:val="20"/>
          <w:color w:val="auto"/>
        </w:rPr>
      </w:pPr>
    </w:p>
    <w:p>
      <w:pPr>
        <w:ind w:left="180" w:right="100"/>
        <w:spacing w:after="0" w:line="263" w:lineRule="auto"/>
        <w:rPr>
          <w:sz w:val="20"/>
          <w:szCs w:val="20"/>
          <w:color w:val="auto"/>
        </w:rPr>
      </w:pPr>
      <w:r>
        <w:rPr>
          <w:rFonts w:ascii="Arial" w:cs="Arial" w:eastAsia="Arial" w:hAnsi="Arial"/>
          <w:sz w:val="18"/>
          <w:szCs w:val="18"/>
          <w:b w:val="1"/>
          <w:bCs w:val="1"/>
          <w:i w:val="1"/>
          <w:iCs w:val="1"/>
          <w:color w:val="auto"/>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5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vehicles are being designed with autonomous driving (“AD”) and advanced driver assistance system (“ADAS”) hardware, and we expect to launch the Lucid Air and Project Gravity with Level 2 (partial automation) ADAS functionality, which we plan to upgrade with additional capabilities over time. AD/ADAS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our AD/ADAS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addition, we face substantial competition in the development and deployment of AD/ADAS technologies. Many of our competitors, including Tesla, established automakers such as Mercedes-Benz, Audi and General Motors (including via its investments in Cruise Automation), and technology companies including Waymo (owned by Alphabet), Zoox.ai (owned by Amazon), Aurora (which recently announced a business combination with Uber’s subsidiary focused on self-driving technologies), Argo AI (jointly owned by Ford and Volkswagen), Mobileye (a subsidiary of Intel), Aptiv, Nuro and Ghost.ai, have devoted significant time and resources to developing self-driving technologies. If we are unable to develop competitive Level 2 or more advanced AD/ADAS technologies in-house or acquire access to such technologies via partnerships or investments in other companies or assets, we may be unable to equip our vehicles with competitive AD/ADAS features, which could damage our brand, reduce consumer demand for our vehicles or trigger cancellations of reservations and could have a material adverse effect on our business, results of operations, prospects and financial condition.</w:t>
      </w:r>
    </w:p>
    <w:p>
      <w:pPr>
        <w:spacing w:after="0" w:line="154"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AD/ADAS technology is also subject to considerable regulatory uncertainty, which exposes us to additional risks. See “—</w:t>
      </w:r>
      <w:r>
        <w:rPr>
          <w:rFonts w:ascii="Arial" w:cs="Arial" w:eastAsia="Arial" w:hAnsi="Arial"/>
          <w:sz w:val="17"/>
          <w:szCs w:val="17"/>
          <w:i w:val="1"/>
          <w:iCs w:val="1"/>
          <w:color w:val="auto"/>
        </w:rPr>
        <w:t>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Litigation and Regulation —AD/ADAS technology is subject to uncertain and evolving regulations.</w:t>
      </w:r>
      <w:r>
        <w:rPr>
          <w:rFonts w:ascii="Arial" w:cs="Arial" w:eastAsia="Arial" w:hAnsi="Arial"/>
          <w:sz w:val="17"/>
          <w:szCs w:val="17"/>
          <w:color w:val="auto"/>
        </w:rPr>
        <w:t>”</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and prospects depend significantly on our brand.</w:t>
      </w:r>
    </w:p>
    <w:p>
      <w:pPr>
        <w:spacing w:after="0" w:line="18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business and prospects will heavily depend on our ability to develop, maintain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may be required to change our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our brand.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4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In addition, from time to time, our vehicles may be evaluated and reviewed by third parties.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22"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We face risks associated with international operations, including unfavorable regulatory, political, tax and labor conditions, which could harm our business.</w:t>
      </w:r>
    </w:p>
    <w:p>
      <w:pPr>
        <w:spacing w:after="0" w:line="13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anticipate having operations and subsidiaries in Europe, the Middle East and China that are subject to the legal, political, regulatory and social requirements and economic conditions in these jurisdictions. Additionally, as part of our growth strategy, we intend to expand our sales, maintenance and repair services outside of the United States and may also expand our manufacturing activities outside the United States. However, we have no experience to date manufacturing, selling or servicing our vehicles outside of the United States, and such expansion would require us to make significant expenditures, including the hiring of local employees and establishing facilities,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151" w:lineRule="exact"/>
        <w:rPr>
          <w:sz w:val="20"/>
          <w:szCs w:val="20"/>
          <w:color w:val="auto"/>
        </w:rPr>
      </w:pPr>
    </w:p>
    <w:p>
      <w:pPr>
        <w:ind w:left="680" w:hanging="321"/>
        <w:spacing w:after="0"/>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conforming our vehicles to various international regulatory requirements where our vehicles are sold, or homologation;</w:t>
      </w:r>
    </w:p>
    <w:p>
      <w:pPr>
        <w:spacing w:after="0" w:line="209" w:lineRule="exact"/>
        <w:rPr>
          <w:rFonts w:ascii="Arial" w:cs="Arial" w:eastAsia="Arial" w:hAnsi="Arial"/>
          <w:sz w:val="17"/>
          <w:szCs w:val="17"/>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localized supply chains and managing international supply chain and logistics costs;</w:t>
      </w:r>
    </w:p>
    <w:p>
      <w:pPr>
        <w:spacing w:after="0" w:line="184"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sufficient charging points for our customers in those jurisdictions, via partnerships or, if necessary, via development of our own charging networks;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staffing and managing foreign operations;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attracting customers in new jurisdictions;</w:t>
      </w:r>
    </w:p>
    <w:p>
      <w:pPr>
        <w:spacing w:after="0" w:line="184" w:lineRule="exact"/>
        <w:rPr>
          <w:rFonts w:ascii="Arial" w:cs="Arial" w:eastAsia="Arial" w:hAnsi="Arial"/>
          <w:sz w:val="18"/>
          <w:szCs w:val="18"/>
          <w:color w:val="auto"/>
        </w:rPr>
      </w:pPr>
    </w:p>
    <w:p>
      <w:pPr>
        <w:ind w:left="680" w:right="700" w:hanging="321"/>
        <w:spacing w:after="0" w:line="263"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63"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143" w:lineRule="exact"/>
        <w:rPr>
          <w:rFonts w:ascii="Arial" w:cs="Arial" w:eastAsia="Arial" w:hAnsi="Arial"/>
          <w:sz w:val="18"/>
          <w:szCs w:val="18"/>
          <w:color w:val="auto"/>
        </w:rPr>
      </w:pPr>
    </w:p>
    <w:p>
      <w:pPr>
        <w:ind w:left="680" w:right="38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interest rates, including risks related to any forward currency contracts, interest rate swaps or other hedging activities we undertake;</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United States and foreign government trade restrictions, tariffs and price or exchange controls;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labor laws, regulations and restrictions;</w:t>
      </w:r>
    </w:p>
    <w:p>
      <w:pPr>
        <w:spacing w:after="0" w:line="184" w:lineRule="exact"/>
        <w:rPr>
          <w:rFonts w:ascii="Arial" w:cs="Arial" w:eastAsia="Arial" w:hAnsi="Arial"/>
          <w:sz w:val="18"/>
          <w:szCs w:val="18"/>
          <w:color w:val="auto"/>
        </w:rPr>
      </w:pPr>
    </w:p>
    <w:p>
      <w:pPr>
        <w:ind w:left="680" w:right="40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political risk and customer perceptions based on such changes and risks;</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political instability, natural disasters, pandemics (including the ongoing COVID-19 pandemic), war or events of terrorism; and</w:t>
      </w:r>
    </w:p>
    <w:p>
      <w:pPr>
        <w:spacing w:after="0" w:line="207" w:lineRule="exact"/>
        <w:rPr>
          <w:rFonts w:ascii="Arial" w:cs="Arial" w:eastAsia="Arial" w:hAnsi="Arial"/>
          <w:sz w:val="16"/>
          <w:szCs w:val="16"/>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strength of international economies.</w:t>
      </w:r>
    </w:p>
    <w:p>
      <w:pPr>
        <w:spacing w:after="0" w:line="185"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If we fail to successfully address these risks, our business, prospects, results of operations and financial condition could be materially harmed.</w:t>
      </w:r>
    </w:p>
    <w:p>
      <w:pPr>
        <w:spacing w:after="0" w:line="143" w:lineRule="exact"/>
        <w:rPr>
          <w:sz w:val="20"/>
          <w:szCs w:val="20"/>
          <w:color w:val="auto"/>
        </w:rPr>
      </w:pPr>
    </w:p>
    <w:p>
      <w:pPr>
        <w:ind w:left="180" w:right="360"/>
        <w:spacing w:after="0" w:line="277" w:lineRule="auto"/>
        <w:rPr>
          <w:sz w:val="20"/>
          <w:szCs w:val="20"/>
          <w:color w:val="auto"/>
        </w:rPr>
      </w:pPr>
      <w:r>
        <w:rPr>
          <w:rFonts w:ascii="Arial" w:cs="Arial" w:eastAsia="Arial" w:hAnsi="Arial"/>
          <w:sz w:val="18"/>
          <w:szCs w:val="18"/>
          <w:b w:val="1"/>
          <w:bCs w:val="1"/>
          <w:i w:val="1"/>
          <w:iCs w:val="1"/>
          <w:color w:val="auto"/>
        </w:rPr>
        <w:t>Uninsured losses could result in payment of substantial damages, which would decrease our cash reserves and could harm our cash flow and financial condition.</w:t>
      </w:r>
    </w:p>
    <w:p>
      <w:pPr>
        <w:spacing w:after="0" w:line="13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the ordinary course of business, we may be subject to losses resulting from product liability, accidents, acts of God and other claims against us, for which we may have no insurance coverage. While we currently carry commercial general liability, commercial automobile liability, excess liability, product liability, cybersecurity, crime, special crime, drone, cargo stock throughput, builder’s risk, owner controlled insurance program, property, owners protective, workers’ compensation, employment practices, employed lawyers, production, fiduciary liability and directors’ and officers’ insurance policies, we may not maintain as much insurance coverage as other original equipment manufacturers do, and in some cases, we may not maintain any at all. Additionally, the policies that we have may include significant deductibles, and we cannot be certain that our insurance coverage will be sufficient to cover all or any future claims against us. A loss that is uninsured or exceeds policy limits may require us to pay substantial amounts, which could adversely affect our financial condition and results of operations. Further, insurance coverage may not continue to be available to us or, if available, may be at a significantly higher cost, especially if insurance providers perceive any increase in our risk profile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 Chain</w:t>
      </w:r>
    </w:p>
    <w:p>
      <w:pPr>
        <w:spacing w:after="0" w:line="202"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We have experienced and may in the future experience significant delays in the design, manufacture, launch and financing of the Lucid Air, which could harm our business and prospects.</w:t>
      </w:r>
    </w:p>
    <w:p>
      <w:pPr>
        <w:spacing w:after="0" w:line="13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vehicles are still in the development and testing phase, and production of the Lucid Air sedan and the Project Gravity SUV is not expected to begin until the second half of 2021 and the end of 2023, respectively, and may occur later or not at all. Any delay in the financing, design, manufacture and launch of the Lucid Air, including planned future variants, and any future electric vehicles could materially damage our business, prospects, financial condition and results of operations. Automobile manufacturers often experience delays in the design, manufacture and commercial release of new vehicle models, and we have experienced in the past, and may experience in the future, such delays with regard to the Lucid Air. For example, we have experienced delays in the engineering of certain of our vehicle systems. Our plan to commercially manufacture and sell the Lucid Air is dependent upon the timely availability of funds, upon our finalizing of the related design, engineering, component procurement, testing, build-out and manufacturing plans in a timely manner and also upon our ability to execute these plans within the planned timeline. Prior to mass production of our electric vehicles, we will also need the vehicles to be fully approved for sale according to differing requirements, including but not limited to regulatory requirements, in the different geographies where we intend to launch our vehicles. To the extent we further delay the launch of the Lucid Air, our growth prospects could be adversely affected as we may fail to grow our market share.</w:t>
      </w:r>
    </w:p>
    <w:p>
      <w:pPr>
        <w:spacing w:after="0" w:line="127"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Furthermore, we rely on third party suppliers for the provision and development of many of the key components and materials used in our vehicles. To the extent our suppliers experience any delays in providing us with or developing necessary components, we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could experience delays in delivering on our timelines. For example, in certain instances, international travel restrictions have prevented our supply quality engineers from conducting in-person visits and quality engineering for parts production with international suppliers, which has contributed to delays in our supply chain. Likewise, we may encounter delays with the design, construction and regulatory or other approvals necessary to bring online our Casa Grande, Arizona manufacturing facilities, future expansions of the Casa Grande manufacturing facilities, or other future manufacturing facilities. 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5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continued development of and the ability to start manufacturing our vehicles, including the Lucid Air and Project Gravity, are and will be subject to risks, including with respect to:</w:t>
      </w:r>
    </w:p>
    <w:p>
      <w:pPr>
        <w:spacing w:after="0" w:line="143" w:lineRule="exact"/>
        <w:rPr>
          <w:sz w:val="20"/>
          <w:szCs w:val="20"/>
          <w:color w:val="auto"/>
        </w:rPr>
      </w:pPr>
    </w:p>
    <w:p>
      <w:pPr>
        <w:ind w:left="680" w:right="44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ensure readiness of firmware features and functions to be integrated into the Lucid Air as planned and on the desired timeline;</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finalize release candidate specifications as planned and on the desired timeline;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delays by us in delivering final component designs to our suppliers;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or our suppliers’ ability to successfully tool their manufacturing facilities as planned and on the desired timeline;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ensure working supply chain and desired supplier part quality as planned and on the desired timeline;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accurately manufacture vehicles within specified design tolerances;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occurrence of product defects that cannot be remedied without adversely affecting the expected start of production;</w:t>
      </w:r>
    </w:p>
    <w:p>
      <w:pPr>
        <w:spacing w:after="0" w:line="196" w:lineRule="exact"/>
        <w:rPr>
          <w:rFonts w:ascii="Arial" w:cs="Arial" w:eastAsia="Arial" w:hAnsi="Arial"/>
          <w:sz w:val="17"/>
          <w:szCs w:val="17"/>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secure necessary funding;</w:t>
      </w:r>
    </w:p>
    <w:p>
      <w:pPr>
        <w:spacing w:after="0" w:line="184" w:lineRule="exact"/>
        <w:rPr>
          <w:rFonts w:ascii="Arial" w:cs="Arial" w:eastAsia="Arial" w:hAnsi="Arial"/>
          <w:sz w:val="18"/>
          <w:szCs w:val="18"/>
          <w:color w:val="auto"/>
        </w:rPr>
      </w:pPr>
    </w:p>
    <w:p>
      <w:pPr>
        <w:ind w:left="680" w:right="18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negotiate and execute definitive agreements with various suppliers for hardware, software, or services necessary to engineer or manufacture our vehicles;</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required regulatory approvals and certifications;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environmental, safety, and similar regulations and in a timely manner;</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secure necessary components, services, or licenses on acceptable terms and in a timely manner;</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recruit, hire, retain and train skilled employees;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implement effective and efficient quality controls;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disruptions in our supply chain including raw material supplies;</w:t>
      </w:r>
    </w:p>
    <w:p>
      <w:pPr>
        <w:spacing w:after="0" w:line="198"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arrangements on commercially reasonable terms with our suppliers, delivery and other partners, after sales service providers, and other operationally significant third parties;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delays, backlog in manufacturing and research and development of new models, and cost overruns;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ongoing COVID-19 pandemic, including related business interruptions and other effects; and</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risks identified herein.</w:t>
      </w:r>
    </w:p>
    <w:p>
      <w:pPr>
        <w:spacing w:after="0" w:line="185"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Although we expect the net proceeds from the Transactions to be sufficient to finance the initial commercial production of the Lucid Air, we expect that we will require additional financing to fund our planned operations and expansion plans. If we are unable to arrange for required funds under the terms and on the timeline that we anticipate, our plans for tooling and building out our</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manufacturing facilities and for commercial production of our electric vehicles could be significantly delayed, which would materially adversely affect our business, prospects, financial condition and results of operations.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our vehicles fail to perform as expected, our ability to develop, market and sell or lease our products could be harmed.</w:t>
      </w:r>
    </w:p>
    <w:p>
      <w:pPr>
        <w:spacing w:after="0" w:line="22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Once production commences, our vehicles may contain defects in design and manufacture that may cause them not to perform as expected or that may require repairs, recalls, and design changes, any of which would require significant financial and other resources to successfully navigate and resolve. Our vehicles will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127"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Any defects, delays or legal restrictions on vehicle features, or other failure of our vehicles to perform as expected, could harm our reputation and result in delivery delays, product recalls, product liability claims, breach of warranty claims and significant warranty and other expenses, and could have a material adverse impact on our business, results of operations, prospects and financial condition. As a new entrant 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spacing w:after="0" w:line="13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face challenges providing charging solutions for our vehicles.</w:t>
      </w:r>
    </w:p>
    <w:p>
      <w:pPr>
        <w:spacing w:after="0" w:line="18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Demand for our vehicles will depend in part on the availability of charging infrastructure.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a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appropriations for such a deployment may not occur at proposed levels or at all, which could serve to limit the development of public charging infrastructure and increase the relative attractiveness to potential customers of a proprietary charging solution.</w:t>
      </w:r>
    </w:p>
    <w:p>
      <w:pPr>
        <w:spacing w:after="0" w:line="14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spacing w:after="0" w:line="146" w:lineRule="exact"/>
        <w:rPr>
          <w:sz w:val="20"/>
          <w:szCs w:val="20"/>
          <w:color w:val="auto"/>
        </w:rPr>
      </w:pPr>
    </w:p>
    <w:p>
      <w:pPr>
        <w:ind w:left="180" w:right="120"/>
        <w:spacing w:after="0" w:line="381" w:lineRule="auto"/>
        <w:rPr>
          <w:sz w:val="20"/>
          <w:szCs w:val="20"/>
          <w:color w:val="auto"/>
        </w:rPr>
      </w:pPr>
      <w:r>
        <w:rPr>
          <w:rFonts w:ascii="Arial" w:cs="Arial" w:eastAsia="Arial" w:hAnsi="Arial"/>
          <w:sz w:val="15"/>
          <w:szCs w:val="15"/>
          <w:b w:val="1"/>
          <w:bCs w:val="1"/>
          <w:i w:val="1"/>
          <w:iCs w:val="1"/>
          <w:color w:val="auto"/>
        </w:rPr>
        <w:t>We have no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73"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Because we do not plan to begin commercial production of the Lucid Air until the second half of 2021 at the earliest, we have no experience servicing or repairing our vehicles. Servicing electric vehicles is different than servicing vehicles with internal combustion engines and requires specialized skills, including high voltage training and servicing techniques. In addition, we plan to partner with certain third parties to perform some of the service on our vehicles, and there can be no assurance that we will be able to enter into acceptable arrangements with any such third-party providers. Further, although such servicing partners may have experience in servicing other electric vehicles, they will initially have no experience in servicing our vehicles.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127" w:lineRule="exact"/>
        <w:rPr>
          <w:sz w:val="20"/>
          <w:szCs w:val="20"/>
          <w:color w:val="auto"/>
        </w:rPr>
      </w:pPr>
    </w:p>
    <w:p>
      <w:pPr>
        <w:jc w:val="both"/>
        <w:ind w:right="200" w:firstLine="324"/>
        <w:spacing w:after="0" w:line="301" w:lineRule="auto"/>
        <w:rPr>
          <w:sz w:val="20"/>
          <w:szCs w:val="20"/>
          <w:color w:val="auto"/>
        </w:rPr>
      </w:pPr>
      <w:r>
        <w:rPr>
          <w:rFonts w:ascii="Arial" w:cs="Arial" w:eastAsia="Arial" w:hAnsi="Arial"/>
          <w:sz w:val="16"/>
          <w:szCs w:val="16"/>
          <w:color w:val="auto"/>
        </w:rPr>
        <w:t>In addition, the motor vehicle industry laws in many states require that service facilities be available to service vehicles physically sold from locations in the state. While we anticipate developing a service program that would satisfy regulatory requirements in these circumstances, the specifics of our service program are still in development, and at some point may need to be restructured to comply with state law, which may impact our business, financial condition, results of operations and prospects.</w:t>
      </w:r>
    </w:p>
    <w:p>
      <w:pPr>
        <w:spacing w:after="0" w:line="11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139" w:lineRule="exact"/>
        <w:rPr>
          <w:sz w:val="20"/>
          <w:szCs w:val="20"/>
          <w:color w:val="auto"/>
        </w:rPr>
      </w:pPr>
    </w:p>
    <w:p>
      <w:pPr>
        <w:ind w:left="180"/>
        <w:spacing w:after="0" w:line="381" w:lineRule="auto"/>
        <w:rPr>
          <w:sz w:val="20"/>
          <w:szCs w:val="20"/>
          <w:color w:val="auto"/>
        </w:rPr>
      </w:pPr>
      <w:r>
        <w:rPr>
          <w:rFonts w:ascii="Arial" w:cs="Arial" w:eastAsia="Arial" w:hAnsi="Arial"/>
          <w:sz w:val="15"/>
          <w:szCs w:val="15"/>
          <w:b w:val="1"/>
          <w:bCs w:val="1"/>
          <w:i w:val="1"/>
          <w:iCs w:val="1"/>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6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will provide a manufacturer’s warranty on all vehicles and powertrain components and systems we sell. Once our vehicles are in commercial production, we will need to maintain reserves to cover part replacement and other vehicle repair needs, including any potential software upgrades or warranty claims. In addition, we expect to provide a manufacturer’s warranty on any future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have no experience to date in high volume manufacture of our vehicles.</w:t>
      </w:r>
    </w:p>
    <w:p>
      <w:pPr>
        <w:spacing w:after="0" w:line="18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cannot provide any assurance as to whether we will be able to develop efficient, automated, low-cost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satisfy the requirements of customers and potential customers. Any failure to develop such production processes and capabilities within our projected costs and timelines could have a material adverse effect on our business, results of operations, prospects and financial condition. Bottlenecks and other unexpected challenges may also arise as we ramp production of the Lucid Air, and it will be important that we address them promptly while continuing to control our manufacturing costs. If we are not successful in doing so, or if we experience issues with our manufacturing process improvements, we could face delays in establishing and/or sustaining our production ramps or be unable to meet our related cost and profitability targets.</w:t>
      </w:r>
    </w:p>
    <w:p>
      <w:pPr>
        <w:spacing w:after="0" w:line="141"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If we fail to successfully tool our manufacturing facilities or if our manufacturing facilities become inoperable, we will be unable to produce our vehicles and our business will be harmed.</w:t>
      </w:r>
    </w:p>
    <w:p>
      <w:pPr>
        <w:spacing w:after="0" w:line="13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While we have completed the initial phase of construction at our manufacturing facilities in Casa Grande, Arizona, tooling our facilities for production of our vehicles and our future expansion plans are complicated and present significant challenges. For example, our manufacturing plans contemplate a compressed time period between finalization of the Lucid Air’s specifications for commercial production and the start of commercial production, which would require finalization of tooling in a short time period. In addition, certain of our suppliers may be unable to complete tooling with respect to finalized components of the Lucid Air in the planned timeframe after we deliver final component specifications, which could adversely affect our ability to begin commercial production of the Lucid Air on the expected timing and at the quality levels we require. As with any large-scale capital project, these efforts could be subject to delays, cost overruns or other complications. These risks could be exacerbated because we are building our facilities from the ground up to support our electric vehicle production processes, which differ substantially from traditional automobile production processes for which expertise is more readily available. In order to commence commercial production at our Casa Grande facilities, we will also need to hire and train a significant number of employees and integrate a yet-to-be-fully-developed supply chain. A failure to commence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spacing w:after="0" w:line="14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projections.</w:t>
      </w:r>
    </w:p>
    <w:p>
      <w:pPr>
        <w:spacing w:after="0" w:line="15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 addition, we expect to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AD/ADAS hardware. There is no guarantee that we will be able to successfully and timely introduce and scale any such new processes or features.</w:t>
      </w:r>
    </w:p>
    <w:p>
      <w:pPr>
        <w:spacing w:after="0" w:line="11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Furthermore, our Casa Grande facilities and the equipment we use to manufacture our vehicles will be costly to repair or replace and could require substantial lead time to repair or replace and qualify for use. We will rely heavily on complex machinery for our operations, and our production will involve a significant degree of uncertainty and risk in terms of operational performance and costs. Our manufacturing plant will employ large-scale, complex machinery combining many components, which once deployed may suffer unexpected malfunctions from time to time and will depend on repairs and spare parts that may not be available when needed. Unexpected malfunctions of the manufacturing plant components may significantly decrease our operational efficiency, including by</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forcing manufacturing shutdowns in order to conduct repairs or troubleshoot manufacturing problems. Our facilities may also be harmed or rendered inoperable by natural or man-made disasters, including but not limited to earthquakes, tornadoes, flooding, fire, power outages, environmental hazards and remediation, costs associated with decommissioning of equipment, labor disputes and strikes, difficulty or delays in obtaining governmental permits and licenses, damages or defects in electronic systems, industrial accidents or health epidemics, such as the recent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 business, this insurance may not be sufficient to cover all of our potential losses and may not continue to be available to us on acceptable terms, if at all.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27" w:lineRule="exact"/>
        <w:rPr>
          <w:sz w:val="20"/>
          <w:szCs w:val="20"/>
          <w:color w:val="auto"/>
        </w:rPr>
      </w:pPr>
    </w:p>
    <w:p>
      <w:pPr>
        <w:ind w:left="180"/>
        <w:spacing w:after="0" w:line="263" w:lineRule="auto"/>
        <w:rPr>
          <w:sz w:val="20"/>
          <w:szCs w:val="20"/>
          <w:color w:val="auto"/>
        </w:rPr>
      </w:pPr>
      <w:r>
        <w:rPr>
          <w:rFonts w:ascii="Arial" w:cs="Arial" w:eastAsia="Arial" w:hAnsi="Arial"/>
          <w:sz w:val="18"/>
          <w:szCs w:val="18"/>
          <w:b w:val="1"/>
          <w:bCs w:val="1"/>
          <w:i w:val="1"/>
          <w:iCs w:val="1"/>
          <w:color w:val="auto"/>
        </w:rPr>
        <w:t>Our ability to start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5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success, including our ability to start production of the Lucid Air, will be dependent upon our ability to enter into supplier agreements and maintain our relationships with suppliers who are critical and necessary to the output and production of our vehicles. We also rely on suppliers to provide us with the components for our vehicles. The supplier agreements we have or may enter into with key suppliers in the future may have provisions where such agreements can be terminated in various circumstances, including potentially without cause. If these suppliers become unable to provide, or experience delays in providing, components, or if the supplier agreements we have in place are terminated, it may be difficult to find replacement components. Changes in business conditions, pandemics, governmental changes and other factors beyond our control or that we do not presently anticipate could affect our ability to receive components from our suppliers.</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Further, we have not secured supply agreements for all of our components. We may be at a disadvantage in negotiating supply agreements for the production of our vehicles due to our limited operating history and the limited time period before the planned start of production of the Lucid Air. In addition, there is the possibility that finalizing the supply agreements for the parts and components of our vehicles will cause significant disruption to our operations, or such supply agreements could be at costs that make it difficult for us to operate profitably.</w:t>
      </w:r>
    </w:p>
    <w:p>
      <w:pPr>
        <w:spacing w:after="0" w:line="14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If we do not enter into long-term supplier agreements with guaranteed pricing for our parts or components, we may be exposed to fluctuations in prices of components, materials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and equipment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68" w:lineRule="exact"/>
        <w:rPr>
          <w:sz w:val="20"/>
          <w:szCs w:val="20"/>
          <w:color w:val="auto"/>
        </w:rPr>
      </w:pPr>
    </w:p>
    <w:p>
      <w:pPr>
        <w:ind w:left="180" w:right="80"/>
        <w:spacing w:after="0" w:line="259" w:lineRule="auto"/>
        <w:rPr>
          <w:sz w:val="20"/>
          <w:szCs w:val="20"/>
          <w:color w:val="auto"/>
        </w:rPr>
      </w:pPr>
      <w:r>
        <w:rPr>
          <w:rFonts w:ascii="Arial" w:cs="Arial" w:eastAsia="Arial" w:hAnsi="Arial"/>
          <w:sz w:val="18"/>
          <w:szCs w:val="18"/>
          <w:b w:val="1"/>
          <w:bCs w:val="1"/>
          <w:i w:val="1"/>
          <w:iCs w:val="1"/>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could have a material adverse effect on our results of operations and financial condition.</w:t>
      </w:r>
    </w:p>
    <w:p>
      <w:pPr>
        <w:spacing w:after="0" w:line="146"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rely on hundreds of third-party suppliers for the provision and development of many of the key components and materials used in our vehicles. While we plan to obtain components from multiple sources whenever possible, many of the components used in our vehicles will be purchased by us from a single source, and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This risk is heightened by the compressed period we anticipate between finalization of the Lucid Air and the start of commercial production, which may not provide all suppliers with sufficient time to begin production of finalized components of the Lucid Air in the planned timeframe or at the quality levels we demand and could cause delays in the planned start of production of the Lucid Air or issues with initial quality levels of the Lucid Air. Additionally, our third-party suppliers may be unable to obtain required certifications or provide necessary warranties for their products that are necessary for</w:t>
      </w:r>
    </w:p>
    <w:p>
      <w:pPr>
        <w:sectPr>
          <w:pgSz w:w="11900" w:h="16838" w:orient="portrait"/>
          <w:cols w:equalWidth="0" w:num="1">
            <w:col w:w="9900"/>
          </w:cols>
          <w:pgMar w:left="980" w:top="665"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use in our vehicles. We may also be impacted by changes in our supply chain or production needs, including cost increases from our suppliers, in order to meet our quality targets and development timelines as well as due to design changes. Likewise, any significant increases in our production may in the future require us to procure additional components in a short amount of time. Our suppliers may not ultimately be able to sustainably and timely meet our cost, quality and volume needs, requiring us to replace them with other sources.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w:t>
      </w:r>
    </w:p>
    <w:p>
      <w:pPr>
        <w:spacing w:after="0" w:line="137"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In addition, we could experience delays if our suppliers do not meet agreed upon timelines or experience capacity constraints. Any disruption in the supply of components, whether or not from a single source supplier, could temporarily disrupt production of our vehicles until an alternative supplier is able to supply the required material.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favorable pricing and other terms, or at all. Any of the foregoing could materially and adversely affect our results of operations, financial condition and prospects.</w:t>
      </w:r>
    </w:p>
    <w:p>
      <w:pPr>
        <w:spacing w:after="0" w:line="15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Furthermore, as the scale of our vehicle production increases, we will need to accurately forecast, purchase, warehouse and transport components to our manufacturing facilities and servicing locations internationally and at much higher volumes. If we are unable to accurately match the timing and quantities of component purchases to our actual needs or successfully implement automation, inventory management and other systems to accommodate the increased complexity in our supply chain, we may incur unexpected production disruption, storage, transportation and write-off costs, which could have a material adverse effect on our results of operations and financial condition.</w:t>
      </w:r>
    </w:p>
    <w:p>
      <w:pPr>
        <w:spacing w:after="0" w:line="1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as we develop an international manufacturing footprint, we will face additional challenges with respect to international supply chain management and logistics costs. If we are unable to access or develop localized supply chains in the regions where we develop manufacturing facilities with the quality, costs and capabilities required, we could be required to source components from distant suppliers, which would increase our logistics and manufacturing costs, increase the risk and complexity of our supply chain and significantly impair our ability to develop cost-effective manufacturing operations, which could have a material adverse effect on our business, results of operations and financial condition.</w:t>
      </w:r>
    </w:p>
    <w:p>
      <w:pPr>
        <w:spacing w:after="0" w:line="15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Furthermore, unexpected changes in business conditions, materials pricing, labor issues, wars, governmental changes, tariffs, natural disasters, health epidemics such as the ongoing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attempts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152" w:lineRule="exact"/>
        <w:rPr>
          <w:sz w:val="20"/>
          <w:szCs w:val="20"/>
          <w:color w:val="auto"/>
        </w:rPr>
      </w:pPr>
    </w:p>
    <w:p>
      <w:pPr>
        <w:ind w:left="180" w:right="120"/>
        <w:spacing w:after="0" w:line="263" w:lineRule="auto"/>
        <w:rPr>
          <w:sz w:val="20"/>
          <w:szCs w:val="20"/>
          <w:color w:val="auto"/>
        </w:rPr>
      </w:pPr>
      <w:r>
        <w:rPr>
          <w:rFonts w:ascii="Arial" w:cs="Arial" w:eastAsia="Arial" w:hAnsi="Arial"/>
          <w:sz w:val="18"/>
          <w:szCs w:val="18"/>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43"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no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fail to order sufficient quantities of product components in a timely manner, the delivery of vehicles to our customers could be delayed, which would harm our business, financial condition and results of operations.</w:t>
      </w:r>
    </w:p>
    <w:p>
      <w:pPr>
        <w:spacing w:after="0" w:line="130"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Increases in costs, disruption of supply or shortage of materials, in particular for lithium-ion cells or semiconductors, could harm our business.</w:t>
      </w:r>
    </w:p>
    <w:p>
      <w:pPr>
        <w:spacing w:after="0" w:line="14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Once we begin commercial production of our vehicles or any future energy storage systems, we may experience increases in the cost of or a sustained interruption in the supply or shortage of materials. Any such increase, supply interruption or shortage could materially and adversely impact our business, results of operations, prospects and financial condition. We use various materials in our business, including aluminum, steel, lithium, nickel, copper, cobalt, neodymium, terbium, praseodymium and manganese, as well as lithium-ion cells and semiconductors from suppliers. The prices for these materials fluctuate, and their available supply may be unstable, depending on market conditions and global demand for these materials, including as a result of increased production of electric vehicles and energy storage products by our competitors, and could adversely affect our business and results of operations. For instance, we are exposed to multiple risks relating to lithium-ion cells. These risks include:</w:t>
      </w:r>
    </w:p>
    <w:p>
      <w:pPr>
        <w:spacing w:after="0" w:line="138" w:lineRule="exact"/>
        <w:rPr>
          <w:sz w:val="20"/>
          <w:szCs w:val="20"/>
          <w:color w:val="auto"/>
        </w:rPr>
      </w:pPr>
    </w:p>
    <w:p>
      <w:pPr>
        <w:ind w:left="680" w:hanging="321"/>
        <w:spacing w:after="0" w:line="342" w:lineRule="auto"/>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83" w:lineRule="exact"/>
        <w:rPr>
          <w:rFonts w:ascii="Arial" w:cs="Arial" w:eastAsia="Arial" w:hAnsi="Arial"/>
          <w:sz w:val="16"/>
          <w:szCs w:val="16"/>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the cost, or decrease in the available supply, of materials, such as cobalt, used in lithium-ion cells;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 in the supply of cells due to quality issues or recalls by battery cell manufacturers; and</w:t>
      </w:r>
    </w:p>
    <w:p>
      <w:pPr>
        <w:spacing w:after="0" w:line="184" w:lineRule="exact"/>
        <w:rPr>
          <w:rFonts w:ascii="Arial" w:cs="Arial" w:eastAsia="Arial" w:hAnsi="Arial"/>
          <w:sz w:val="18"/>
          <w:szCs w:val="18"/>
          <w:color w:val="auto"/>
        </w:rPr>
      </w:pPr>
    </w:p>
    <w:p>
      <w:pPr>
        <w:ind w:left="680" w:right="46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value of any foreign currencies, and the Korean Won in particular, in which battery cell and related raw material purchases are or may be denominated against the U.S. dollar.</w:t>
      </w:r>
    </w:p>
    <w:p>
      <w:pPr>
        <w:spacing w:after="0" w:line="130"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the start of production of the Lucid Air or planned future vehicles, impair our ability to continue production once started or force us or our suppliers to pay exorbitant rates for continued access to semiconductors, and of which could have a material adverse effect on our business, prospects and results of operations. In addition, prices and transportation expenses for these materials fluctuate depending on many factors beyond our control, including fluctuations in supply and demand, currency fluctuations, tariffs and taxes, fluctuations and shortages in petroleum supply, freight charges and other economic and political factors.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spacing w:after="0" w:line="147" w:lineRule="exact"/>
        <w:rPr>
          <w:sz w:val="20"/>
          <w:szCs w:val="20"/>
          <w:color w:val="auto"/>
        </w:rPr>
      </w:pPr>
    </w:p>
    <w:p>
      <w:pPr>
        <w:ind w:left="180" w:right="500"/>
        <w:spacing w:after="0" w:line="342" w:lineRule="auto"/>
        <w:rPr>
          <w:sz w:val="20"/>
          <w:szCs w:val="20"/>
          <w:color w:val="auto"/>
        </w:rPr>
      </w:pPr>
      <w:r>
        <w:rPr>
          <w:rFonts w:ascii="Arial" w:cs="Arial" w:eastAsia="Arial" w:hAnsi="Arial"/>
          <w:sz w:val="16"/>
          <w:szCs w:val="16"/>
          <w:b w:val="1"/>
          <w:bCs w:val="1"/>
          <w:i w:val="1"/>
          <w:iCs w:val="1"/>
          <w:color w:val="auto"/>
        </w:rPr>
        <w:t>We must develop complex software and technology systems, including in coordination with vendors and suppliers, in order to produce our electric vehicles, and there can be no assurance such systems will be successfully developed.</w:t>
      </w:r>
    </w:p>
    <w:p>
      <w:pPr>
        <w:spacing w:after="0" w:line="8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vehicles, including the Lucid Air, will use a substantial amount of third-party and in-house software and complex technological hardware to operate, some of which is still subject to further development and testing. The development and implementation of such advanced technologies is inherently complex, and we will need to coordinate with our vendors and suppliers in order to integrate such technology into our electric vehicles and ensure it interoperates with other complex technology as designed and as expected. 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124" w:lineRule="exact"/>
        <w:rPr>
          <w:sz w:val="20"/>
          <w:szCs w:val="20"/>
          <w:color w:val="auto"/>
        </w:rPr>
      </w:pPr>
    </w:p>
    <w:p>
      <w:pPr>
        <w:ind w:left="4880" w:right="3420" w:hanging="4521"/>
        <w:spacing w:after="0" w:line="778" w:lineRule="auto"/>
        <w:tabs>
          <w:tab w:leader="none" w:pos="6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delayed start of production and delivery of our vehicles, including the Lucid Air;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delayed market acceptance of our vehicles;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customers or inability to attract new customers;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engineering or other resources for remedying the defect or error;</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damage to our brand or reputation;</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service and warranty costs;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action by customers or third parties, including product liability claims; and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penalties imposed by regulatory authorities.</w:t>
      </w:r>
    </w:p>
    <w:p>
      <w:pPr>
        <w:spacing w:after="0" w:line="18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if we are unable to develop the software and technology systems necessary to operate our vehicles, our competitive position will be harmed. We rely on third-party suppliers to develop a number of technologies for use in our products, including Continental, Bosch, Valeo, Cogent, Quanta, Robosense, Via, Primax, Eletrobit, Here, Ublox, Renesas, Blackberry, Qt and DSP Concepts.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168" w:lineRule="exact"/>
        <w:rPr>
          <w:sz w:val="20"/>
          <w:szCs w:val="20"/>
          <w:color w:val="auto"/>
        </w:rPr>
      </w:pPr>
    </w:p>
    <w:p>
      <w:pPr>
        <w:ind w:left="180" w:right="400"/>
        <w:spacing w:after="0" w:line="277" w:lineRule="auto"/>
        <w:rPr>
          <w:sz w:val="20"/>
          <w:szCs w:val="20"/>
          <w:color w:val="auto"/>
        </w:rPr>
      </w:pPr>
      <w:r>
        <w:rPr>
          <w:rFonts w:ascii="Arial" w:cs="Arial" w:eastAsia="Arial" w:hAnsi="Arial"/>
          <w:sz w:val="18"/>
          <w:szCs w:val="18"/>
          <w:b w:val="1"/>
          <w:bCs w:val="1"/>
          <w:i w:val="1"/>
          <w:iCs w:val="1"/>
          <w:color w:val="auto"/>
        </w:rPr>
        <w:t>Our facilities or operations could be adversely affected by events outside of our control, such as natural disasters, wars, health epidemics or pandemics, or security incidents.</w:t>
      </w:r>
    </w:p>
    <w:p>
      <w:pPr>
        <w:spacing w:after="0" w:line="13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may be impacted by natural disasters, wars, health epidemics or pandemics or other events outside of our control. For example, our corporate headquarters are located in seismically active regions in Northern California, and our manufacturing facilities in Arizona are located in a sandstorm-, flood- and tornado-prone area. If major disasters such as earthquakes, wildfires, floods, tornadoes or other events occur, or our information system or communications network breaks down or operates improperly, our headquarters and manufacturing facilities may be seriously damaged, or we may have to stop or delay production and shipment of our products. In addition, the ongoing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w:t>
      </w:r>
      <w:r>
        <w:rPr>
          <w:rFonts w:ascii="Arial" w:cs="Arial" w:eastAsia="Arial" w:hAnsi="Arial"/>
          <w:sz w:val="16"/>
          <w:szCs w:val="16"/>
          <w:i w:val="1"/>
          <w:iCs w:val="1"/>
          <w:color w:val="auto"/>
        </w:rPr>
        <w:t>Risks Related to Litigation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 —A failure to properly comply with foreign trade zone laws and regulations could increase the cost of our duties and tariffs.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may incur significant expenses or delays relating to such events outside of our control, which could have a material adverse impact on our business, results of operations and financial condition.</w:t>
      </w:r>
    </w:p>
    <w:p>
      <w:pPr>
        <w:spacing w:after="0" w:line="127" w:lineRule="exact"/>
        <w:rPr>
          <w:sz w:val="20"/>
          <w:szCs w:val="20"/>
          <w:color w:val="auto"/>
        </w:rPr>
      </w:pPr>
    </w:p>
    <w:p>
      <w:pPr>
        <w:ind w:left="180" w:right="140"/>
        <w:spacing w:after="0" w:line="263" w:lineRule="auto"/>
        <w:rPr>
          <w:sz w:val="20"/>
          <w:szCs w:val="20"/>
          <w:color w:val="auto"/>
        </w:rPr>
      </w:pPr>
      <w:r>
        <w:rPr>
          <w:rFonts w:ascii="Arial" w:cs="Arial" w:eastAsia="Arial" w:hAnsi="Arial"/>
          <w:sz w:val="18"/>
          <w:szCs w:val="18"/>
          <w:b w:val="1"/>
          <w:bCs w:val="1"/>
          <w:i w:val="1"/>
          <w:iCs w:val="1"/>
          <w:color w:val="auto"/>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5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initiate and ramps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vehicles will make use of lithium-ion battery cells, which have been observed to catch fire or vent smoke and flame.</w:t>
      </w:r>
    </w:p>
    <w:p>
      <w:pPr>
        <w:spacing w:after="0" w:line="196"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battery packs within our vehicles and any future energy storage systems will make use of lithium-ion cells. On rare occasions, lithium-ion cells can rapidly release the energy they contain by venting smoke and flames in a manner that can ignite</w:t>
      </w:r>
    </w:p>
    <w:p>
      <w:pPr>
        <w:sectPr>
          <w:pgSz w:w="11900" w:h="16838" w:orient="portrait"/>
          <w:cols w:equalWidth="0" w:num="1">
            <w:col w:w="9900"/>
          </w:cols>
          <w:pgMar w:left="980" w:top="665" w:right="1019"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nearby materials as well as other lithium-ion cells. While we have designed our battery packs to passively contain a single cell’s release of energy without spreading to neighboring cells, once our vehicles are commercially available, a field or testing failure of our vehicles or other battery packs that we produce could occur. In addition, although we intend to equip our vehicles with systems designed to detect and warn vehicle occupants of such thermal events, there can be no assurance that such systems will function as designed or will provide vehicle occupants with sufficient or any warning. Any such events or failures of our vehicles, battery packs or warning systems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 and reputation.</w:t>
      </w:r>
    </w:p>
    <w:p>
      <w:pPr>
        <w:spacing w:after="0" w:line="1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once we begin manufacturing our vehicles and any future energy storage products, we will need to store a significant number of lithium-ion cells at our Casa Grande, Arizona manufacturing facilities.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and Data Privacy</w:t>
      </w:r>
    </w:p>
    <w:p>
      <w:pPr>
        <w:spacing w:after="0" w:line="189" w:lineRule="exact"/>
        <w:rPr>
          <w:sz w:val="20"/>
          <w:szCs w:val="20"/>
          <w:color w:val="auto"/>
        </w:rPr>
      </w:pPr>
    </w:p>
    <w:p>
      <w:pPr>
        <w:ind w:left="180" w:right="160"/>
        <w:spacing w:after="0" w:line="263" w:lineRule="auto"/>
        <w:rPr>
          <w:sz w:val="20"/>
          <w:szCs w:val="20"/>
          <w:color w:val="auto"/>
        </w:rPr>
      </w:pPr>
      <w:r>
        <w:rPr>
          <w:rFonts w:ascii="Arial" w:cs="Arial" w:eastAsia="Arial" w:hAnsi="Arial"/>
          <w:sz w:val="18"/>
          <w:szCs w:val="18"/>
          <w:b w:val="1"/>
          <w:bCs w:val="1"/>
          <w:i w:val="1"/>
          <w:iCs w:val="1"/>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43"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products contain complex information technology systems. For example, our vehicles are designed with built-in data connectivity to accept and install periodic remote updates to improve their functionality. In addition, we expect to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designed, implemented and tested information security policies and deployed systems and measures to implement such policies, including encryption technologies, to prevent unauthorized access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4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Furthermore, hackers may in the future attempt to gain unauthorized access to, modify, alter and use our vehicles, products and systems to (i) gain control of, (ii) change the functionality, user interface and performance characteristics of or (iii) gain access to data stored in or generated by, our vehicles, products and systems. Advances in technology, an increased level of sophistication and diversity of our products and services, an increased level of expertise of hackers and new discoveries in the field of cryptography could lead to a compromise or breach of the measures that we or our third-party service providers use. We and our third-party service providers’ systems have in the past and may in the future be affected by security incidents. Our systems are also vulnerable to damage or interruption from, among other things, computer viruses, ransomware, computer denial or degradation of service attacks, telecommunications failures, social engineering schemes, domain name spoofing, insider theft, physical theft, fire, terrorist attacks, natural disasters, power loss, war, or misuse or other attempts to harm our products and systems. Our and our third-party service providers’ or vendors’ data centers could be subject to break-ins, sabotage and intentional acts of vandalism causing potential disruptions. Some of our systems will not be fully redundant, and our disaster recovery planning cannot account for all eventualities. Any problems at our or our third-party service providers’ or vendors’ data centers could result in lengthy interruptions in our service. There can be no assurance that any security or other operational measures that we or our third-party service providers or vendors have implemented will be effective against any of the foregoing threats or issues.</w:t>
      </w:r>
    </w:p>
    <w:p>
      <w:pPr>
        <w:spacing w:after="0" w:line="144"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causing monetary losses, giving rise to liabilities under our contracts or to the owners of the applicable information, subjecting us to substantial fines, penalties, damages and other liabilities under applicable</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laws and regulations, incurring substantial costs to respond to, investigate and remedy such incidents, reducing customer demand for our products, harming our reputation and brand and compromising or leading to a loss of protection of our intellectual property or trade secrets. In addition, regardless of their veracity, reports of unauthorized access to our vehicles, systems or data, as well as other factors that may result in the perception that our vehicles, systems or data are capable of being “hacked,” could negatively affect our brand. In addition, some members of the U.S. federal government, including certain members of Congress and the National Highway Traffic Safety Administration (“NHTSA”)</w:t>
      </w:r>
      <w:r>
        <w:rPr>
          <w:rFonts w:ascii="Arial" w:cs="Arial" w:eastAsia="Arial" w:hAnsi="Arial"/>
          <w:sz w:val="17"/>
          <w:szCs w:val="17"/>
          <w:i w:val="1"/>
          <w:iCs w:val="1"/>
          <w:color w:val="auto"/>
        </w:rPr>
        <w:t>,</w:t>
      </w:r>
      <w:r>
        <w:rPr>
          <w:rFonts w:ascii="Arial" w:cs="Arial" w:eastAsia="Arial" w:hAnsi="Arial"/>
          <w:sz w:val="17"/>
          <w:szCs w:val="17"/>
          <w:color w:val="auto"/>
        </w:rPr>
        <w:t xml:space="preserve">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are expected to apply in the European Union to all new vehicle types beginning in July 2022 and to all new vehicles produced from July 2024. Such regulations are also in effect, or expected to come into effect, in certain other international jurisdictions. These and other regulations could adversely affect the timing of our entry into the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spacing w:after="0" w:line="1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may not have adequate insurance coverage to cover losses associated with any of the foregoing, if any.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6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procurement, inventory management, production planning and execution,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141"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would then be responsible for installing such updates to the software and their software will be subject to these vulnerabilities until they do so. Any compromise of our intellectual property, proprietary information, systems or vehicles or inability prevent or effectively remedy errors, bugs, vulnerabilities or defects in our software and hardware may cause us to suffer lengthy interruptions to our ability to operate our business and our customers’ ability to operate their vehicles,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80" w:right="80"/>
        <w:spacing w:after="0" w:line="263" w:lineRule="auto"/>
        <w:rPr>
          <w:sz w:val="20"/>
          <w:szCs w:val="20"/>
          <w:color w:val="auto"/>
        </w:rPr>
      </w:pPr>
      <w:r>
        <w:rPr>
          <w:rFonts w:ascii="Arial" w:cs="Arial" w:eastAsia="Arial" w:hAnsi="Arial"/>
          <w:sz w:val="18"/>
          <w:szCs w:val="18"/>
          <w:b w:val="1"/>
          <w:bCs w:val="1"/>
          <w:i w:val="1"/>
          <w:iCs w:val="1"/>
          <w:color w:val="auto"/>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143"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In the course of our operations, we collect, use, store, disclose, transfer and otherwise process personal information from our customers, employees and third parties with whom we conduct business, including names, accounts, user IDs and passwords, and payment or transaction related information. Additionally, we will use our vehicles’ electronic systems to log information about each vehicle’s use, such as charge time, battery usage, mileage and driving behavior, in order to aid it in vehicle diagnostics, repair and maintenance, as well as to help us customize and improve the driving and riding experience. 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14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global data protection landscape is rapidly evolving, and implementation standards and enforcement practices are likely to remain uncertain for the foreseeable future. We may not be able to monitor and react to all developments in a timely manner. The European Union adopted the General Data Protection Regulation (“GDPR”)</w:t>
      </w:r>
      <w:r>
        <w:rPr>
          <w:rFonts w:ascii="Arial" w:cs="Arial" w:eastAsia="Arial" w:hAnsi="Arial"/>
          <w:sz w:val="17"/>
          <w:szCs w:val="17"/>
          <w:i w:val="1"/>
          <w:iCs w:val="1"/>
          <w:color w:val="auto"/>
        </w:rPr>
        <w:t>,</w:t>
      </w:r>
      <w:r>
        <w:rPr>
          <w:rFonts w:ascii="Arial" w:cs="Arial" w:eastAsia="Arial" w:hAnsi="Arial"/>
          <w:sz w:val="17"/>
          <w:szCs w:val="17"/>
          <w:color w:val="auto"/>
        </w:rPr>
        <w:t xml:space="preserve"> which became effective on May 25, 2018, and California adopted the California Consumer Privacy Act of 2018 (“CCPA”)</w:t>
      </w:r>
      <w:r>
        <w:rPr>
          <w:rFonts w:ascii="Arial" w:cs="Arial" w:eastAsia="Arial" w:hAnsi="Arial"/>
          <w:sz w:val="17"/>
          <w:szCs w:val="17"/>
          <w:i w:val="1"/>
          <w:iCs w:val="1"/>
          <w:color w:val="auto"/>
        </w:rPr>
        <w:t>,</w:t>
      </w:r>
      <w:r>
        <w:rPr>
          <w:rFonts w:ascii="Arial" w:cs="Arial" w:eastAsia="Arial" w:hAnsi="Arial"/>
          <w:sz w:val="17"/>
          <w:szCs w:val="17"/>
          <w:color w:val="auto"/>
        </w:rPr>
        <w:t xml:space="preserve"> which became effective in January 2020. Both the GDPR and the CCPA impose additional obligations on companies regarding the handling of personal data and provides certain individual privacy rights to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us to legal and reputational risks.</w:t>
      </w:r>
    </w:p>
    <w:p>
      <w:pPr>
        <w:spacing w:after="0" w:line="138"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Specifically,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we expand our operations, the CCPA may increase our compliance costs and potential liability. Some observers have noted that the CCPA could mark the beginning of a trend toward more stringent privacy legislation in the United States. Additionally, effective in most respects starting on January 1, 2023, the California Privacy Rights Act (“CPRA”)</w:t>
      </w:r>
      <w:r>
        <w:rPr>
          <w:rFonts w:ascii="Arial" w:cs="Arial" w:eastAsia="Arial" w:hAnsi="Arial"/>
          <w:sz w:val="17"/>
          <w:szCs w:val="17"/>
          <w:i w:val="1"/>
          <w:iCs w:val="1"/>
          <w:color w:val="auto"/>
        </w:rPr>
        <w:t>,</w:t>
      </w:r>
      <w:r>
        <w:rPr>
          <w:rFonts w:ascii="Arial" w:cs="Arial" w:eastAsia="Arial" w:hAnsi="Arial"/>
          <w:sz w:val="17"/>
          <w:szCs w:val="17"/>
          <w:color w:val="auto"/>
        </w:rPr>
        <w:t xml:space="preserve"> will significantly modify the CCPA, including by expanding California residents’ rights with respect to certain sensitive personal information. The CPRA also creates a new state agency that will be vested with authority to implement and enforce the CCPA and the CPRA.</w:t>
      </w:r>
    </w:p>
    <w:p>
      <w:pPr>
        <w:spacing w:after="0" w:line="14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Other states have begun to propose similar laws. Compliance with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13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post public privacy policies and other documentation regarding our collection, processing, use and disclosure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138"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Most jurisdictions have enacted laws requiring companies to notify individuals, regulatory authorities and other third parties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 and Human Resources</w:t>
      </w:r>
    </w:p>
    <w:p>
      <w:pPr>
        <w:spacing w:after="0" w:line="202" w:lineRule="exact"/>
        <w:rPr>
          <w:sz w:val="20"/>
          <w:szCs w:val="20"/>
          <w:color w:val="auto"/>
        </w:rPr>
      </w:pPr>
    </w:p>
    <w:p>
      <w:pPr>
        <w:ind w:left="180" w:right="260"/>
        <w:spacing w:after="0" w:line="277" w:lineRule="auto"/>
        <w:rPr>
          <w:sz w:val="20"/>
          <w:szCs w:val="20"/>
          <w:color w:val="auto"/>
        </w:rPr>
      </w:pPr>
      <w:r>
        <w:rPr>
          <w:rFonts w:ascii="Arial" w:cs="Arial" w:eastAsia="Arial" w:hAnsi="Arial"/>
          <w:sz w:val="18"/>
          <w:szCs w:val="18"/>
          <w:b w:val="1"/>
          <w:bCs w:val="1"/>
          <w:i w:val="1"/>
          <w:iCs w:val="1"/>
          <w:color w:val="auto"/>
        </w:rPr>
        <w:t>The loss of key personnel or an inability to attract, retain and motivate qualified personnel may impair our ability to expand our business.</w:t>
      </w:r>
    </w:p>
    <w:p>
      <w:pPr>
        <w:spacing w:after="0" w:line="13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anticipate that our management and key personnel will remain in place following the Transactions, it is possible that we could lose some key personnel. The replacement of any members of our senior management team or other key personnel likely would involve significant time and costs and may significantly delay or prevent the achievement of our business objectives. Our future success also depends, in part, on our ability to continue to attract, integrate and retain highly skilled personnel. Competition for highly skilled personnel is frequently intense, especially in the San Francisco Bay Area, where we have a substantial presence and need for highly skilled personnel, including, in particular, engineers.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We are highly dependent on the services of Peter Rawlinson, our Chief Executive Officer and Chief Technology Officer.</w:t>
      </w:r>
    </w:p>
    <w:p>
      <w:pPr>
        <w:spacing w:after="0" w:line="210" w:lineRule="exact"/>
        <w:rPr>
          <w:sz w:val="20"/>
          <w:szCs w:val="20"/>
          <w:color w:val="auto"/>
        </w:rPr>
      </w:pPr>
    </w:p>
    <w:p>
      <w:pPr>
        <w:ind w:right="600" w:firstLine="324"/>
        <w:spacing w:after="0" w:line="311" w:lineRule="auto"/>
        <w:rPr>
          <w:sz w:val="20"/>
          <w:szCs w:val="20"/>
          <w:color w:val="auto"/>
        </w:rPr>
      </w:pPr>
      <w:r>
        <w:rPr>
          <w:rFonts w:ascii="Arial" w:cs="Arial" w:eastAsia="Arial" w:hAnsi="Arial"/>
          <w:sz w:val="16"/>
          <w:szCs w:val="16"/>
          <w:color w:val="auto"/>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108" w:lineRule="exact"/>
        <w:rPr>
          <w:sz w:val="20"/>
          <w:szCs w:val="20"/>
          <w:color w:val="auto"/>
        </w:rPr>
      </w:pPr>
    </w:p>
    <w:p>
      <w:pPr>
        <w:ind w:left="180" w:right="300"/>
        <w:spacing w:after="0" w:line="277" w:lineRule="auto"/>
        <w:rPr>
          <w:sz w:val="20"/>
          <w:szCs w:val="20"/>
          <w:color w:val="auto"/>
        </w:rPr>
      </w:pPr>
      <w:r>
        <w:rPr>
          <w:rFonts w:ascii="Arial" w:cs="Arial" w:eastAsia="Arial" w:hAnsi="Arial"/>
          <w:sz w:val="18"/>
          <w:szCs w:val="18"/>
          <w:b w:val="1"/>
          <w:bCs w:val="1"/>
          <w:i w:val="1"/>
          <w:iCs w:val="1"/>
          <w:color w:val="auto"/>
        </w:rPr>
        <w:t>We will need to hire and train a significant number of employees to engage in full-scale commercial manufacturing operations, and our business could be adversely affected by labor and union activities.</w:t>
      </w:r>
    </w:p>
    <w:p>
      <w:pPr>
        <w:spacing w:after="0" w:line="13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will need to hire and train a significant number of employees to engage in full-scale commercial manufacturing operations. This needs to be accomplished in a very short period of time in order for us to commence commercial production and sales in the second half of 2021 as targeted. There are various risks and challenges associated with hiring, training and managing a large workforce, and these risks and challenges may be exacerbated by the short period of time in which we intend to scale up our hourly workforce. Although the area surrounding our Casa Grande, Arizona manufacturing facilities is home to a highly trained workforce with experience in engineering and manufacturing, this workforce does not have significant experience with electric vehicle manufacturing, and many jobs will require significant training. If we are unsuccessful in hiring and training a workforce in a timely and cost-effective manner, our business, financial condition and results of operations could be adversely affected.</w:t>
      </w:r>
    </w:p>
    <w:p>
      <w:pPr>
        <w:spacing w:after="0" w:line="15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Furthermore, although none of our employees are currently represented by a labor union,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In the event our employees seek to join or form a labor union, we could be subject to risks as we engage in and attempt to finalize negotiations with any such union, including potential work slowdowns or stoppages, delays and increased costs. Furthermore, we may be directly or indirectly dependent upon companies with unionized work forces, such as parts suppliers and trucking and freight companies, and work stoppages or strikes organized by such unions could have a material adverse impact on our business, financial condition or results of operations. If a work stoppage occurs, it could delay the manufacture and sale of our products and have a material adverse effect on our business, prospects, results of operations or financial condition.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80" w:right="680"/>
        <w:spacing w:after="0" w:line="308" w:lineRule="auto"/>
        <w:rPr>
          <w:sz w:val="20"/>
          <w:szCs w:val="20"/>
          <w:color w:val="auto"/>
        </w:rPr>
      </w:pPr>
      <w:r>
        <w:rPr>
          <w:rFonts w:ascii="Arial" w:cs="Arial" w:eastAsia="Arial" w:hAnsi="Arial"/>
          <w:sz w:val="17"/>
          <w:szCs w:val="17"/>
          <w:b w:val="1"/>
          <w:bCs w:val="1"/>
          <w:i w:val="1"/>
          <w:iCs w:val="1"/>
          <w:color w:val="auto"/>
        </w:rPr>
        <w:t>Misconduct by our employees and independent contractors during and before their employment with us could expose us to potentially significant legal liabilities, reputational harm and/or other damages to our business.</w:t>
      </w:r>
    </w:p>
    <w:p>
      <w:pPr>
        <w:spacing w:after="0" w:line="10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our investors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5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addition, while we have screening procedures during the recruitment process, we cannot assure our investors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47"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 and Regulation</w:t>
      </w:r>
    </w:p>
    <w:p>
      <w:pPr>
        <w:spacing w:after="0" w:line="202" w:lineRule="exact"/>
        <w:rPr>
          <w:sz w:val="20"/>
          <w:szCs w:val="20"/>
          <w:color w:val="auto"/>
        </w:rPr>
      </w:pPr>
    </w:p>
    <w:p>
      <w:pPr>
        <w:ind w:left="180" w:right="220"/>
        <w:spacing w:after="0" w:line="263" w:lineRule="auto"/>
        <w:rPr>
          <w:sz w:val="20"/>
          <w:szCs w:val="20"/>
          <w:color w:val="auto"/>
        </w:rPr>
      </w:pPr>
      <w:r>
        <w:rPr>
          <w:rFonts w:ascii="Arial" w:cs="Arial" w:eastAsia="Arial" w:hAnsi="Arial"/>
          <w:sz w:val="18"/>
          <w:szCs w:val="18"/>
          <w:b w:val="1"/>
          <w:bCs w:val="1"/>
          <w:i w:val="1"/>
          <w:iCs w:val="1"/>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4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commence or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1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new model year and changes to the model within a model year. These laws and standards are subject to change from time to time, and we could become subject to additional regulations in the future, which would increase the effort and expense of compliance. In</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spacing w:after="0" w:line="15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also expect to become subject to laws and regulations applicable to the supply, manufacture, import, sale and service of automobiles internationally, including in Europe, the Middle East and China. Applicable regulations in countries outside of the U.S., such as standards relating to vehicle safety,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54"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We may face regulatory limitations on our ability to sell vehicles directly, which could materially and adversely affect our ability to sell our vehicles.</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business plan includes the direct sale of vehicles to retail consumers. The laws governing licensing of dealers and sales of motor vehicles vary from state to state. Most states require a dealer license to sell new motor vehicles within the state, and many states prohibit manufacturers from being a licensed dealer and directly selling new motor vehicles to retail consumers. We anticipate that we can become a licensed dealer in certain states. In some states, we have also opened or expect to open Lucid Studios to educate and inform customers about our vehicles, but not all such Lucid Studios will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37"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For example, the Michigan House of Representatives recently passed a bill, House Bill 6233, which would have restricted our direct sales model. Although the bill was not taken up by the Michigan Senate, similar legislation may be passed in the future in Michigan or in other jurisdictions.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141"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We may choose to or be compelled to undertake product recalls or take other actions, which could adversely affect our business, prospects, results of operations, reputation and financial condition.</w:t>
      </w:r>
    </w:p>
    <w:p>
      <w:pPr>
        <w:spacing w:after="0" w:line="130"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Product recalls in the future may result in adverse publicity, damage our reputation and adversely affect our business, prospects, results of operations and financial condition. In the future, we may, voluntarily or involuntarily, initiate a recall if any of our electric vehicles or components (including our battery cells)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80" w:right="180"/>
        <w:spacing w:after="0" w:line="263" w:lineRule="auto"/>
        <w:rPr>
          <w:sz w:val="20"/>
          <w:szCs w:val="20"/>
          <w:color w:val="auto"/>
        </w:rPr>
      </w:pPr>
      <w:r>
        <w:rPr>
          <w:rFonts w:ascii="Arial" w:cs="Arial" w:eastAsia="Arial" w:hAnsi="Arial"/>
          <w:sz w:val="18"/>
          <w:szCs w:val="18"/>
          <w:b w:val="1"/>
          <w:bCs w:val="1"/>
          <w:i w:val="1"/>
          <w:iCs w:val="1"/>
          <w:color w:val="auto"/>
        </w:rPr>
        <w:t>We may in the future be subject to legal proceedings, regulatory disputes and governmental inquiries that could cause us to incur significant expenses, divert our management’s attention, and materially harm our business, results of operations, cash flows and financial condition.</w:t>
      </w:r>
    </w:p>
    <w:p>
      <w:pPr>
        <w:spacing w:after="0" w:line="14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employment matters.</w:t>
      </w:r>
    </w:p>
    <w:p>
      <w:pPr>
        <w:spacing w:after="0" w:line="161"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Litigation and regulatory proceedings may be protracted and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2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spacing w:after="0" w:line="124" w:lineRule="exact"/>
        <w:rPr>
          <w:sz w:val="20"/>
          <w:szCs w:val="20"/>
          <w:color w:val="auto"/>
        </w:rPr>
      </w:pPr>
    </w:p>
    <w:p>
      <w:pPr>
        <w:ind w:left="180" w:right="380"/>
        <w:spacing w:after="0" w:line="277"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43"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may become subject to product liability claims, which could harm our business, prospects, results of operations and financial condition. The automotive industry experiences significant product liability claims, and we face inherent risks of exposure to claims in the event our future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AD/ADAS features in our vehicles.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there can be no assurance that a field or testing failure of our vehicles or other battery packs that we produce will not occur, in particular due to a high-speed crash. In addition, although we intend to equip our vehicles with systems designed to detect and warn vehicle occupants of such thermal events, there can be no assurance that such systems will function as designed or will provide vehicle occupants with sufficient or any warning. Any such events or failures of our vehicles, battery packs or warning systems could subject us to lawsuits, product recalls or redesign efforts, all of which would be time consuming and expensive.</w:t>
      </w:r>
    </w:p>
    <w:p>
      <w:pPr>
        <w:spacing w:after="0" w:line="14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successful product liability claim against us could require us to pay a substantial monetary award. Our risks in this area are particularly pronounced given that we have not yet deployed our vehicles for consumer use and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80" w:right="300"/>
        <w:spacing w:after="0" w:line="277" w:lineRule="auto"/>
        <w:rPr>
          <w:sz w:val="20"/>
          <w:szCs w:val="20"/>
          <w:color w:val="auto"/>
        </w:rPr>
      </w:pPr>
      <w:r>
        <w:rPr>
          <w:rFonts w:ascii="Arial" w:cs="Arial" w:eastAsia="Arial" w:hAnsi="Arial"/>
          <w:sz w:val="18"/>
          <w:szCs w:val="18"/>
          <w:b w:val="1"/>
          <w:bCs w:val="1"/>
          <w:i w:val="1"/>
          <w:iCs w:val="1"/>
          <w:color w:val="auto"/>
        </w:rPr>
        <w:t>We may be exposed to delays, limitations and risks related to the environmental permits and other operating permits required to operate our manufacturing facilities.</w:t>
      </w:r>
    </w:p>
    <w:p>
      <w:pPr>
        <w:spacing w:after="0" w:line="13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are in the process of applying for and securing other environmental permits and final certificates of occupancy necessary for the commercial operation of such facilities. We plan to expand our manufacturing facilities and construct additional manufacturing facilities over time to achieve a future target production capacity and will be required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w:t>
      </w:r>
      <w:r>
        <w:rPr>
          <w:rFonts w:ascii="Arial" w:cs="Arial" w:eastAsia="Arial" w:hAnsi="Arial"/>
          <w:sz w:val="16"/>
          <w:szCs w:val="16"/>
          <w:i w:val="1"/>
          <w:iCs w:val="1"/>
          <w:color w:val="auto"/>
        </w:rPr>
        <w:t>Risks Related to Manufacturing and Supply Chain—We have experienced and may in the future experience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delays in the design, manufacture, launch and financing of the Lucid Air, which could harm our business and prospects.</w:t>
      </w:r>
      <w:r>
        <w:rPr>
          <w:rFonts w:ascii="Arial" w:cs="Arial" w:eastAsia="Arial" w:hAnsi="Arial"/>
          <w:sz w:val="16"/>
          <w:szCs w:val="16"/>
          <w:color w:val="auto"/>
        </w:rPr>
        <w:t>”</w:t>
      </w:r>
    </w:p>
    <w:p>
      <w:pPr>
        <w:spacing w:after="0" w:line="145" w:lineRule="exact"/>
        <w:rPr>
          <w:sz w:val="20"/>
          <w:szCs w:val="20"/>
          <w:color w:val="auto"/>
        </w:rPr>
      </w:pPr>
    </w:p>
    <w:p>
      <w:pPr>
        <w:ind w:left="180" w:right="400"/>
        <w:spacing w:after="0" w:line="277" w:lineRule="auto"/>
        <w:rPr>
          <w:sz w:val="20"/>
          <w:szCs w:val="20"/>
          <w:color w:val="auto"/>
        </w:rPr>
      </w:pPr>
      <w:r>
        <w:rPr>
          <w:rFonts w:ascii="Arial" w:cs="Arial" w:eastAsia="Arial" w:hAnsi="Arial"/>
          <w:sz w:val="18"/>
          <w:szCs w:val="18"/>
          <w:b w:val="1"/>
          <w:bCs w:val="1"/>
          <w:i w:val="1"/>
          <w:iCs w:val="1"/>
          <w:color w:val="auto"/>
        </w:rPr>
        <w:t>We are subject to various environmental, health and safety laws and regulations that could impose substantial costs on us and cause delays in expanding our production facilities.</w:t>
      </w:r>
    </w:p>
    <w:p>
      <w:pPr>
        <w:spacing w:after="0" w:line="13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complying with them.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6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planned start of production of the Lucid Air, which could have a material adverse effect on our business, prospects and results of operations.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AD/ADAS technology is subject to uncertain and evolving regulations.</w:t>
      </w:r>
    </w:p>
    <w:p>
      <w:pPr>
        <w:spacing w:after="0" w:line="18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expect to introduce certain AD/ADAS technologies into our vehicles over time. AD/ADAS technology is subject to considerable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conflicting regulations or may delay products or restrict self-driving features and availability, which could adversely affect our business. Our vehicles may not achieve the requisite level of autonomy that may be required in some countries or jurisdictions for certification and rollout to consumers or satisfy changing regulatory requirements which could require us to redesign, modify or update our AD/ADAS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21" w:lineRule="exact"/>
        <w:rPr>
          <w:sz w:val="20"/>
          <w:szCs w:val="20"/>
          <w:color w:val="auto"/>
        </w:rPr>
      </w:pPr>
    </w:p>
    <w:p>
      <w:pPr>
        <w:ind w:left="180" w:right="400"/>
        <w:spacing w:after="0" w:line="308" w:lineRule="auto"/>
        <w:rPr>
          <w:sz w:val="20"/>
          <w:szCs w:val="20"/>
          <w:color w:val="auto"/>
        </w:rPr>
      </w:pPr>
      <w:r>
        <w:rPr>
          <w:rFonts w:ascii="Arial" w:cs="Arial" w:eastAsia="Arial" w:hAnsi="Arial"/>
          <w:sz w:val="17"/>
          <w:szCs w:val="17"/>
          <w:b w:val="1"/>
          <w:bCs w:val="1"/>
          <w:i w:val="1"/>
          <w:iCs w:val="1"/>
          <w:color w:val="auto"/>
        </w:rPr>
        <w:t>We are subject to U.S. and foreign anti-corruption, anti-money laundering and anti-boycott laws and regulations. We can face criminal liability and other serious consequences for violations, which can harm our business.</w:t>
      </w:r>
    </w:p>
    <w:p>
      <w:pPr>
        <w:spacing w:after="0" w:line="11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are subject to the U.S. Foreign Corrupt Practices Act of 1977, as amended, the U.S. domestic bribery statute contained in 18 U.S.C. § 201, the U.S. Travel Act, the USA PATRIOT Act and possibly other anti-bribery and anti-money laundering laws in countries in which it expects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0"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laws that could subject us to liability if we are not in compliance with such laws.</w:t>
      </w:r>
    </w:p>
    <w:p>
      <w:pPr>
        <w:spacing w:after="0" w:line="13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vehicles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15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26" w:lineRule="exact"/>
        <w:rPr>
          <w:sz w:val="20"/>
          <w:szCs w:val="20"/>
          <w:color w:val="auto"/>
        </w:rPr>
      </w:pPr>
    </w:p>
    <w:p>
      <w:pPr>
        <w:ind w:left="180" w:right="680"/>
        <w:spacing w:after="0" w:line="277" w:lineRule="auto"/>
        <w:rPr>
          <w:sz w:val="20"/>
          <w:szCs w:val="20"/>
          <w:color w:val="auto"/>
        </w:rPr>
      </w:pPr>
      <w:r>
        <w:rPr>
          <w:rFonts w:ascii="Arial" w:cs="Arial" w:eastAsia="Arial" w:hAnsi="Arial"/>
          <w:sz w:val="18"/>
          <w:szCs w:val="18"/>
          <w:b w:val="1"/>
          <w:bCs w:val="1"/>
          <w:i w:val="1"/>
          <w:iCs w:val="1"/>
          <w:color w:val="auto"/>
        </w:rPr>
        <w:t>Changes in U.S. trade policy, including the imposition of tariffs and the resulting consequences, could adversely affect our business, prospects, results of operations and financial condition.</w:t>
      </w:r>
    </w:p>
    <w:p>
      <w:pPr>
        <w:spacing w:after="0" w:line="13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U.S. government has adopted a new approach to trade policy and in some cases has attempted to renegotiate or terminate certain existing bilateral or multi-lateral trade agreements. It has also imposed tariffs on certain foreign goods, including steel and certain vehicle parts, which have begun to result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 failure to properly comply with foreign trade zone laws and regulations could increase the cost of our duties and tariffs.</w:t>
      </w:r>
    </w:p>
    <w:p>
      <w:pPr>
        <w:spacing w:after="0" w:line="20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left="180" w:right="140"/>
        <w:spacing w:after="0" w:line="340" w:lineRule="auto"/>
        <w:rPr>
          <w:sz w:val="20"/>
          <w:szCs w:val="20"/>
          <w:color w:val="auto"/>
        </w:rPr>
      </w:pPr>
      <w:r>
        <w:rPr>
          <w:rFonts w:ascii="Arial" w:cs="Arial" w:eastAsia="Arial" w:hAnsi="Arial"/>
          <w:sz w:val="15"/>
          <w:szCs w:val="15"/>
          <w:b w:val="1"/>
          <w:bCs w:val="1"/>
          <w:i w:val="1"/>
          <w:iCs w:val="1"/>
          <w:color w:val="auto"/>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9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protects our intellectual property and proprietary technology through a combination of licensing agreements, third-party nondisclosure and confidentiality agreements and other contractual provisions, as well as through patent, trademark, copyright and trade secret laws in the United States and other jurisdictions.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4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measures we take to obtain, maintain, protect and enforce our intellectual property, including preventing unauthorized use by third parties, may not be effective for various reasons, including the following:</w:t>
      </w:r>
    </w:p>
    <w:p>
      <w:pPr>
        <w:spacing w:after="0" w:line="130" w:lineRule="exact"/>
        <w:rPr>
          <w:sz w:val="20"/>
          <w:szCs w:val="20"/>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patent applications we file may not result in the issuance of patents;</w:t>
      </w:r>
    </w:p>
    <w:p>
      <w:pPr>
        <w:spacing w:after="0" w:line="184"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the first inventor of the subject matter to which we have filed a particular patent application, and we may not be the first party to file such a patent application;</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of our issued patents may not be broad enough to protect our inventions and proprietary technology;</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issued patents may be challenged or invalidated by our competitors or other third parties;</w:t>
      </w:r>
    </w:p>
    <w:p>
      <w:pPr>
        <w:spacing w:after="0" w:line="184"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patents have a finite term, and competitors and other third parties may offer identical or similar products after the expiration of our patents that cover such products;</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employees, contractors or business partners may breach their confidentiality, non-disclosure and non-use obligations;</w:t>
      </w:r>
    </w:p>
    <w:p>
      <w:pPr>
        <w:spacing w:after="0" w:line="196" w:lineRule="exact"/>
        <w:rPr>
          <w:rFonts w:ascii="Arial" w:cs="Arial" w:eastAsia="Arial" w:hAnsi="Arial"/>
          <w:sz w:val="17"/>
          <w:szCs w:val="17"/>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competitors and other third parties may independently develop technologies that are the same or similar to ours;</w:t>
      </w:r>
    </w:p>
    <w:p>
      <w:pPr>
        <w:spacing w:after="0" w:line="184" w:lineRule="exact"/>
        <w:rPr>
          <w:rFonts w:ascii="Arial" w:cs="Arial" w:eastAsia="Arial" w:hAnsi="Arial"/>
          <w:sz w:val="18"/>
          <w:szCs w:val="18"/>
          <w:color w:val="auto"/>
        </w:rPr>
      </w:pPr>
    </w:p>
    <w:p>
      <w:pPr>
        <w:ind w:left="680" w:right="36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enforcing patents or other intellectual property rights, or confidentiality and invention assignment agreements may make enforcement impracticable; and</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competitors and other third parties may circumvent or otherwise design around our patents or other intellectual property.</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26"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3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54"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have licensed and plan to further license patents and other intellectual property from third parties, including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2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68"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misappropriation or other violation of their intellectual property, which could be time-consuming and costly and result in significant legal liability.</w:t>
      </w:r>
    </w:p>
    <w:p>
      <w:pPr>
        <w:spacing w:after="0" w:line="13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There is considerable patent and other intellectual property development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133" w:lineRule="exact"/>
        <w:rPr>
          <w:sz w:val="20"/>
          <w:szCs w:val="20"/>
          <w:color w:val="auto"/>
        </w:rPr>
      </w:pPr>
    </w:p>
    <w:p>
      <w:pPr>
        <w:ind w:left="4880" w:right="1620" w:hanging="4521"/>
        <w:spacing w:after="0" w:line="778" w:lineRule="auto"/>
        <w:tabs>
          <w:tab w:leader="none" w:pos="6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damages, including treble damages for willful infringement, or ongoing royalty payments;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32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cease developing, selling, leasing, using or incorporating certain components into vehicles or offering goods or services that incorporate or use the asserted intellectual property;</w:t>
      </w:r>
    </w:p>
    <w:p>
      <w:pPr>
        <w:spacing w:after="0" w:line="129"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a license from the owner of the asserted intellectual property, which license may not be available on reasonable terms, or at all;</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 with other unfavorable terms; or</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and maintain alternative branding for our products and services.</w:t>
      </w:r>
    </w:p>
    <w:p>
      <w:pPr>
        <w:spacing w:after="0" w:line="18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spacing w:after="0" w:line="15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Furthermore, many of our employees were previously employed by other automotive companies or by suppliers to automotive companies.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lose valuable intellectual property or personnel. A loss of key personnel or our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51" w:lineRule="exact"/>
        <w:rPr>
          <w:sz w:val="20"/>
          <w:szCs w:val="20"/>
          <w:color w:val="auto"/>
        </w:rPr>
      </w:pPr>
    </w:p>
    <w:p>
      <w:pPr>
        <w:ind w:left="180" w:right="380"/>
        <w:spacing w:after="0" w:line="277" w:lineRule="auto"/>
        <w:rPr>
          <w:sz w:val="20"/>
          <w:szCs w:val="20"/>
          <w:color w:val="auto"/>
        </w:rPr>
      </w:pPr>
      <w:r>
        <w:rPr>
          <w:rFonts w:ascii="Arial" w:cs="Arial" w:eastAsia="Arial" w:hAnsi="Arial"/>
          <w:sz w:val="18"/>
          <w:szCs w:val="18"/>
          <w:b w:val="1"/>
          <w:bCs w:val="1"/>
          <w:i w:val="1"/>
          <w:iCs w:val="1"/>
          <w:color w:val="auto"/>
        </w:rPr>
        <w:t>Some of our products contain open source software, which may pose particular risks to our proprietary software, products and services in a manner that could harm our business.</w:t>
      </w:r>
    </w:p>
    <w:p>
      <w:pPr>
        <w:spacing w:after="0" w:line="13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5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ectPr>
          <w:pgSz w:w="11900" w:h="16838" w:orient="portrait"/>
          <w:cols w:equalWidth="0" w:num="1">
            <w:col w:w="9920"/>
          </w:cols>
          <w:pgMar w:left="980" w:top="665"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Financing and Strategic Transactions</w:t>
      </w:r>
    </w:p>
    <w:p>
      <w:pPr>
        <w:spacing w:after="0" w:line="189"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We will require additional capital to support business growth, and this capital might not be available on commercially reasonable terms, or at all.</w:t>
      </w:r>
    </w:p>
    <w:p>
      <w:pPr>
        <w:spacing w:after="0" w:line="143"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anticipate that we will need to raise additional funds through equity or debt financings. Our business is capital-intensive, and we expect the costs and expenses associated with our planned operations will continue to increase in the near term. We do not expect to achieve positive cash flow from operations for several years, if at all. In addition, during the first year following the Closing, we expect to settle tax withholding obligations in connection with vesting of the CEO RSU Award through “net settlement,” i.e., by remitting cash to satisfy the tax withholding obligation and withholding a number of the vested shares on each vesting date. The amount of the tax withholding due on each vesting date will be based on the fair value of our common stock on such vesting date. Depending on the fair value of our common stock and the number of RSUs vesting on any applicable vesting date, such net settlement could require us to expend substantial funds to satisfy tax withholding. Our plan to begin commercial production of our vehicles and grow our business is dependent upon the timely availability of funds and further investment in design, engineering, component procurement, testing, and the build-out of manufacturing capabilities.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spacing w:after="0" w:line="1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4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results of operations, prospects and financial condition.</w:t>
      </w:r>
    </w:p>
    <w:p>
      <w:pPr>
        <w:spacing w:after="0" w:line="151"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We will have broad discretion over the use of proceeds from the exercise of our warrants, and we may invest or spend the proceeds in ways with which investors do not agree and in ways that may not yield a return.</w:t>
      </w:r>
    </w:p>
    <w:p>
      <w:pPr>
        <w:spacing w:after="0" w:line="13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will have broad discretion over the use of proceeds from the exercises of our warrants and options. Investors may not agree with our decisions, and our use of the proceeds may not yield a return on investment. We intend to use these net proceeds for general corporate purposes, which may include capital expenditures and working capital. Our use of these proceeds may differ substantially from our current plans. Our failure to apply the net proceeds from the exercises of warrants and options effectively could impair our ability to pursue our growth strategy or could require us to raise additional capital.</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may not be able to identify adequate strategic relationship opportunities or form strategic relationships, in the future.</w:t>
      </w:r>
    </w:p>
    <w:p>
      <w:pPr>
        <w:spacing w:after="0" w:line="22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expect that strategic business relationships will be an important factor in the growth and success of our business. However, there are no assurances that we will be able to identify or secure suitable business relationship opportunities in the future or that our competitors will not capitalize on such opportunities before we do.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their reputation from events</w:t>
      </w:r>
    </w:p>
    <w:p>
      <w:pPr>
        <w:sectPr>
          <w:pgSz w:w="11900" w:h="16838" w:orient="portrait"/>
          <w:cols w:equalWidth="0" w:num="1">
            <w:col w:w="9900"/>
          </w:cols>
          <w:pgMar w:left="980" w:top="665"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relating to their business, we may also suffer negative publicity or harm to our reputation by virtue of our association with any such third party.</w:t>
      </w:r>
    </w:p>
    <w:p>
      <w:pPr>
        <w:spacing w:after="0" w:line="13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60" w:lineRule="exact"/>
        <w:rPr>
          <w:sz w:val="20"/>
          <w:szCs w:val="20"/>
          <w:color w:val="auto"/>
        </w:rPr>
      </w:pPr>
    </w:p>
    <w:p>
      <w:pPr>
        <w:ind w:left="180" w:right="26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its business, dilute stockholder value and adversely affect our results of operations.</w:t>
      </w:r>
    </w:p>
    <w:p>
      <w:pPr>
        <w:spacing w:after="0" w:line="13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would result in increased fixed obligations and exposure to potential unknown liabilities of the acquired business and could also include covenants or other restrictions that would impede our ability to manage our operations.</w:t>
      </w:r>
    </w:p>
    <w:p>
      <w:pPr>
        <w:spacing w:after="0" w:line="141"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due to fluctuations in our operating costs, product demand and other factors.</w:t>
      </w:r>
    </w:p>
    <w:p>
      <w:pPr>
        <w:spacing w:after="0" w:line="14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expect our period-to-period financial results to vary based on our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In addition, automotive manufacturers typically experience significant seasonality, with comparatively low sales in the first quarter and comparatively high sales in the fourth quarter, and we expect to experience similar seasonality when we begin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ability to use net operating loss carryforwards and certain other tax attributes may be limited.</w:t>
      </w:r>
    </w:p>
    <w:p>
      <w:pPr>
        <w:spacing w:after="0" w:line="198"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of June 30, 2021, we had accumulated U.S. federal and state net operating loss carryforwards and research and development credits which may be available to offset and reduce future taxable income.</w:t>
      </w:r>
    </w:p>
    <w:p>
      <w:pPr>
        <w:spacing w:after="0" w:line="130"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However, the U.S. federal and state net operating loss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its pre-change net operating loss carryforwards and other pre-change attributes, such as research tax credits, to offset its post-change income or tax may be limited.</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general, an “ownership change” will occur if there is a cumulative change in our ownership by “5-percent shareholders” that exceeds 50 percentage points over a rolling three-year period. Similar rules may apply under state tax laws. We have not yet completed an analysis of whether the business combination caused an “ownership change” for these purposes. In addition, we may experience ownership changes in the future as a result of subsequent shifts in our stock ownership, some of which may be outside of our control. If we undergo an ownership change, we may be prevented from fully utilizing the net operating loss carryforwards and tax credits existing at the time of the ownership change prior to their expiration. Future regulatory changes could also limit our ability to utilize net operating loss carryforwards and tax credits. To the extent we are not able to offset future taxable income with our net operating loss carryforwards and tax credits, our net income and cash flows may be adversely affected.</w:t>
      </w:r>
    </w:p>
    <w:p>
      <w:pPr>
        <w:spacing w:after="0" w:line="13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U.S. federal net operating losses that were incurred prior to 2018 and the California net operating losses are generally available and can be carried forward for 20 years. The U.S. federal research and development credits can be carried forward for 20 years, and the California research and development credits have no expiration date. It is possible that we will not generate taxable income in time to use these net operating loss carryforwards and research and development credits before their expiration. Under legislative changes enacted in December 2017, U.S. federal net operating losses incurred in 2018 and subsequent years can be carried forward indefinitely, but the annual utilizable net operating losses may not be more than 80% of the taxable income. It is uncertain if and to what extent various states will conform to the newly enacted federal tax law.</w:t>
      </w:r>
    </w:p>
    <w:p>
      <w:pPr>
        <w:spacing w:after="0" w:line="150" w:lineRule="exact"/>
        <w:rPr>
          <w:sz w:val="20"/>
          <w:szCs w:val="20"/>
          <w:color w:val="auto"/>
        </w:rPr>
      </w:pPr>
    </w:p>
    <w:p>
      <w:pPr>
        <w:ind w:left="180" w:right="480"/>
        <w:spacing w:after="0" w:line="277" w:lineRule="auto"/>
        <w:rPr>
          <w:sz w:val="20"/>
          <w:szCs w:val="20"/>
          <w:color w:val="auto"/>
        </w:rPr>
      </w:pPr>
      <w:r>
        <w:rPr>
          <w:rFonts w:ascii="Arial" w:cs="Arial" w:eastAsia="Arial" w:hAnsi="Arial"/>
          <w:sz w:val="18"/>
          <w:szCs w:val="18"/>
          <w:b w:val="1"/>
          <w:bCs w:val="1"/>
          <w:i w:val="1"/>
          <w:iCs w:val="1"/>
          <w:color w:val="auto"/>
        </w:rPr>
        <w:t>Unanticipated tax laws or any change in the application of existing tax laws to us or our customers may adversely impact our profitability and business.</w:t>
      </w:r>
    </w:p>
    <w:p>
      <w:pPr>
        <w:spacing w:after="0" w:line="13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operate and are subject to income and other taxes in the United States and a growing number of other jurisdictions throughout the world.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 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These contemplated tax initiatives, if finalized and adopted by countries, and the other tax issues described above may materially and adversely impact our operating activities, transfer pricing policies, effective tax rate, deferred tax assets, operating income, and cash flows.</w:t>
      </w:r>
    </w:p>
    <w:p>
      <w:pPr>
        <w:spacing w:after="0" w:line="13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April 7, 2021 the current presidential administration proposed changes to the U.S. tax system. The proposals under discussion include changes to the U.S. corporate tax system that would increase U.S. corporate tax rates, impose a corporate minimum book tax and double the tax rate on and make other tax changes to broad categories of income earned by foreign subsidiaries. While it is expected that a tax reform bill will be introduced in the House of Representatives in the near term, many aspects of the current proposals are unclear or underdeveloped. We are unable to predict which, if any, U.S. tax reform proposals will be enacted into law, and what effects any enacted legislation might have on our liability for U.S. federal income taxes. However, it is possible that the enactment of changes in the U.S. corporate tax system could have a material adverse effect on our liability for U.S. corporate tax and our consolidated effective tax rate.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Restatement of Our Previously Issued Financial Statements</w:t>
      </w:r>
    </w:p>
    <w:p>
      <w:pPr>
        <w:spacing w:after="0" w:line="18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warrants are accounted for as liabilities and the changes in value of our warrants could have a material effect on our financial results.</w:t>
      </w:r>
    </w:p>
    <w:p>
      <w:pPr>
        <w:spacing w:after="0" w:line="13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w:t>
      </w:r>
      <w:r>
        <w:rPr>
          <w:rFonts w:ascii="Arial" w:cs="Arial" w:eastAsia="Arial" w:hAnsi="Arial"/>
          <w:sz w:val="16"/>
          <w:szCs w:val="16"/>
          <w:i w:val="1"/>
          <w:iCs w:val="1"/>
          <w:color w:val="auto"/>
        </w:rPr>
        <w:t>.</w:t>
      </w:r>
      <w:r>
        <w:rPr>
          <w:rFonts w:ascii="Arial" w:cs="Arial" w:eastAsia="Arial" w:hAnsi="Arial"/>
          <w:sz w:val="16"/>
          <w:szCs w:val="16"/>
          <w:color w:val="auto"/>
        </w:rPr>
        <w:t xml:space="preserve">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w:t>
      </w:r>
    </w:p>
    <w:p>
      <w:pPr>
        <w:sectPr>
          <w:pgSz w:w="11900" w:h="16838" w:orient="portrait"/>
          <w:cols w:equalWidth="0" w:num="1">
            <w:col w:w="9920"/>
          </w:cols>
          <w:pgMar w:left="980" w:top="665"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measure the fair value of the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3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 As part of such process, Churchill identified a material weakness in its internal controls over financial reporting, solely related to Churchill’s accounting for warrants. See “</w:t>
      </w:r>
      <w:r>
        <w:rPr>
          <w:rFonts w:ascii="Arial" w:cs="Arial" w:eastAsia="Arial" w:hAnsi="Arial"/>
          <w:sz w:val="17"/>
          <w:szCs w:val="17"/>
          <w:i w:val="1"/>
          <w:iCs w:val="1"/>
          <w:color w:val="auto"/>
        </w:rPr>
        <w:t>—Risks Related to Public Company Requirements—We have</w:t>
      </w:r>
      <w:r>
        <w:rPr>
          <w:rFonts w:ascii="Arial" w:cs="Arial" w:eastAsia="Arial" w:hAnsi="Arial"/>
          <w:sz w:val="17"/>
          <w:szCs w:val="17"/>
          <w:color w:val="auto"/>
        </w:rPr>
        <w:t xml:space="preserve"> </w:t>
      </w:r>
      <w:r>
        <w:rPr>
          <w:rFonts w:ascii="Arial" w:cs="Arial" w:eastAsia="Arial" w:hAnsi="Arial"/>
          <w:sz w:val="17"/>
          <w:szCs w:val="17"/>
          <w:i w:val="1"/>
          <w:iCs w:val="1"/>
          <w:color w:val="auto"/>
        </w:rPr>
        <w:t>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r>
        <w:rPr>
          <w:rFonts w:ascii="Arial" w:cs="Arial" w:eastAsia="Arial" w:hAnsi="Arial"/>
          <w:sz w:val="17"/>
          <w:szCs w:val="17"/>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Public Company Requirements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8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cash flows and financial condition. In addition, we expect to hire additional personnel to support our operations as a public company, which will increase our operating costs in future periods.</w:t>
      </w:r>
    </w:p>
    <w:p>
      <w:pPr>
        <w:spacing w:after="0" w:line="139" w:lineRule="exact"/>
        <w:rPr>
          <w:sz w:val="20"/>
          <w:szCs w:val="20"/>
          <w:color w:val="auto"/>
        </w:rPr>
      </w:pPr>
    </w:p>
    <w:p>
      <w:pPr>
        <w:ind w:left="180" w:right="480"/>
        <w:spacing w:after="0" w:line="308" w:lineRule="auto"/>
        <w:rPr>
          <w:sz w:val="20"/>
          <w:szCs w:val="20"/>
          <w:color w:val="auto"/>
        </w:rPr>
      </w:pPr>
      <w:r>
        <w:rPr>
          <w:rFonts w:ascii="Arial" w:cs="Arial" w:eastAsia="Arial" w:hAnsi="Arial"/>
          <w:sz w:val="17"/>
          <w:szCs w:val="17"/>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06"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Jumpstart Our Business Startups Act of 2012 (the “JOBS Act”). As such, we take and will continue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and prospectus. As a result, our stockholders may not have access to certain information they deem important. We will remain an emerging growth company until the earliest of (i) the last day of the fiscal year: (a) following August 3, 2025, the fifth anniversary of the Churchill IPO; (b) in which we have total annual gross revenue of at least $1.07 billion; or (c) in which we are deemed to be a large accelerated filer, which means the market value of our Class A common stock that is held by non-affiliates exceeds $700 million as of the last business day of our prior second fiscal quarter, and (ii) the date on which we have issued more than $1.0 billion in non-convertible debt during the prior three-year period. We expect that we will cease to be an emerging growth company as of December 31, 2021.</w:t>
      </w:r>
    </w:p>
    <w:p>
      <w:pPr>
        <w:spacing w:after="0" w:line="14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ectPr>
          <w:pgSz w:w="11900" w:h="16838" w:orient="portrait"/>
          <w:cols w:equalWidth="0" w:num="1">
            <w:col w:w="9900"/>
          </w:cols>
          <w:pgMar w:left="980" w:top="665"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143"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We intend to continue to take advantage of the exemptions described above for as long as we continue to be an emerging growth company. See “</w:t>
      </w:r>
      <w:r>
        <w:rPr>
          <w:rFonts w:ascii="Arial" w:cs="Arial" w:eastAsia="Arial" w:hAnsi="Arial"/>
          <w:sz w:val="18"/>
          <w:szCs w:val="18"/>
          <w:i w:val="1"/>
          <w:iCs w:val="1"/>
          <w:color w:val="auto"/>
        </w:rPr>
        <w:t>—Risks Related to Public Company Requirements —The requirements of being a public company may strain our</w:t>
      </w:r>
      <w:r>
        <w:rPr>
          <w:rFonts w:ascii="Arial" w:cs="Arial" w:eastAsia="Arial" w:hAnsi="Arial"/>
          <w:sz w:val="18"/>
          <w:szCs w:val="18"/>
          <w:color w:val="auto"/>
        </w:rPr>
        <w:t xml:space="preserve"> </w:t>
      </w:r>
      <w:r>
        <w:rPr>
          <w:rFonts w:ascii="Arial" w:cs="Arial" w:eastAsia="Arial" w:hAnsi="Arial"/>
          <w:sz w:val="18"/>
          <w:szCs w:val="18"/>
          <w:i w:val="1"/>
          <w:iCs w:val="1"/>
          <w:color w:val="auto"/>
        </w:rPr>
        <w:t>resources and distract our management, which could make it difficult to manage our business, particularly after we are no longer an “emerging growth company</w:t>
      </w:r>
      <w:r>
        <w:rPr>
          <w:rFonts w:ascii="Arial" w:cs="Arial" w:eastAsia="Arial" w:hAnsi="Arial"/>
          <w:sz w:val="18"/>
          <w:szCs w:val="18"/>
          <w:color w:val="auto"/>
        </w:rPr>
        <w:t>.”</w:t>
      </w:r>
    </w:p>
    <w:p>
      <w:pPr>
        <w:spacing w:after="0" w:line="160" w:lineRule="exact"/>
        <w:rPr>
          <w:sz w:val="20"/>
          <w:szCs w:val="20"/>
          <w:color w:val="auto"/>
        </w:rPr>
      </w:pPr>
    </w:p>
    <w:p>
      <w:pPr>
        <w:ind w:left="180" w:right="100"/>
        <w:spacing w:after="0" w:line="308" w:lineRule="auto"/>
        <w:rPr>
          <w:sz w:val="20"/>
          <w:szCs w:val="20"/>
          <w:color w:val="auto"/>
        </w:rPr>
      </w:pPr>
      <w:r>
        <w:rPr>
          <w:rFonts w:ascii="Arial" w:cs="Arial" w:eastAsia="Arial" w:hAnsi="Arial"/>
          <w:sz w:val="17"/>
          <w:szCs w:val="17"/>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10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Following the Closing, we are required to comply with various regulatory and reporting requirements, including those required by the SEC and Nasdaq. Complying with these reporting and other regulatory requirements will be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Lastly, a failure to comply with such requirements, as interpreted and applied, could also have a material adverse effect on our results of operations, financial condition or business.</w:t>
      </w:r>
    </w:p>
    <w:p>
      <w:pPr>
        <w:spacing w:after="0" w:line="13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To implement, maintain and improve the effectiveness of our disclosure controls and procedures, we will need to commit significant resources, hire additional staff and provide additional management oversight. We will be implementing additional procedures and processes 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41"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We qualify as an “emerging growth company” as defined in the JOBS Act, and we intend to take advantage of certain temporary exemptions from various reporting requirements including, but not limited to, not being required to comply with the auditor attestation requirements of Section 404 of the Sarbanes-Oxley Act and reduced disclosure obligations regarding executive compensation in the combined company’s periodic reports and proxy statements. We may also delay adoption of new or revised accounting pronouncements applicable to public companies until such pronouncements are made applicable to private companies, as permitted by the JOBS Act.</w:t>
      </w:r>
    </w:p>
    <w:p>
      <w:pPr>
        <w:spacing w:after="0" w:line="12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the combined company’s internal control over financial reporting until the later of our second annual report or the first annual report required to be filed with the SEC following the date we are no longer an “emerging growth company” as defined in the JOBS Act. We expect that we will cease to be an emerging growth company as of December 31, 2021. We have identified material weaknesses in our internal control over financial reporting for the year ended December 31, 2020 and cannot assure our investors that there will not be material weaknesses or significant deficiencies in our internal controls in the future.</w:t>
      </w:r>
    </w:p>
    <w:p>
      <w:pPr>
        <w:spacing w:after="0" w:line="137"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157" w:lineRule="exact"/>
        <w:rPr>
          <w:sz w:val="20"/>
          <w:szCs w:val="20"/>
          <w:color w:val="auto"/>
        </w:rPr>
      </w:pPr>
    </w:p>
    <w:p>
      <w:pPr>
        <w:ind w:left="180" w:right="60"/>
        <w:spacing w:after="0" w:line="30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17"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As a privately-held company, Lucid was not required to evaluate its internal control over financial reporting in a manner that meets the standards of publicly traded companies required by Section 404(a) of the Sarbanes-Oxley Act. As a public company, we will be required to provide management’s attestation on internal control over financial reporting. If we are unable to establish or maintain appropriate internal control over financial reporting or implement these additional requirements in a timely manner or with adequate</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compliance, it could result in material misstatements in our consolidated financial statements, failure to meet our reporting obligations on a timely basis, increases in compliance costs, and subject us to adverse regulatory consequences, all of which may adversely affect investor confidence in us and the value of our common stock.</w:t>
      </w:r>
    </w:p>
    <w:p>
      <w:pPr>
        <w:spacing w:after="0" w:line="14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connection with the preparation and audit of Lucid’s consolidated financial statements as of and for the years ended December 31, 2020 and 2019, material weaknesses were identified in its internal control over financial reporting. A material weakness is a deficiency, or combination of deficiencies, in internal control over financial reporting such that there is a reasonable possibility that a material misstatement of the financial statements will not be prevented or detected on a timely basis. The following material weaknesses were identified:</w:t>
      </w:r>
    </w:p>
    <w:p>
      <w:pPr>
        <w:spacing w:after="0" w:line="161" w:lineRule="exact"/>
        <w:rPr>
          <w:sz w:val="20"/>
          <w:szCs w:val="20"/>
          <w:color w:val="auto"/>
        </w:rPr>
      </w:pPr>
    </w:p>
    <w:p>
      <w:pPr>
        <w:ind w:left="680" w:right="800" w:hanging="321"/>
        <w:spacing w:after="0" w:line="263"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Lucid did not maintain a sufficient complement of personnel with accounting knowledge, experience and training to appropriately analyze, record and disclose accounting matters to provide reasonable assurance of preventing material misstatements;</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Lucid did not maintain an effective process to verify changes to vendor records for payment remittances; and</w:t>
      </w:r>
    </w:p>
    <w:p>
      <w:pPr>
        <w:spacing w:after="0" w:line="184" w:lineRule="exact"/>
        <w:rPr>
          <w:rFonts w:ascii="Arial" w:cs="Arial" w:eastAsia="Arial" w:hAnsi="Arial"/>
          <w:sz w:val="18"/>
          <w:szCs w:val="18"/>
          <w:color w:val="auto"/>
        </w:rPr>
      </w:pPr>
    </w:p>
    <w:p>
      <w:pPr>
        <w:ind w:left="680" w:right="60" w:hanging="321"/>
        <w:spacing w:after="0" w:line="259"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Lucid did not maintain effective controls over certain information technology (“IT”) general controls for information systems that are relevant to the preparation of its consolidated financial statements. Specifically, Lucid did not design and maintain user access controls to ensure appropriate segregation of duties and restrict user access to its financial applications to appropriate company personnel.</w:t>
      </w:r>
    </w:p>
    <w:p>
      <w:pPr>
        <w:spacing w:after="0" w:line="16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material weaknesses related to the insufficient complement of personnel and formal accounting policies, procedures and controls resulted in adjustments to several accounts and disclosures. The IT deficiencies did not result in a material misstatement to the consolidated financial statements, however, the deficiencies, when aggregated, could result in potential misstatements that would not be prevented or detected. Each of these material weaknesses could result in a material misstatement to the annual or interim consolidated financial statements that would not be prevented or detected.</w:t>
      </w:r>
    </w:p>
    <w:p>
      <w:pPr>
        <w:spacing w:after="0" w:line="14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have begun implementing a plan to remediate these material weaknesses. These remediation measures are ongoing and include the following steps:</w:t>
      </w:r>
    </w:p>
    <w:p>
      <w:pPr>
        <w:spacing w:after="0" w:line="130" w:lineRule="exact"/>
        <w:rPr>
          <w:sz w:val="20"/>
          <w:szCs w:val="20"/>
          <w:color w:val="auto"/>
        </w:rPr>
      </w:pPr>
    </w:p>
    <w:p>
      <w:pPr>
        <w:ind w:left="680" w:right="36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hiring additional accounting and financial reporting personnel with appropriate technical accounting knowledge and public company experience in financial reporting;</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designing and implementing effective processes and controls to prevent payment to unverified vendors;</w:t>
      </w:r>
    </w:p>
    <w:p>
      <w:pPr>
        <w:spacing w:after="0" w:line="184" w:lineRule="exact"/>
        <w:rPr>
          <w:rFonts w:ascii="Arial" w:cs="Arial" w:eastAsia="Arial" w:hAnsi="Arial"/>
          <w:sz w:val="18"/>
          <w:szCs w:val="18"/>
          <w:color w:val="auto"/>
        </w:rPr>
      </w:pPr>
    </w:p>
    <w:p>
      <w:pPr>
        <w:ind w:left="680" w:right="12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designing and implementing security management and change management controls over IT systems, including adjusting user access levels and implementing external logging of activity and periodic review of such logs; and</w:t>
      </w:r>
    </w:p>
    <w:p>
      <w:pPr>
        <w:spacing w:after="0" w:line="129" w:lineRule="exact"/>
        <w:rPr>
          <w:rFonts w:ascii="Arial" w:cs="Arial" w:eastAsia="Arial" w:hAnsi="Arial"/>
          <w:sz w:val="18"/>
          <w:szCs w:val="18"/>
          <w:color w:val="auto"/>
        </w:rPr>
      </w:pPr>
    </w:p>
    <w:p>
      <w:pPr>
        <w:jc w:val="both"/>
        <w:ind w:left="680" w:right="380" w:hanging="321"/>
        <w:spacing w:after="0" w:line="263"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engaging an accounting advisory firm to assist with the documentation, evaluation, remediation and testing of our internal control over financial reporting based on the criteria established in Internal Control — Integrated Framework issued by the Committee of Sponsoring Organizations of the Treadway Commission.</w:t>
      </w:r>
    </w:p>
    <w:p>
      <w:pPr>
        <w:spacing w:after="0" w:line="1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in connection with the restatement of Churchill’s financial statement reflected in Churchill’s Annual Report on Form 10-K/A filed on May 14, 2021, Churchill’s management concluded that its disclosure controls and procedures and internal control over financial reporting were not effective as of December 31, 2020 due to a material weakness in internal controls over financial reporting solely related to its accounting for warrants. See “</w:t>
      </w:r>
      <w:r>
        <w:rPr>
          <w:rFonts w:ascii="Arial" w:cs="Arial" w:eastAsia="Arial" w:hAnsi="Arial"/>
          <w:sz w:val="18"/>
          <w:szCs w:val="18"/>
          <w:i w:val="1"/>
          <w:iCs w:val="1"/>
          <w:color w:val="auto"/>
        </w:rPr>
        <w:t>—Risks Related to Risks Related to the Restatement of Our Previously Issued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—Our warrants are accounted for as liabilities and the changes in value of our warrants could have a material effect on our financial results</w:t>
      </w:r>
      <w:r>
        <w:rPr>
          <w:rFonts w:ascii="Arial" w:cs="Arial" w:eastAsia="Arial" w:hAnsi="Arial"/>
          <w:sz w:val="18"/>
          <w:szCs w:val="18"/>
          <w:color w:val="auto"/>
        </w:rPr>
        <w:t>.”</w:t>
      </w:r>
    </w:p>
    <w:p>
      <w:pPr>
        <w:spacing w:after="0" w:line="1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While we are designing and implementing measures to remediate existing material weaknesses, we cannot predict the success of such measures or the outcome of our assessment of these measures at this time. Our current controls and any new controls that we develop may become inadequate because of changes in conditions in our business, personnel, IT systems and applications, or other factors. If we fail to remediate existing material weaknesses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it is possible that a material</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misstatement of our financial statements would not be prevented or detected on a timely basis, investors may lose confidence in the accuracy and completeness of our financial reports, and the market price of our common stock could be negatively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Transactions</w:t>
      </w:r>
    </w:p>
    <w:p>
      <w:pPr>
        <w:spacing w:after="0" w:line="202"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Legal proceedings in connection with the Transactions, the outcomes of which are uncertain, could divert management’s attention and adversely affect our daily operations.</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March 3, 2021, Richard Hofman, a purported stockholder of Churchill, filed a complaint, individually and on behalf of other Churchill stockholders, in the Superior Court of the State of California against Churchill, Lucid, and other unnamed defendants. The complaint alleged claims for fraud, negligent misrepresentation, and false advertising and unfair business practices in connection with allegedly false and misleading statements and omissions in Churchill’s public filings, concerning the proposed merger between Churchill and Lucid. The complaint sought injunctive relief, as well as compensatory and punitive damages. On March 8, 2021, plaintiff filed an ex parte application for a temporary restraining order and preliminary injunction, which Churchill opposed and the court denied on March 10, 2021. Plaintiff filed an amended complaint on March 22, 2021, solely in a personal capacity and not on behalf of any other Churchill stockholders. The amended complaint alleges claims for fraud against defendants Lucid and Peter Rawlinson, and negligent misrepresentation against Churchill, Lucid, and Mr. Rawlinson. The amended complaint seeks compensatory and punitive damages. On June 7, 2021, the plaintiff filed a notice voluntarily dismissing the action without prejudice.</w:t>
      </w:r>
    </w:p>
    <w:p>
      <w:pPr>
        <w:spacing w:after="0" w:line="14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Since April 18, 2021, four actions asserting claims under the federal securities laws have been filed in federal courts in Alabama, California, New Jersey and Indiana, including two putative class actions: Randy Phillips v. Churchill Capital Corporation IV, et al., 1:21-cv-00539-ACA (N.D. Ala., filed Apr. 18, 2021); Arec D. Simeri v. Churchill Capital Corporation IV, et al., 2:21-cv-04295 (C.D. Cal., filed May 24, 2021); Chris Arico v. Churchill Capital Corporation IV, et al., 1:21-cv-12355 (D.N.J., filed June 9, 2021); and Gregory Slabaugh v. Churchill Capital Corporation IV, et al., 1:21-cv-01652 (S.D. Ind., filed June 11, 2021). The complaints name Churchill, Atieva, Inc. (doing business as Lucid), Michael Klein, Jay Taragin, and Peter Rawlinson as defendants and generally allege violations of Sections 10(b) and 20(a) of the Exchange Act in connection with alleged false and misleading statements concerning Lucid’s business plans and prospects, as well as the proposed merger between Churchill and Lucid. The complaints generally seek compensatory and/or punitive damages. We believe the claims are without merit and intend to defend ourselves vigorously.</w:t>
      </w:r>
    </w:p>
    <w:p>
      <w:pPr>
        <w:spacing w:after="0" w:line="13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Additional lawsuits may be filed against us or our directors and officers in connection with the Transactions. Defending such additional lawsuits could require us to incur significant costs and draw the attention of our management team away from the daily operations of Lucid Group. Further, the defense or settlement of any lawsuit or claim may also adversely affect our business, financial condition, results of operations and cash flows.</w:t>
      </w:r>
    </w:p>
    <w:p>
      <w:pPr>
        <w:spacing w:after="0" w:line="146" w:lineRule="exact"/>
        <w:rPr>
          <w:sz w:val="20"/>
          <w:szCs w:val="20"/>
          <w:color w:val="auto"/>
        </w:rPr>
      </w:pPr>
    </w:p>
    <w:p>
      <w:pPr>
        <w:ind w:left="180" w:right="60"/>
        <w:spacing w:after="0" w:line="263" w:lineRule="auto"/>
        <w:rPr>
          <w:sz w:val="20"/>
          <w:szCs w:val="20"/>
          <w:color w:val="auto"/>
        </w:rPr>
      </w:pPr>
      <w:r>
        <w:rPr>
          <w:rFonts w:ascii="Arial" w:cs="Arial" w:eastAsia="Arial" w:hAnsi="Arial"/>
          <w:sz w:val="18"/>
          <w:szCs w:val="18"/>
          <w:b w:val="1"/>
          <w:bCs w:val="1"/>
          <w:i w:val="1"/>
          <w:iCs w:val="1"/>
          <w:color w:val="auto"/>
        </w:rPr>
        <w:t>We may be required to take writedowns or write-offs, restructuring and impairment or other charges that could have a significant negative effect on our financial condition, results of operations and stock price, which could cause our investors to lose some or all of their investment.</w:t>
      </w:r>
    </w:p>
    <w:p>
      <w:pPr>
        <w:spacing w:after="0" w:line="143" w:lineRule="exact"/>
        <w:rPr>
          <w:sz w:val="20"/>
          <w:szCs w:val="20"/>
          <w:color w:val="auto"/>
        </w:rPr>
      </w:pPr>
    </w:p>
    <w:p>
      <w:pPr>
        <w:jc w:val="both"/>
        <w:ind w:right="100" w:firstLine="324"/>
        <w:spacing w:after="0" w:line="290" w:lineRule="auto"/>
        <w:rPr>
          <w:sz w:val="20"/>
          <w:szCs w:val="20"/>
          <w:color w:val="auto"/>
        </w:rPr>
      </w:pPr>
      <w:r>
        <w:rPr>
          <w:rFonts w:ascii="Arial" w:cs="Arial" w:eastAsia="Arial" w:hAnsi="Arial"/>
          <w:sz w:val="16"/>
          <w:szCs w:val="16"/>
          <w:color w:val="auto"/>
        </w:rPr>
        <w:t>Although Churchill has conducted due diligence on the Lucid business, we cannot assure our investors that this diligence surfaced all material issues that may have been present in such business, that it was possible to uncover all material issues through a customary amount of due diligence, or that factors outside of the Lucid business and outside of our control will not later arise. As a result of these factors, we may be forced to later write-down or write-off assets, restructure operations, or incur impairment or other charges that could result in losses. Even if Churchill’s due diligence successfully identified certain risks, unexpected risks may arise and previously known risks may materialize in a manner not consistent with Churchill’s preliminary risk analysis.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38"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b w:val="1"/>
          <w:bCs w:val="1"/>
          <w:i w:val="1"/>
          <w:iCs w:val="1"/>
          <w:color w:val="auto"/>
        </w:rPr>
        <w:t>If the benefits of the Transactions do not meet the expectations of investors, stockholders or financial analysts, the market price of our securities may decline.</w:t>
      </w:r>
    </w:p>
    <w:p>
      <w:pPr>
        <w:spacing w:after="0" w:line="13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If the benefits of the Transactions do not meet the expectations of investors, stockholders or securities analysts, the market price of our securities may decline.</w:t>
      </w:r>
    </w:p>
    <w:p>
      <w:pPr>
        <w:spacing w:after="0" w:line="130"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Fluctuations in the price of our securities could contribute to the loss of all or part of our investors’ investment. Immediately prior to the Transactions, there has not been a public market for stock relating to the Lucid business and trading in shares of Churchill’s Class A common stock has not been active. Accordingly, the valuation ascribed to the Lucid business and Churchill’s Class A common stock in the Transactions may not be indicative of the price that will prevail in the trading market following the Transactions.</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There is no guarantee that an active and liquid public market for our securities will develop.</w:t>
      </w:r>
    </w:p>
    <w:p>
      <w:pPr>
        <w:spacing w:after="0" w:line="198"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Churchill was a blank check company and there was no public market for Lucid Common Shares since Lucid was a private company. A liquid trading market for our Class A common stock may never develop or, if developed, it may not be sustained. In the absence of a liquid public trading market:</w:t>
      </w:r>
    </w:p>
    <w:p>
      <w:pPr>
        <w:spacing w:after="0" w:line="143" w:lineRule="exact"/>
        <w:rPr>
          <w:sz w:val="20"/>
          <w:szCs w:val="20"/>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investors may not be able to liquidate their investment in shares of our Class A common stock or our warrants;</w:t>
      </w:r>
    </w:p>
    <w:p>
      <w:pPr>
        <w:spacing w:after="0" w:line="184" w:lineRule="exact"/>
        <w:rPr>
          <w:rFonts w:ascii="Arial" w:cs="Arial" w:eastAsia="Arial" w:hAnsi="Arial"/>
          <w:sz w:val="18"/>
          <w:szCs w:val="18"/>
          <w:color w:val="auto"/>
        </w:rPr>
      </w:pPr>
    </w:p>
    <w:p>
      <w:pPr>
        <w:ind w:left="680" w:right="46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investors may not be able to resell their shares of our Class A common stock or our warrants at or above the price our investors paid for them;</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market price of shares of our Class A common stock or our warrants may experience significant price volatility; and</w:t>
      </w:r>
    </w:p>
    <w:p>
      <w:pPr>
        <w:spacing w:after="0" w:line="196" w:lineRule="exact"/>
        <w:rPr>
          <w:rFonts w:ascii="Arial" w:cs="Arial" w:eastAsia="Arial" w:hAnsi="Arial"/>
          <w:sz w:val="17"/>
          <w:szCs w:val="17"/>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may be less efficiency in carrying out our investors’ purchase and sale orders.</w:t>
      </w:r>
    </w:p>
    <w:p>
      <w:pPr>
        <w:spacing w:after="0" w:line="18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Our investors may be unable to sell their securities unless a market can be established or sustained.</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price of our Class A common stock and warrants may be volatile.</w:t>
      </w:r>
    </w:p>
    <w:p>
      <w:pPr>
        <w:spacing w:after="0" w:line="18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trading price of our Class A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securities depends on many factors, including those described elsewhere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 many of which are beyond our control and may not be related to our operating performance. These fluctuations could cause our investors to lose all or part of our investors’ investment in our securities since our investors might be unable to sell them at or above the price they paid for them. Any of the factors listed below could have a material adverse effect on our investors’ investment in our securities and our securities may trade at prices significantly below the price our investors paid for them. In such circumstances, the trading price of our securities may not recover and may experience a further decline.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98" w:lineRule="exact"/>
        <w:rPr>
          <w:sz w:val="20"/>
          <w:szCs w:val="20"/>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184"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ours;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competitors’ businesses or the competitive landscape generally;</w:t>
      </w:r>
    </w:p>
    <w:p>
      <w:pPr>
        <w:spacing w:after="0" w:line="209" w:lineRule="exact"/>
        <w:rPr>
          <w:rFonts w:ascii="Arial" w:cs="Arial" w:eastAsia="Arial" w:hAnsi="Arial"/>
          <w:sz w:val="17"/>
          <w:szCs w:val="17"/>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184"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the achievement of objectives under our business plan and the timing and amount of costs we incur in connection therewith;</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volume of our Class A common stock available for public sale;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98" w:lineRule="exact"/>
        <w:rPr>
          <w:rFonts w:ascii="Arial" w:cs="Arial" w:eastAsia="Arial" w:hAnsi="Arial"/>
          <w:sz w:val="18"/>
          <w:szCs w:val="18"/>
          <w:color w:val="auto"/>
        </w:rPr>
      </w:pPr>
    </w:p>
    <w:p>
      <w:pPr>
        <w:ind w:left="680" w:right="78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substantial amounts of our Class A common stock by our directors, officers or significant stockholders or the perception that such sales could occur;</w:t>
      </w:r>
    </w:p>
    <w:p>
      <w:pPr>
        <w:spacing w:after="0" w:line="129"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“trade wars,” pandemics (such as COVID-19) and acts of war or terrorism; and</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risk factors listed in this section.</w:t>
      </w:r>
    </w:p>
    <w:p>
      <w:pPr>
        <w:spacing w:after="0" w:line="19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our Class A common stock,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2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30" w:lineRule="exact"/>
        <w:rPr>
          <w:sz w:val="20"/>
          <w:szCs w:val="20"/>
          <w:color w:val="auto"/>
        </w:rPr>
      </w:pPr>
    </w:p>
    <w:p>
      <w:pPr>
        <w:ind w:left="180" w:right="520"/>
        <w:spacing w:after="0" w:line="277" w:lineRule="auto"/>
        <w:rPr>
          <w:sz w:val="20"/>
          <w:szCs w:val="20"/>
          <w:color w:val="auto"/>
        </w:rPr>
      </w:pPr>
      <w:r>
        <w:rPr>
          <w:rFonts w:ascii="Arial" w:cs="Arial" w:eastAsia="Arial" w:hAnsi="Arial"/>
          <w:sz w:val="18"/>
          <w:szCs w:val="18"/>
          <w:b w:val="1"/>
          <w:bCs w:val="1"/>
          <w:i w:val="1"/>
          <w:iCs w:val="1"/>
          <w:color w:val="auto"/>
        </w:rPr>
        <w:t>Nasdaq may not continue to list our securities, which could limit investors’ ability to make transactions in our securities and subject us to additional trading restrictions.</w:t>
      </w:r>
    </w:p>
    <w:p>
      <w:pPr>
        <w:spacing w:after="0" w:line="130"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Our Class A common stock and Public Warrants are currently listed on the Nasdaq Global Select Market.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spacing w:after="0" w:line="108" w:lineRule="exact"/>
        <w:rPr>
          <w:sz w:val="20"/>
          <w:szCs w:val="20"/>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100" w:hanging="321"/>
        <w:spacing w:after="0" w:line="342"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determination that our common stock is a “penny stock” which will require brokers trading in such securities to adhere to more stringent rules and possibly result in a reduced level of trading activity in the secondary trading market for our securities;</w:t>
      </w:r>
    </w:p>
    <w:p>
      <w:pPr>
        <w:spacing w:after="0" w:line="83" w:lineRule="exact"/>
        <w:rPr>
          <w:rFonts w:ascii="Arial" w:cs="Arial" w:eastAsia="Arial" w:hAnsi="Arial"/>
          <w:sz w:val="16"/>
          <w:szCs w:val="16"/>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85" w:lineRule="exact"/>
        <w:rPr>
          <w:sz w:val="20"/>
          <w:szCs w:val="20"/>
          <w:color w:val="auto"/>
        </w:rPr>
      </w:pPr>
    </w:p>
    <w:p>
      <w:pPr>
        <w:ind w:left="180" w:right="340"/>
        <w:spacing w:after="0" w:line="381" w:lineRule="auto"/>
        <w:rPr>
          <w:sz w:val="20"/>
          <w:szCs w:val="20"/>
          <w:color w:val="auto"/>
        </w:rPr>
      </w:pPr>
      <w:r>
        <w:rPr>
          <w:rFonts w:ascii="Arial" w:cs="Arial" w:eastAsia="Arial" w:hAnsi="Arial"/>
          <w:sz w:val="15"/>
          <w:szCs w:val="15"/>
          <w:b w:val="1"/>
          <w:bCs w:val="1"/>
          <w:i w:val="1"/>
          <w:iCs w:val="1"/>
          <w:color w:val="auto"/>
        </w:rPr>
        <w:t>A significant portion of our Class A common stock is restricted from immediate resale, but may be sold into the market in the future. This could cause the market price of our Class A common stock to drop significantly, even if our business is doing well.</w:t>
      </w:r>
    </w:p>
    <w:p>
      <w:pPr>
        <w:spacing w:after="0" w:line="6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market price of shares of our Class A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5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of immediately after the Closing, we had outstanding (i) 1,618,621,534 shares of our Class A common stock, (ii) warrants to purchase 85,750,000 shares of our Class A common stock, and (iii) options and restricted stock units covering 111,531,080 shares of our Class A common stock.</w:t>
      </w:r>
    </w:p>
    <w:p>
      <w:pPr>
        <w:spacing w:after="0" w:line="14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Pursuant to the Investor Rights Agreement and our current bylaws, and subject to certain exceptions, the holders of: (i) shares of Class A common stock issued as consideration pursuant to the Merger, (ii) any assumed Lucid Equity Awards; or (iii) shares of Class A common stock underlying such assumed Lucid Equity Awards, in each case, are restricted from selling or transferring any of the securities described in clauses (i), (ii) or (iii). Such restrictions began at the Closing and will end at the date that is 180 days after the Closing. Pursuant to the Investor Rights Agreement, the Sponsor has agreed to similar restrictions for a period of 18 months with respect to Class A common stock and Private Placement Warrants held by it. However, following the expiration of such lock-up periods, the Sponsor and the other lock-up parties will not be restricted from selling our securities held by them, other than by applicable securities laws. Additionally, the PIPE Investors will not be restricted from selling any of their shares of Class A common stock after the expiration of the lock-up period applicable to them other than by applicable securities laws. As such, sales of a substantial number of shares of Class A common stock in the public market could occur at any time. These sales, or the perception in the market that the holders of a large number of shares intend to sell shares, could reduce the market price of Class A common stock.</w:t>
      </w:r>
    </w:p>
    <w:p>
      <w:pPr>
        <w:spacing w:after="0" w:line="13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addition, pursuant to the Investor Rights Agreement, the Sponsor, Ayar and certain other parties thereto are entitled to, among other things, certain registration rights, including demand, piggy-back and shelf registration rights, subject to cut-back provisions. We were also required to register additional shares of our common stock pursuant to the PIPE Subscription Agreements and the Warrant Agreement.</w:t>
      </w:r>
    </w:p>
    <w:p>
      <w:pPr>
        <w:spacing w:after="0" w:line="160" w:lineRule="exact"/>
        <w:rPr>
          <w:sz w:val="20"/>
          <w:szCs w:val="20"/>
          <w:color w:val="auto"/>
        </w:rPr>
      </w:pPr>
    </w:p>
    <w:p>
      <w:pPr>
        <w:ind w:left="180" w:right="8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applicable rules of Nasdaq and, as a result, qualify for exemptions from certain corporate governance requirements. Our stockholders will not have the same protections afforded to stockholders of companies that are not controlled companies.</w:t>
      </w:r>
    </w:p>
    <w:p>
      <w:pPr>
        <w:spacing w:after="0" w:line="14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of the Closing Date, Ayar held approximately 62.7%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as of the date of this Quarterly Report,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3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143"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The Sponsor, Ayar and the PIPE Investors beneficially own a significant equity interest in us and may take actions that conflict with our investors’ interests.</w:t>
      </w:r>
    </w:p>
    <w:p>
      <w:pPr>
        <w:spacing w:after="0" w:line="143"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interests of Sponsor, Ayar and the PIPE Investors may not align with our interests and the interests of our other stockholders. The Sponsor, Ayar and the PIPE Investors are each in the business of making investments in companies and may acquire and hold interests in businesses that compete directly or indirectly with us. The Sponsor, Ayar and the PIPE Investors, and their respective affiliates, may also pursue acquisition opportunities that may be complementary to our business and, as a result, those acquisition opportunities may not be available to us.</w:t>
      </w:r>
    </w:p>
    <w:p>
      <w:pPr>
        <w:spacing w:after="0" w:line="147" w:lineRule="exact"/>
        <w:rPr>
          <w:sz w:val="20"/>
          <w:szCs w:val="20"/>
          <w:color w:val="auto"/>
        </w:rPr>
      </w:pPr>
    </w:p>
    <w:p>
      <w:pPr>
        <w:ind w:left="180" w:right="420"/>
        <w:spacing w:after="0" w:line="308" w:lineRule="auto"/>
        <w:rPr>
          <w:sz w:val="20"/>
          <w:szCs w:val="20"/>
          <w:color w:val="auto"/>
        </w:rPr>
      </w:pPr>
      <w:r>
        <w:rPr>
          <w:rFonts w:ascii="Arial" w:cs="Arial" w:eastAsia="Arial" w:hAnsi="Arial"/>
          <w:sz w:val="17"/>
          <w:szCs w:val="17"/>
          <w:b w:val="1"/>
          <w:bCs w:val="1"/>
          <w:i w:val="1"/>
          <w:iCs w:val="1"/>
          <w:color w:val="auto"/>
        </w:rPr>
        <w:t>We may issue additional shares of our Class A common stock or other equity securities without our investors’ approval, which would dilute their ownership interests and may depress the market price of their shares.</w:t>
      </w:r>
    </w:p>
    <w:p>
      <w:pPr>
        <w:spacing w:after="0" w:line="106"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may issue additional shares of our Class A common stock or other equity securities of equal or senior rank in the future in connection with, among other things, future acquisitions, repayment of outstanding indebtedness or under our Incentive Plan, without stockholder approval, in a number of circumstances. In connection with the Transactions, we assumed Lucid Equity Awards covering approximately 111.5 million shares of our Class A common stock.</w:t>
      </w:r>
    </w:p>
    <w:p>
      <w:pPr>
        <w:spacing w:after="0" w:line="16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issuance of additional shares of our Class A common stock or other equity securities of equal or senior rank could have the following effects:</w:t>
      </w:r>
    </w:p>
    <w:p>
      <w:pPr>
        <w:spacing w:after="0" w:line="130" w:lineRule="exact"/>
        <w:rPr>
          <w:sz w:val="20"/>
          <w:szCs w:val="20"/>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investors’ proportionate ownership interest in us will decrease;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common stock may be diminished; or</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market price of our stock may decline.</w:t>
      </w:r>
    </w:p>
    <w:p>
      <w:pPr>
        <w:spacing w:after="0" w:line="185"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There is no guarantee that our warrants will be in the money, and they may expire worthless and the terms of our warrants may be amended.</w:t>
      </w:r>
    </w:p>
    <w:p>
      <w:pPr>
        <w:spacing w:after="0" w:line="13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warrants will be in the money at any given time prior to their expiration. If the trading price of our common stock declines, the warrants may expire worthless.</w:t>
      </w:r>
    </w:p>
    <w:p>
      <w:pPr>
        <w:spacing w:after="0" w:line="157"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the warrant holders, thereby making their warrants worthless.</w:t>
      </w:r>
    </w:p>
    <w:p>
      <w:pPr>
        <w:spacing w:after="0" w:line="13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dividends,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warrant holders to: (1) exercise our investors’ warrants and pay the exercise price therefor at a time when it may be disadvantageous for them to do so (2) sell their warrants at the then-current market price when they might otherwise wish to hold their warrants; or (3) accept the nominal redemption price which, at the time the outstanding warrants are called for redemption, is likely to be substantially less than the market value of their warrants.</w:t>
      </w:r>
    </w:p>
    <w:p>
      <w:pPr>
        <w:spacing w:after="0" w:line="154" w:lineRule="exact"/>
        <w:rPr>
          <w:sz w:val="20"/>
          <w:szCs w:val="20"/>
          <w:color w:val="auto"/>
        </w:rPr>
      </w:pPr>
    </w:p>
    <w:p>
      <w:pPr>
        <w:jc w:val="both"/>
        <w:ind w:left="180" w:right="60"/>
        <w:spacing w:after="0" w:line="263" w:lineRule="auto"/>
        <w:rPr>
          <w:sz w:val="20"/>
          <w:szCs w:val="20"/>
          <w:color w:val="auto"/>
        </w:rPr>
      </w:pPr>
      <w:r>
        <w:rPr>
          <w:rFonts w:ascii="Arial" w:cs="Arial" w:eastAsia="Arial" w:hAnsi="Arial"/>
          <w:sz w:val="18"/>
          <w:szCs w:val="18"/>
          <w:b w:val="1"/>
          <w:bCs w:val="1"/>
          <w:i w:val="1"/>
          <w:iCs w:val="1"/>
          <w:color w:val="auto"/>
        </w:rPr>
        <w:t>Our only significant asset is our ownership interest in the Lucid business, and such ownership may not be sufficiently profitable or valuable to enable us to satisfy our other financial obligations. We do not anticipate paying any cash dividends for the foreseeable future.</w:t>
      </w:r>
    </w:p>
    <w:p>
      <w:pPr>
        <w:spacing w:after="0" w:line="157"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We do not expect having any direct operations or any significant assets other than our ownership interest in the Lucid business. We will depend on the Lucid business for distributions, loans and other payments to generate the funds necessary to meet our financial</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obligations, including our expenses as a publicly traded company. The earnings from, or other available assets of, the Lucid business may not be sufficient to pay dividends or make distributions or loans to enable us to pay any dividends on the common stock or satisfy our other financial obligations.</w:t>
      </w:r>
    </w:p>
    <w:p>
      <w:pPr>
        <w:spacing w:after="0" w:line="143"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In addition, we have never declared or paid cash dividends on its capital stock, and we do not anticipate paying any cash dividends in the foreseeable future. We currently intend to retain its future earnings, if any, for the foreseeable future, to fund the development and growth of our business.</w:t>
      </w:r>
    </w:p>
    <w:p>
      <w:pPr>
        <w:spacing w:after="0" w:line="15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our investors’ only source of gain on an investment in our Class A common stock.</w:t>
      </w:r>
    </w:p>
    <w:p>
      <w:pPr>
        <w:spacing w:after="0" w:line="146" w:lineRule="exact"/>
        <w:rPr>
          <w:sz w:val="20"/>
          <w:szCs w:val="20"/>
          <w:color w:val="auto"/>
        </w:rPr>
      </w:pPr>
    </w:p>
    <w:p>
      <w:pPr>
        <w:ind w:left="180" w:right="80"/>
        <w:spacing w:after="0" w:line="279" w:lineRule="auto"/>
        <w:rPr>
          <w:sz w:val="20"/>
          <w:szCs w:val="20"/>
          <w:color w:val="auto"/>
        </w:rPr>
      </w:pPr>
      <w:r>
        <w:rPr>
          <w:rFonts w:ascii="Arial" w:cs="Arial" w:eastAsia="Arial" w:hAnsi="Arial"/>
          <w:sz w:val="17"/>
          <w:szCs w:val="17"/>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13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157" w:lineRule="exact"/>
        <w:rPr>
          <w:sz w:val="20"/>
          <w:szCs w:val="20"/>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84" w:lineRule="exact"/>
        <w:rPr>
          <w:rFonts w:ascii="Arial" w:cs="Arial" w:eastAsia="Arial" w:hAnsi="Arial"/>
          <w:sz w:val="18"/>
          <w:szCs w:val="18"/>
          <w:color w:val="auto"/>
        </w:rPr>
      </w:pPr>
    </w:p>
    <w:p>
      <w:pPr>
        <w:ind w:left="680" w:right="50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employees to us or our stockholders;</w:t>
      </w:r>
    </w:p>
    <w:p>
      <w:pPr>
        <w:spacing w:after="0" w:line="129" w:lineRule="exact"/>
        <w:rPr>
          <w:rFonts w:ascii="Arial" w:cs="Arial" w:eastAsia="Arial" w:hAnsi="Arial"/>
          <w:sz w:val="18"/>
          <w:szCs w:val="18"/>
          <w:color w:val="auto"/>
        </w:rPr>
      </w:pPr>
    </w:p>
    <w:p>
      <w:pPr>
        <w:ind w:left="680" w:hanging="321"/>
        <w:spacing w:after="0" w:line="263"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156"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governed by the internal affairs doctrine.</w:t>
      </w:r>
    </w:p>
    <w:p>
      <w:pPr>
        <w:spacing w:after="0" w:line="130"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33"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b w:val="1"/>
          <w:bCs w:val="1"/>
          <w:i w:val="1"/>
          <w:iCs w:val="1"/>
          <w:color w:val="auto"/>
        </w:rPr>
        <w:t>Some provisions of Delaware law and our current certificate of incorporation and our current bylaws may deter third parties from acquiring us and diminish the value of our common stock.</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certificate of incorporation and our current bylaws provide for, among other things: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129"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the Investor Rights Agreement, advance notice for nominations of directors by stockholders and for stockholders to include matters to be considered at stockholder meetings; and</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85" w:lineRule="exact"/>
        <w:rPr>
          <w:sz w:val="20"/>
          <w:szCs w:val="20"/>
          <w:color w:val="auto"/>
        </w:rPr>
      </w:pPr>
    </w:p>
    <w:p>
      <w:pPr>
        <w:jc w:val="both"/>
        <w:ind w:right="540" w:firstLine="324"/>
        <w:spacing w:after="0" w:line="263" w:lineRule="auto"/>
        <w:rPr>
          <w:sz w:val="20"/>
          <w:szCs w:val="20"/>
          <w:color w:val="auto"/>
        </w:rPr>
      </w:pPr>
      <w:r>
        <w:rPr>
          <w:rFonts w:ascii="Arial" w:cs="Arial" w:eastAsia="Arial" w:hAnsi="Arial"/>
          <w:sz w:val="18"/>
          <w:szCs w:val="18"/>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143" w:lineRule="exact"/>
        <w:rPr>
          <w:sz w:val="20"/>
          <w:szCs w:val="20"/>
          <w:color w:val="auto"/>
        </w:rPr>
      </w:pPr>
    </w:p>
    <w:p>
      <w:pPr>
        <w:ind w:left="680" w:right="54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143" w:lineRule="exact"/>
        <w:rPr>
          <w:rFonts w:ascii="Arial" w:cs="Arial" w:eastAsia="Arial" w:hAnsi="Arial"/>
          <w:sz w:val="18"/>
          <w:szCs w:val="18"/>
          <w:color w:val="auto"/>
        </w:rPr>
      </w:pPr>
    </w:p>
    <w:p>
      <w:pPr>
        <w:ind w:left="680" w:hanging="321"/>
        <w:spacing w:after="0" w:line="342"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83" w:lineRule="exact"/>
        <w:rPr>
          <w:rFonts w:ascii="Arial" w:cs="Arial" w:eastAsia="Arial" w:hAnsi="Arial"/>
          <w:sz w:val="16"/>
          <w:szCs w:val="16"/>
          <w:color w:val="auto"/>
        </w:rPr>
      </w:pPr>
    </w:p>
    <w:p>
      <w:pPr>
        <w:ind w:left="680" w:right="260" w:hanging="321"/>
        <w:spacing w:after="0" w:line="342"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83"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3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52"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if they are viewed as discouraging future takeover attempts. These provisions could also make it more difficult for stockholders to nominate directors for election to our Board and take other corporate actions.</w:t>
      </w:r>
    </w:p>
    <w:p>
      <w:pPr>
        <w:spacing w:after="0" w:line="136" w:lineRule="exact"/>
        <w:rPr>
          <w:sz w:val="20"/>
          <w:szCs w:val="20"/>
          <w:color w:val="auto"/>
        </w:rPr>
      </w:pPr>
    </w:p>
    <w:p>
      <w:pPr>
        <w:ind w:left="180" w:right="40"/>
        <w:spacing w:after="0" w:line="263" w:lineRule="auto"/>
        <w:rPr>
          <w:sz w:val="20"/>
          <w:szCs w:val="20"/>
          <w:color w:val="auto"/>
        </w:rPr>
      </w:pPr>
      <w:r>
        <w:rPr>
          <w:rFonts w:ascii="Arial" w:cs="Arial" w:eastAsia="Arial" w:hAnsi="Arial"/>
          <w:sz w:val="18"/>
          <w:szCs w:val="18"/>
          <w:b w:val="1"/>
          <w:bCs w:val="1"/>
          <w:i w:val="1"/>
          <w:iCs w:val="1"/>
          <w:color w:val="auto"/>
        </w:rPr>
        <w:t>Securities or industry analysts may not publish or cease publishing research or reports about us, our business, our market, or change their recommendations regarding our Class A common stock adversely, which could cause the price and trading volume of our Class A common stock to decline.</w:t>
      </w:r>
    </w:p>
    <w:p>
      <w:pPr>
        <w:spacing w:after="0" w:line="15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may publish about us, our business and operations, our market, or our competitors.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Class A common stock would likely decline. If any analyst who may cover us were to cease coverage of us or fail to regularly publish reports on us, we could lose visibility in the financial markets, which could cause our stock price or trading volume to decline.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880"/>
          </w:cols>
          <w:pgMar w:left="980" w:top="665"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5" w:right="1440"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gridSpan w:val="2"/>
          </w:tcPr>
          <w:p>
            <w:pPr>
              <w:ind w:left="320"/>
              <w:spacing w:after="0"/>
              <w:rPr>
                <w:sz w:val="20"/>
                <w:szCs w:val="20"/>
                <w:color w:val="auto"/>
              </w:rPr>
            </w:pPr>
            <w:r>
              <w:rPr>
                <w:rFonts w:ascii="Arial" w:cs="Arial" w:eastAsia="Arial" w:hAnsi="Arial"/>
                <w:sz w:val="14"/>
                <w:szCs w:val="14"/>
                <w:b w:val="1"/>
                <w:bCs w:val="1"/>
                <w:color w:val="auto"/>
              </w:rPr>
              <w:t>No.</w:t>
            </w: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80" w:type="dxa"/>
            <w:vAlign w:val="bottom"/>
            <w:gridSpan w:val="7"/>
          </w:tcPr>
          <w:p>
            <w:pPr>
              <w:ind w:left="3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9"/>
        </w:trPr>
        <w:tc>
          <w:tcPr>
            <w:tcW w:w="8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4"/>
                <w:szCs w:val="14"/>
                <w:color w:val="auto"/>
              </w:rPr>
            </w:pPr>
          </w:p>
        </w:tc>
        <w:tc>
          <w:tcPr>
            <w:tcW w:w="8900" w:type="dxa"/>
            <w:vAlign w:val="bottom"/>
            <w:tcBorders>
              <w:top w:val="single" w:sz="8" w:color="auto"/>
              <w:bottom w:val="single" w:sz="8" w:color="0000EE"/>
            </w:tcBorders>
            <w:gridSpan w:val="11"/>
          </w:tcPr>
          <w:p>
            <w:pPr>
              <w:spacing w:after="0" w:line="169" w:lineRule="exact"/>
              <w:rPr>
                <w:rFonts w:ascii="Arial" w:cs="Arial" w:eastAsia="Arial" w:hAnsi="Arial"/>
                <w:sz w:val="18"/>
                <w:szCs w:val="18"/>
                <w:color w:val="0000EE"/>
                <w:w w:val="94"/>
              </w:rPr>
            </w:pPr>
            <w:hyperlink r:id="rId86">
              <w:r>
                <w:rPr>
                  <w:rFonts w:ascii="Arial" w:cs="Arial" w:eastAsia="Arial" w:hAnsi="Arial"/>
                  <w:sz w:val="18"/>
                  <w:szCs w:val="18"/>
                  <w:color w:val="0000EE"/>
                  <w:w w:val="94"/>
                </w:rPr>
                <w:t>Second Amended and Restated Certificate of Incorporation (incorporated by reference to Exhibit 3.1 to the Company’s</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00" w:type="dxa"/>
            <w:vAlign w:val="bottom"/>
            <w:gridSpan w:val="11"/>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Current Report on Form 8-K filed July 26, 2021 (the “</w:t>
              </w:r>
              <w:r>
                <w:rPr>
                  <w:rFonts w:ascii="Arial" w:cs="Arial" w:eastAsia="Arial" w:hAnsi="Arial"/>
                  <w:sz w:val="18"/>
                  <w:szCs w:val="18"/>
                  <w:i w:val="1"/>
                  <w:iCs w:val="1"/>
                  <w:color w:val="0000EE"/>
                </w:rPr>
                <w:t>Super 8-K</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17"/>
                <w:szCs w:val="17"/>
                <w:color w:val="auto"/>
              </w:rPr>
            </w:pPr>
          </w:p>
        </w:tc>
        <w:tc>
          <w:tcPr>
            <w:tcW w:w="65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Amended and Restated Bylaws (incorporated by reference to Exhibit 3.2 to the Super 8-K)</w:t>
              </w:r>
            </w:hyperlink>
          </w:p>
        </w:tc>
        <w:tc>
          <w:tcPr>
            <w:tcW w:w="2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60" w:type="dxa"/>
            <w:vAlign w:val="bottom"/>
          </w:tcPr>
          <w:p>
            <w:pPr>
              <w:spacing w:after="0"/>
              <w:rPr>
                <w:sz w:val="17"/>
                <w:szCs w:val="17"/>
                <w:color w:val="auto"/>
              </w:rPr>
            </w:pPr>
          </w:p>
        </w:tc>
        <w:tc>
          <w:tcPr>
            <w:tcW w:w="8900" w:type="dxa"/>
            <w:vAlign w:val="bottom"/>
            <w:gridSpan w:val="11"/>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Form of Indemnification Agreement (incorporated by reference to Exhibit 10.21 to the Super 8-K)</w:t>
              </w:r>
            </w:hyperlink>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jc w:val="center"/>
              <w:ind w:right="160"/>
              <w:spacing w:after="0" w:line="216" w:lineRule="exact"/>
              <w:rPr>
                <w:sz w:val="20"/>
                <w:szCs w:val="20"/>
                <w:color w:val="auto"/>
              </w:rPr>
            </w:pPr>
            <w:r>
              <w:rPr>
                <w:rFonts w:ascii="Arial" w:cs="Arial" w:eastAsia="Arial" w:hAnsi="Arial"/>
                <w:sz w:val="17"/>
                <w:szCs w:val="17"/>
                <w:color w:val="auto"/>
                <w:w w:val="88"/>
              </w:rPr>
              <w:t>10.2</w:t>
            </w:r>
            <w:r>
              <w:rPr>
                <w:rFonts w:ascii="Arial" w:cs="Arial" w:eastAsia="Arial" w:hAnsi="Arial"/>
                <w:sz w:val="25"/>
                <w:szCs w:val="25"/>
                <w:color w:val="auto"/>
                <w:w w:val="88"/>
                <w:vertAlign w:val="superscript"/>
              </w:rPr>
              <w:t>˄</w:t>
            </w:r>
          </w:p>
        </w:tc>
        <w:tc>
          <w:tcPr>
            <w:tcW w:w="2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vMerge w:val="continue"/>
          </w:tcPr>
          <w:p>
            <w:pPr>
              <w:spacing w:after="0"/>
              <w:rPr>
                <w:sz w:val="17"/>
                <w:szCs w:val="17"/>
                <w:color w:val="auto"/>
              </w:rPr>
            </w:pPr>
          </w:p>
        </w:tc>
        <w:tc>
          <w:tcPr>
            <w:tcW w:w="89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Offer of Employment to Sherry House, dated April 1, 2021 (incorporated by reference to Exhibit 10.5 to the Registration</w:t>
              </w:r>
            </w:hyperlink>
          </w:p>
        </w:tc>
        <w:tc>
          <w:tcPr>
            <w:tcW w:w="0" w:type="dxa"/>
            <w:vAlign w:val="bottom"/>
          </w:tcPr>
          <w:p>
            <w:pPr>
              <w:spacing w:after="0"/>
              <w:rPr>
                <w:sz w:val="1"/>
                <w:szCs w:val="1"/>
                <w:color w:val="auto"/>
              </w:rPr>
            </w:pPr>
          </w:p>
        </w:tc>
      </w:tr>
      <w:tr>
        <w:trPr>
          <w:trHeight w:val="196"/>
        </w:trPr>
        <w:tc>
          <w:tcPr>
            <w:tcW w:w="10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4"/>
              </w:rPr>
              <w:t>10.3</w:t>
            </w:r>
            <w:r>
              <w:rPr>
                <w:rFonts w:ascii="Arial" w:cs="Arial" w:eastAsia="Arial" w:hAnsi="Arial"/>
                <w:sz w:val="26"/>
                <w:szCs w:val="26"/>
                <w:color w:val="auto"/>
                <w:w w:val="84"/>
                <w:vertAlign w:val="superscript"/>
              </w:rPr>
              <w:t>˄</w:t>
            </w:r>
          </w:p>
        </w:tc>
        <w:tc>
          <w:tcPr>
            <w:tcW w:w="8900" w:type="dxa"/>
            <w:vAlign w:val="bottom"/>
            <w:gridSpan w:val="11"/>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Statement on Form S-4, as amended (File No. 333-254543), filed June 11, 2021.</w:t>
              </w:r>
            </w:hyperlink>
          </w:p>
        </w:tc>
        <w:tc>
          <w:tcPr>
            <w:tcW w:w="0" w:type="dxa"/>
            <w:vAlign w:val="bottom"/>
          </w:tcPr>
          <w:p>
            <w:pPr>
              <w:spacing w:after="0"/>
              <w:rPr>
                <w:sz w:val="1"/>
                <w:szCs w:val="1"/>
                <w:color w:val="auto"/>
              </w:rPr>
            </w:pPr>
          </w:p>
        </w:tc>
      </w:tr>
      <w:tr>
        <w:trPr>
          <w:trHeight w:val="20"/>
        </w:trPr>
        <w:tc>
          <w:tcPr>
            <w:tcW w:w="1020" w:type="dxa"/>
            <w:vAlign w:val="bottom"/>
            <w:gridSpan w:val="2"/>
            <w:vMerge w:val="continu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vMerge w:val="continue"/>
          </w:tcPr>
          <w:p>
            <w:pPr>
              <w:spacing w:after="0"/>
              <w:rPr>
                <w:sz w:val="17"/>
                <w:szCs w:val="17"/>
                <w:color w:val="auto"/>
              </w:rPr>
            </w:pPr>
          </w:p>
        </w:tc>
        <w:tc>
          <w:tcPr>
            <w:tcW w:w="79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Lucid Group, Inc. 2021 Performance Bonus Plan (incorporated by reference to Exhibit 10.25 to the Super 8-K</w:t>
              </w:r>
            </w:hyperlink>
          </w:p>
        </w:tc>
        <w:tc>
          <w:tcPr>
            <w:tcW w:w="9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jc w:val="center"/>
              <w:ind w:right="160"/>
              <w:spacing w:after="0" w:line="195" w:lineRule="exact"/>
              <w:rPr>
                <w:sz w:val="20"/>
                <w:szCs w:val="20"/>
                <w:color w:val="auto"/>
              </w:rPr>
            </w:pPr>
            <w:r>
              <w:rPr>
                <w:rFonts w:ascii="Arial" w:cs="Arial" w:eastAsia="Arial" w:hAnsi="Arial"/>
                <w:sz w:val="16"/>
                <w:szCs w:val="16"/>
                <w:color w:val="auto"/>
                <w:w w:val="95"/>
              </w:rPr>
              <w:t>10.4</w:t>
            </w:r>
            <w:r>
              <w:rPr>
                <w:rFonts w:ascii="Arial" w:cs="Arial" w:eastAsia="Arial" w:hAnsi="Arial"/>
                <w:sz w:val="22"/>
                <w:szCs w:val="22"/>
                <w:color w:val="auto"/>
                <w:w w:val="95"/>
                <w:vertAlign w:val="superscript"/>
              </w:rPr>
              <w:t>˄</w:t>
            </w:r>
          </w:p>
        </w:tc>
        <w:tc>
          <w:tcPr>
            <w:tcW w:w="8900" w:type="dxa"/>
            <w:vAlign w:val="bottom"/>
            <w:gridSpan w:val="11"/>
          </w:tcPr>
          <w:p>
            <w:pPr>
              <w:spacing w:after="0" w:line="196" w:lineRule="exact"/>
              <w:rPr>
                <w:rFonts w:ascii="Arial" w:cs="Arial" w:eastAsia="Arial" w:hAnsi="Arial"/>
                <w:sz w:val="18"/>
                <w:szCs w:val="18"/>
                <w:color w:val="0000EE"/>
                <w:w w:val="94"/>
              </w:rPr>
            </w:pPr>
            <w:hyperlink r:id="rId91">
              <w:r>
                <w:rPr>
                  <w:rFonts w:ascii="Arial" w:cs="Arial" w:eastAsia="Arial" w:hAnsi="Arial"/>
                  <w:sz w:val="18"/>
                  <w:szCs w:val="18"/>
                  <w:color w:val="0000EE"/>
                  <w:w w:val="94"/>
                </w:rPr>
                <w:t>Lucid Group Inc. 2021 Executive Severance Benefit Plan and Summary Plan Description (incorporated by reference to</w:t>
              </w:r>
            </w:hyperlink>
          </w:p>
        </w:tc>
        <w:tc>
          <w:tcPr>
            <w:tcW w:w="0" w:type="dxa"/>
            <w:vAlign w:val="bottom"/>
          </w:tcPr>
          <w:p>
            <w:pPr>
              <w:spacing w:after="0"/>
              <w:rPr>
                <w:sz w:val="1"/>
                <w:szCs w:val="1"/>
                <w:color w:val="auto"/>
              </w:rPr>
            </w:pPr>
          </w:p>
        </w:tc>
      </w:tr>
      <w:tr>
        <w:trPr>
          <w:trHeight w:val="196"/>
        </w:trPr>
        <w:tc>
          <w:tcPr>
            <w:tcW w:w="10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4"/>
              </w:rPr>
              <w:t>10.5</w:t>
            </w:r>
            <w:r>
              <w:rPr>
                <w:rFonts w:ascii="Arial" w:cs="Arial" w:eastAsia="Arial" w:hAnsi="Arial"/>
                <w:sz w:val="26"/>
                <w:szCs w:val="26"/>
                <w:color w:val="auto"/>
                <w:w w:val="84"/>
                <w:vertAlign w:val="superscript"/>
              </w:rPr>
              <w:t>˄</w:t>
            </w:r>
          </w:p>
        </w:tc>
        <w:tc>
          <w:tcPr>
            <w:tcW w:w="88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Exhibit 10.26 to the Super 8-K)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vMerge w:val="continu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vMerge w:val="continue"/>
          </w:tcPr>
          <w:p>
            <w:pPr>
              <w:spacing w:after="0"/>
              <w:rPr>
                <w:sz w:val="17"/>
                <w:szCs w:val="17"/>
                <w:color w:val="auto"/>
              </w:rPr>
            </w:pPr>
          </w:p>
        </w:tc>
        <w:tc>
          <w:tcPr>
            <w:tcW w:w="890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92">
              <w:r>
                <w:rPr>
                  <w:rFonts w:ascii="Arial" w:cs="Arial" w:eastAsia="Arial" w:hAnsi="Arial"/>
                  <w:sz w:val="18"/>
                  <w:szCs w:val="18"/>
                  <w:color w:val="0000EE"/>
                  <w:w w:val="94"/>
                </w:rPr>
                <w:t>Form of Participation Agreement under the Lucid Group, Inc. 2021 Executive Severance Benefit Plan (incorporated by</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reference to Exhibit 10.27 to the Super 8-K)</w:t>
              </w:r>
            </w:hyperlink>
          </w:p>
        </w:tc>
        <w:tc>
          <w:tcPr>
            <w:tcW w:w="57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5"/>
              </w:rPr>
              <w:t>31.1*</w:t>
            </w:r>
          </w:p>
        </w:tc>
        <w:tc>
          <w:tcPr>
            <w:tcW w:w="160" w:type="dxa"/>
            <w:vAlign w:val="bottom"/>
          </w:tcPr>
          <w:p>
            <w:pPr>
              <w:spacing w:after="0"/>
              <w:rPr>
                <w:sz w:val="17"/>
                <w:szCs w:val="17"/>
                <w:color w:val="auto"/>
              </w:rPr>
            </w:pPr>
          </w:p>
        </w:tc>
        <w:tc>
          <w:tcPr>
            <w:tcW w:w="8900" w:type="dxa"/>
            <w:vAlign w:val="bottom"/>
            <w:gridSpan w:val="11"/>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Certification of Principal Executive Officer Pursuant to Securities Exchange Act Rules 13a-14(a), as adopted Pursuant to</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Section 302 of the Sarbanes-Oxley Act of 2002</w:t>
              </w:r>
            </w:hyperlink>
          </w:p>
        </w:tc>
        <w:tc>
          <w:tcPr>
            <w:tcW w:w="54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5"/>
              </w:rPr>
              <w:t>31.2*</w:t>
            </w:r>
          </w:p>
        </w:tc>
        <w:tc>
          <w:tcPr>
            <w:tcW w:w="160" w:type="dxa"/>
            <w:vAlign w:val="bottom"/>
          </w:tcPr>
          <w:p>
            <w:pPr>
              <w:spacing w:after="0"/>
              <w:rPr>
                <w:sz w:val="17"/>
                <w:szCs w:val="17"/>
                <w:color w:val="auto"/>
              </w:rPr>
            </w:pPr>
          </w:p>
        </w:tc>
        <w:tc>
          <w:tcPr>
            <w:tcW w:w="89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Certification of Principal Financial Officer Pursuant to Securities Exchange Act Rules 13a-14(a), as adopted Pursuant to</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Section 302 of the Sarbanes-Oxley Act of 2002</w:t>
              </w:r>
            </w:hyperlink>
          </w:p>
        </w:tc>
        <w:tc>
          <w:tcPr>
            <w:tcW w:w="54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5"/>
              </w:rPr>
              <w:t>32.1*</w:t>
            </w:r>
          </w:p>
        </w:tc>
        <w:tc>
          <w:tcPr>
            <w:tcW w:w="160" w:type="dxa"/>
            <w:vAlign w:val="bottom"/>
          </w:tcPr>
          <w:p>
            <w:pPr>
              <w:spacing w:after="0"/>
              <w:rPr>
                <w:sz w:val="17"/>
                <w:szCs w:val="17"/>
                <w:color w:val="auto"/>
              </w:rPr>
            </w:pPr>
          </w:p>
        </w:tc>
        <w:tc>
          <w:tcPr>
            <w:tcW w:w="89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 of Principal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Sarbanes-Oxley Act of 2002</w:t>
              </w:r>
            </w:hyperlink>
          </w:p>
        </w:tc>
        <w:tc>
          <w:tcPr>
            <w:tcW w:w="68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rPr>
                <w:sz w:val="20"/>
                <w:szCs w:val="20"/>
                <w:color w:val="auto"/>
              </w:rPr>
            </w:pPr>
            <w:r>
              <w:rPr>
                <w:rFonts w:ascii="Arial" w:cs="Arial" w:eastAsia="Arial" w:hAnsi="Arial"/>
                <w:sz w:val="16"/>
                <w:szCs w:val="16"/>
                <w:color w:val="auto"/>
                <w:w w:val="96"/>
              </w:rPr>
              <w:t>32.2*</w:t>
            </w:r>
          </w:p>
        </w:tc>
        <w:tc>
          <w:tcPr>
            <w:tcW w:w="160" w:type="dxa"/>
            <w:vAlign w:val="bottom"/>
          </w:tcPr>
          <w:p>
            <w:pPr>
              <w:spacing w:after="0"/>
              <w:rPr>
                <w:sz w:val="17"/>
                <w:szCs w:val="17"/>
                <w:color w:val="auto"/>
              </w:rPr>
            </w:pPr>
          </w:p>
        </w:tc>
        <w:tc>
          <w:tcPr>
            <w:tcW w:w="8900" w:type="dxa"/>
            <w:vAlign w:val="bottom"/>
            <w:gridSpan w:val="11"/>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Certification of Principal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Sarbanes-Oxley Act of 2002</w:t>
              </w:r>
            </w:hyperlink>
          </w:p>
        </w:tc>
        <w:tc>
          <w:tcPr>
            <w:tcW w:w="682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60" w:type="dxa"/>
            <w:vAlign w:val="bottom"/>
          </w:tcPr>
          <w:p>
            <w:pPr>
              <w:jc w:val="center"/>
              <w:spacing w:after="0"/>
              <w:rPr>
                <w:sz w:val="20"/>
                <w:szCs w:val="20"/>
                <w:color w:val="auto"/>
              </w:rPr>
            </w:pPr>
            <w:r>
              <w:rPr>
                <w:rFonts w:ascii="Arial" w:cs="Arial" w:eastAsia="Arial" w:hAnsi="Arial"/>
                <w:sz w:val="16"/>
                <w:szCs w:val="16"/>
                <w:color w:val="auto"/>
                <w:w w:val="97"/>
              </w:rPr>
              <w:t>101*</w:t>
            </w:r>
          </w:p>
        </w:tc>
        <w:tc>
          <w:tcPr>
            <w:tcW w:w="160" w:type="dxa"/>
            <w:vAlign w:val="bottom"/>
          </w:tcPr>
          <w:p>
            <w:pPr>
              <w:spacing w:after="0"/>
              <w:rPr>
                <w:sz w:val="19"/>
                <w:szCs w:val="19"/>
                <w:color w:val="auto"/>
              </w:rPr>
            </w:pPr>
          </w:p>
        </w:tc>
        <w:tc>
          <w:tcPr>
            <w:tcW w:w="8900" w:type="dxa"/>
            <w:vAlign w:val="bottom"/>
            <w:gridSpan w:val="11"/>
          </w:tcPr>
          <w:p>
            <w:pPr>
              <w:spacing w:after="0"/>
              <w:rPr>
                <w:sz w:val="20"/>
                <w:szCs w:val="20"/>
                <w:color w:val="auto"/>
              </w:rPr>
            </w:pPr>
            <w:r>
              <w:rPr>
                <w:rFonts w:ascii="Arial" w:cs="Arial" w:eastAsia="Arial" w:hAnsi="Arial"/>
                <w:sz w:val="18"/>
                <w:szCs w:val="18"/>
                <w:color w:val="auto"/>
                <w:w w:val="96"/>
              </w:rPr>
              <w:t>The following financial information from the Company’s Quarterly Report on Form 10-Q for the three and six months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900" w:type="dxa"/>
            <w:vAlign w:val="bottom"/>
            <w:gridSpan w:val="11"/>
          </w:tcPr>
          <w:p>
            <w:pPr>
              <w:spacing w:after="0"/>
              <w:rPr>
                <w:sz w:val="20"/>
                <w:szCs w:val="20"/>
                <w:color w:val="auto"/>
              </w:rPr>
            </w:pPr>
            <w:r>
              <w:rPr>
                <w:rFonts w:ascii="Arial" w:cs="Arial" w:eastAsia="Arial" w:hAnsi="Arial"/>
                <w:sz w:val="18"/>
                <w:szCs w:val="18"/>
                <w:color w:val="auto"/>
                <w:w w:val="91"/>
              </w:rPr>
              <w:t>ended June 30, 2021, formatted in Inline Extensible Business Reporting Language (“iXBRL”): (i) Condensed Consolidated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900" w:type="dxa"/>
            <w:vAlign w:val="bottom"/>
            <w:gridSpan w:val="11"/>
          </w:tcPr>
          <w:p>
            <w:pPr>
              <w:spacing w:after="0"/>
              <w:rPr>
                <w:sz w:val="20"/>
                <w:szCs w:val="20"/>
                <w:color w:val="auto"/>
              </w:rPr>
            </w:pPr>
            <w:r>
              <w:rPr>
                <w:rFonts w:ascii="Arial" w:cs="Arial" w:eastAsia="Arial" w:hAnsi="Arial"/>
                <w:sz w:val="18"/>
                <w:szCs w:val="18"/>
                <w:color w:val="auto"/>
                <w:w w:val="89"/>
              </w:rPr>
              <w:t>Balance Sheets as of June 30, 2021 and December 31, 2020, (ii) Condensed Consolidated Statements of Operations for the</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900" w:type="dxa"/>
            <w:vAlign w:val="bottom"/>
            <w:gridSpan w:val="11"/>
          </w:tcPr>
          <w:p>
            <w:pPr>
              <w:spacing w:after="0"/>
              <w:rPr>
                <w:sz w:val="20"/>
                <w:szCs w:val="20"/>
                <w:color w:val="auto"/>
              </w:rPr>
            </w:pPr>
            <w:r>
              <w:rPr>
                <w:rFonts w:ascii="Arial" w:cs="Arial" w:eastAsia="Arial" w:hAnsi="Arial"/>
                <w:sz w:val="18"/>
                <w:szCs w:val="18"/>
                <w:color w:val="auto"/>
                <w:w w:val="93"/>
              </w:rPr>
              <w:t>three and six months ended June 30, 2021 and for the period from April 30, 2020 (inception) through June 30, 2020, (iii)</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900" w:type="dxa"/>
            <w:vAlign w:val="bottom"/>
            <w:gridSpan w:val="11"/>
          </w:tcPr>
          <w:p>
            <w:pPr>
              <w:spacing w:after="0"/>
              <w:rPr>
                <w:sz w:val="20"/>
                <w:szCs w:val="20"/>
                <w:color w:val="auto"/>
              </w:rPr>
            </w:pPr>
            <w:r>
              <w:rPr>
                <w:rFonts w:ascii="Arial" w:cs="Arial" w:eastAsia="Arial" w:hAnsi="Arial"/>
                <w:sz w:val="18"/>
                <w:szCs w:val="18"/>
                <w:color w:val="auto"/>
                <w:w w:val="90"/>
              </w:rPr>
              <w:t>Condensed Consolidated Statements of Changes in Stockholders’ Equity for the three and six months ended June 30, 2021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900" w:type="dxa"/>
            <w:vAlign w:val="bottom"/>
            <w:gridSpan w:val="11"/>
          </w:tcPr>
          <w:p>
            <w:pPr>
              <w:spacing w:after="0"/>
              <w:rPr>
                <w:sz w:val="20"/>
                <w:szCs w:val="20"/>
                <w:color w:val="auto"/>
              </w:rPr>
            </w:pPr>
            <w:r>
              <w:rPr>
                <w:rFonts w:ascii="Arial" w:cs="Arial" w:eastAsia="Arial" w:hAnsi="Arial"/>
                <w:sz w:val="18"/>
                <w:szCs w:val="18"/>
                <w:color w:val="auto"/>
                <w:w w:val="90"/>
              </w:rPr>
              <w:t>and for the period from April 30, 2020 (inception) through June 30, 2020, (iv) Condensed Consolidated Statements of Cash</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900" w:type="dxa"/>
            <w:vAlign w:val="bottom"/>
            <w:gridSpan w:val="11"/>
          </w:tcPr>
          <w:p>
            <w:pPr>
              <w:spacing w:after="0"/>
              <w:rPr>
                <w:sz w:val="20"/>
                <w:szCs w:val="20"/>
                <w:color w:val="auto"/>
              </w:rPr>
            </w:pPr>
            <w:r>
              <w:rPr>
                <w:rFonts w:ascii="Arial" w:cs="Arial" w:eastAsia="Arial" w:hAnsi="Arial"/>
                <w:sz w:val="18"/>
                <w:szCs w:val="18"/>
                <w:color w:val="auto"/>
                <w:w w:val="93"/>
              </w:rPr>
              <w:t>Flows for the six months ended June 30, 2021 and for the period from April 30, 2020 (inception) through June 30, 2020,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900" w:type="dxa"/>
            <w:vAlign w:val="bottom"/>
            <w:gridSpan w:val="11"/>
          </w:tcPr>
          <w:p>
            <w:pPr>
              <w:spacing w:after="0"/>
              <w:rPr>
                <w:sz w:val="20"/>
                <w:szCs w:val="20"/>
                <w:color w:val="auto"/>
              </w:rPr>
            </w:pPr>
            <w:r>
              <w:rPr>
                <w:rFonts w:ascii="Arial" w:cs="Arial" w:eastAsia="Arial" w:hAnsi="Arial"/>
                <w:sz w:val="18"/>
                <w:szCs w:val="18"/>
                <w:color w:val="auto"/>
              </w:rPr>
              <w:t>and (v) Notes to Condensed Consolidated Financial Statements.</w:t>
            </w:r>
          </w:p>
        </w:tc>
        <w:tc>
          <w:tcPr>
            <w:tcW w:w="0" w:type="dxa"/>
            <w:vAlign w:val="bottom"/>
          </w:tcPr>
          <w:p>
            <w:pPr>
              <w:spacing w:after="0"/>
              <w:rPr>
                <w:sz w:val="1"/>
                <w:szCs w:val="1"/>
                <w:color w:val="auto"/>
              </w:rPr>
            </w:pPr>
          </w:p>
        </w:tc>
      </w:tr>
      <w:tr>
        <w:trPr>
          <w:trHeight w:val="230"/>
        </w:trPr>
        <w:tc>
          <w:tcPr>
            <w:tcW w:w="86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160" w:type="dxa"/>
            <w:vAlign w:val="bottom"/>
          </w:tcPr>
          <w:p>
            <w:pPr>
              <w:spacing w:after="0"/>
              <w:rPr>
                <w:sz w:val="20"/>
                <w:szCs w:val="20"/>
                <w:color w:val="auto"/>
              </w:rPr>
            </w:pPr>
          </w:p>
        </w:tc>
        <w:tc>
          <w:tcPr>
            <w:tcW w:w="8900" w:type="dxa"/>
            <w:vAlign w:val="bottom"/>
            <w:gridSpan w:val="11"/>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95" w:lineRule="exact"/>
        <w:rPr>
          <w:sz w:val="20"/>
          <w:szCs w:val="20"/>
          <w:color w:val="auto"/>
        </w:rPr>
      </w:pPr>
    </w:p>
    <w:p>
      <w:pPr>
        <w:ind w:left="420" w:hanging="315"/>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ind w:left="420" w:hanging="315"/>
        <w:spacing w:after="0" w:line="185" w:lineRule="auto"/>
        <w:tabs>
          <w:tab w:leader="none" w:pos="42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49"/>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6640" w:type="dxa"/>
            <w:vAlign w:val="bottom"/>
            <w:gridSpan w:val="2"/>
          </w:tcPr>
          <w:p>
            <w:pPr>
              <w:ind w:left="1640"/>
              <w:spacing w:after="0"/>
              <w:rPr>
                <w:sz w:val="20"/>
                <w:szCs w:val="20"/>
                <w:color w:val="auto"/>
              </w:rPr>
            </w:pPr>
            <w:r>
              <w:rPr>
                <w:rFonts w:ascii="Arial" w:cs="Arial" w:eastAsia="Arial" w:hAnsi="Arial"/>
                <w:sz w:val="18"/>
                <w:szCs w:val="18"/>
                <w:b w:val="1"/>
                <w:bCs w:val="1"/>
                <w:color w:val="auto"/>
              </w:rPr>
              <w:t>LUCID GROUP, INC.</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Date: August 16, 2021</w:t>
            </w:r>
          </w:p>
        </w:tc>
        <w:tc>
          <w:tcPr>
            <w:tcW w:w="2200" w:type="dxa"/>
            <w:vAlign w:val="bottom"/>
          </w:tcPr>
          <w:p>
            <w:pPr>
              <w:ind w:left="16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Rawlinson</w:t>
            </w:r>
          </w:p>
        </w:tc>
      </w:tr>
      <w:tr>
        <w:trPr>
          <w:trHeight w:val="195"/>
        </w:trPr>
        <w:tc>
          <w:tcPr>
            <w:tcW w:w="3280" w:type="dxa"/>
            <w:vAlign w:val="bottom"/>
          </w:tcPr>
          <w:p>
            <w:pPr>
              <w:spacing w:after="0"/>
              <w:rPr>
                <w:sz w:val="16"/>
                <w:szCs w:val="16"/>
                <w:color w:val="auto"/>
              </w:rPr>
            </w:pPr>
          </w:p>
        </w:tc>
        <w:tc>
          <w:tcPr>
            <w:tcW w:w="2200" w:type="dxa"/>
            <w:vAlign w:val="bottom"/>
          </w:tcPr>
          <w:p>
            <w:pPr>
              <w:ind w:left="1640"/>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Peter Rawlinson</w:t>
            </w:r>
          </w:p>
        </w:tc>
      </w:tr>
      <w:tr>
        <w:trPr>
          <w:trHeight w:val="216"/>
        </w:trPr>
        <w:tc>
          <w:tcPr>
            <w:tcW w:w="3280" w:type="dxa"/>
            <w:vAlign w:val="bottom"/>
          </w:tcPr>
          <w:p>
            <w:pPr>
              <w:spacing w:after="0"/>
              <w:rPr>
                <w:sz w:val="18"/>
                <w:szCs w:val="18"/>
                <w:color w:val="auto"/>
              </w:rPr>
            </w:pPr>
          </w:p>
        </w:tc>
        <w:tc>
          <w:tcPr>
            <w:tcW w:w="2200" w:type="dxa"/>
            <w:vAlign w:val="bottom"/>
          </w:tcPr>
          <w:p>
            <w:pPr>
              <w:ind w:left="164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Date: August 16, 2021</w:t>
            </w:r>
          </w:p>
        </w:tc>
        <w:tc>
          <w:tcPr>
            <w:tcW w:w="2200" w:type="dxa"/>
            <w:vAlign w:val="bottom"/>
          </w:tcPr>
          <w:p>
            <w:pPr>
              <w:ind w:left="16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Sherry House</w:t>
            </w:r>
          </w:p>
        </w:tc>
      </w:tr>
      <w:tr>
        <w:trPr>
          <w:trHeight w:val="195"/>
        </w:trPr>
        <w:tc>
          <w:tcPr>
            <w:tcW w:w="3280" w:type="dxa"/>
            <w:vAlign w:val="bottom"/>
          </w:tcPr>
          <w:p>
            <w:pPr>
              <w:spacing w:after="0"/>
              <w:rPr>
                <w:sz w:val="16"/>
                <w:szCs w:val="16"/>
                <w:color w:val="auto"/>
              </w:rPr>
            </w:pPr>
          </w:p>
        </w:tc>
        <w:tc>
          <w:tcPr>
            <w:tcW w:w="2200" w:type="dxa"/>
            <w:vAlign w:val="bottom"/>
          </w:tcPr>
          <w:p>
            <w:pPr>
              <w:ind w:left="1640"/>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Sherry House</w:t>
            </w:r>
          </w:p>
        </w:tc>
      </w:tr>
      <w:tr>
        <w:trPr>
          <w:trHeight w:val="216"/>
        </w:trPr>
        <w:tc>
          <w:tcPr>
            <w:tcW w:w="3280" w:type="dxa"/>
            <w:vAlign w:val="bottom"/>
          </w:tcPr>
          <w:p>
            <w:pPr>
              <w:spacing w:after="0"/>
              <w:rPr>
                <w:sz w:val="18"/>
                <w:szCs w:val="18"/>
                <w:color w:val="auto"/>
              </w:rPr>
            </w:pPr>
          </w:p>
        </w:tc>
        <w:tc>
          <w:tcPr>
            <w:tcW w:w="2200" w:type="dxa"/>
            <w:vAlign w:val="bottom"/>
          </w:tcPr>
          <w:p>
            <w:pPr>
              <w:ind w:left="164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8"/>
              </w:rPr>
              <w:t>(Principal Executive Officer, Principal Accounting Officer</w:t>
            </w:r>
          </w:p>
        </w:tc>
      </w:tr>
      <w:tr>
        <w:trPr>
          <w:trHeight w:val="230"/>
        </w:trPr>
        <w:tc>
          <w:tcPr>
            <w:tcW w:w="3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and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Peter Rawlinson,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Lucid Group,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Peter Rawlinson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Sherry House,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Lucid Group, Inc.;</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16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660" w:right="28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00" w:hanging="328"/>
        <w:spacing w:after="0" w:line="311"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Lucid Group, Inc. (the “Company”) on Form 10-Q for the quarterly period ended June 30, 2021, as filed with the Securities and Exchange Commission (the “Report”), I, Peter Rawlinson, Chief Executive Officer of the Company, certify, pursuant to 18 U.S.C. §1350, as adopted pursuant to §906 of the Sarbanes-Oxley Act of 2002, that, to the best of my knowledge:</w:t>
      </w:r>
    </w:p>
    <w:p>
      <w:pPr>
        <w:spacing w:after="0" w:line="18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2021</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Peter Rawlinson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Lucid Group, Inc. (the “Company”) on Form 10-Q for the quarterly period ended June 30, 2021, as filed with the Securities and Exchange Commission (the “Report”), I, Sherry House, Chief Financial Officer of the Company, certify, pursuant to 18 U.S.C. §1350, as adopted pursuant to §906 of the Sarbanes-Oxley Act of 2002, that, to the best of my knowledge:</w:t>
      </w:r>
    </w:p>
    <w:p>
      <w:pPr>
        <w:spacing w:after="0" w:line="14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2021</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Accounting Officer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6"/>
    </w:lvl>
  </w:abstractNum>
  <w:abstractNum w:abstractNumId="3">
    <w:nsid w:val="62BBD95A"/>
    <w:multiLevelType w:val="hybridMultilevel"/>
    <w:lvl w:ilvl="0">
      <w:lvlJc w:val="left"/>
      <w:lvlText w:val="(%1)"/>
      <w:numFmt w:val="upperLetter"/>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86" Type="http://schemas.openxmlformats.org/officeDocument/2006/relationships/hyperlink" Target="https://www.sec.gov/Archives/edgar/data/1811210/000110465921095842/tm2120294d5_ex3-1.htm" TargetMode="External"/><Relationship Id="rId87" Type="http://schemas.openxmlformats.org/officeDocument/2006/relationships/hyperlink" Target="https://www.sec.gov/Archives/edgar/data/1811210/000110465921095842/tm2120294d5_ex3-2.htm" TargetMode="External"/><Relationship Id="rId88" Type="http://schemas.openxmlformats.org/officeDocument/2006/relationships/hyperlink" Target="https://www.sec.gov/Archives/edgar/data/1811210/000110465921067006/tm219359d5_ex10-22.htm" TargetMode="External"/><Relationship Id="rId89" Type="http://schemas.openxmlformats.org/officeDocument/2006/relationships/hyperlink" Target="https://www.sec.gov/Archives/edgar/data/1811210/000110465921067006/tm219359d5_ex10-25.htm" TargetMode="External"/><Relationship Id="rId90" Type="http://schemas.openxmlformats.org/officeDocument/2006/relationships/hyperlink" Target="https://www.sec.gov/Archives/edgar/data/1811210/000110465921095842/tm2120294d5_ex10-25.htm" TargetMode="External"/><Relationship Id="rId91" Type="http://schemas.openxmlformats.org/officeDocument/2006/relationships/hyperlink" Target="https://www.sec.gov/Archives/edgar/data/1811210/000110465921095842/tm2120294d5_ex10-26.htm" TargetMode="External"/><Relationship Id="rId92" Type="http://schemas.openxmlformats.org/officeDocument/2006/relationships/hyperlink" Target="https://www.sec.gov/Archives/edgar/data/1811210/000110465921095842/tm2120294d5_ex10-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2021-08-16T16:22:28Z</dcterms:created>
  <dcterms:modified xsi:type="dcterms:W3CDTF">2021-08-16T16:22:28Z</dcterms:modified>
</cp:coreProperties>
</file>