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3, 2022</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78"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3740" w:type="dxa"/>
            <w:vAlign w:val="bottom"/>
          </w:tcPr>
          <w:p>
            <w:pPr>
              <w:jc w:val="center"/>
              <w:ind w:right="71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56"/>
        </w:trPr>
        <w:tc>
          <w:tcPr>
            <w:tcW w:w="3740" w:type="dxa"/>
            <w:vAlign w:val="bottom"/>
          </w:tcPr>
          <w:p>
            <w:pPr>
              <w:jc w:val="center"/>
              <w:ind w:right="750"/>
              <w:spacing w:after="0"/>
              <w:rPr>
                <w:sz w:val="20"/>
                <w:szCs w:val="20"/>
                <w:color w:val="auto"/>
              </w:rPr>
            </w:pPr>
            <w:r>
              <w:rPr>
                <w:rFonts w:ascii="Arial" w:cs="Arial" w:eastAsia="Arial" w:hAnsi="Arial"/>
                <w:sz w:val="18"/>
                <w:szCs w:val="18"/>
                <w:color w:val="auto"/>
                <w:w w:val="93"/>
              </w:rPr>
              <w:t>(State or other jurisdiction of</w:t>
            </w:r>
          </w:p>
        </w:tc>
        <w:tc>
          <w:tcPr>
            <w:tcW w:w="300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w:t>
            </w: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3"/>
              </w:rPr>
              <w:t>incorporation or organization)</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3540" w:type="dxa"/>
            <w:vAlign w:val="bottom"/>
          </w:tcPr>
          <w:p>
            <w:pPr>
              <w:spacing w:after="0"/>
              <w:rPr>
                <w:sz w:val="20"/>
                <w:szCs w:val="20"/>
                <w:color w:val="auto"/>
              </w:rPr>
            </w:pPr>
          </w:p>
        </w:tc>
      </w:tr>
      <w:tr>
        <w:trPr>
          <w:trHeight w:val="414"/>
        </w:trPr>
        <w:tc>
          <w:tcPr>
            <w:tcW w:w="374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3740" w:type="dxa"/>
            <w:vAlign w:val="bottom"/>
          </w:tcPr>
          <w:p>
            <w:pPr>
              <w:jc w:val="center"/>
              <w:ind w:right="690"/>
              <w:spacing w:after="0"/>
              <w:rPr>
                <w:sz w:val="20"/>
                <w:szCs w:val="20"/>
                <w:color w:val="auto"/>
              </w:rPr>
            </w:pPr>
            <w:r>
              <w:rPr>
                <w:rFonts w:ascii="Arial" w:cs="Arial" w:eastAsia="Arial" w:hAnsi="Arial"/>
                <w:sz w:val="18"/>
                <w:szCs w:val="18"/>
                <w:b w:val="1"/>
                <w:bCs w:val="1"/>
                <w:color w:val="auto"/>
                <w:w w:val="95"/>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Arial" w:cs="Arial" w:eastAsia="Arial" w:hAnsi="Arial"/>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143" w:lineRule="exact"/>
        <w:rPr>
          <w:sz w:val="24"/>
          <w:szCs w:val="24"/>
          <w:color w:val="auto"/>
        </w:rPr>
      </w:pPr>
    </w:p>
    <w:p>
      <w:pPr>
        <w:ind w:right="6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Class A Common Stock, $0.0001 par value per share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rPr>
              <w:t>LCID</w:t>
            </w:r>
          </w:p>
        </w:tc>
        <w:tc>
          <w:tcPr>
            <w:tcW w:w="41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42"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171"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2.02 - Results of Operations and Financial Condition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3, 2022, Lucid Group, Inc. (“Lucid”) issued a press release announcing its results for the second quarter ended June 30, 2022. A copy of the press release is attached as Exhibit 99.1 to this current report on Form 8-K and is incorporated by reference herein.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Lucid uses its </w:t>
      </w:r>
      <w:r>
        <w:rPr>
          <w:rFonts w:ascii="Arial" w:cs="Arial" w:eastAsia="Arial" w:hAnsi="Arial"/>
          <w:sz w:val="18"/>
          <w:szCs w:val="18"/>
          <w:u w:val="single" w:color="auto"/>
          <w:color w:val="auto"/>
        </w:rPr>
        <w:t>ir.lucidmotors.com</w:t>
      </w:r>
      <w:r>
        <w:rPr>
          <w:rFonts w:ascii="Arial" w:cs="Arial" w:eastAsia="Arial" w:hAnsi="Arial"/>
          <w:sz w:val="18"/>
          <w:szCs w:val="18"/>
          <w:color w:val="auto"/>
        </w:rPr>
        <w:t xml:space="preserve"> website as a means of disclosing material non-public information and for complying with its disclosure obligations under Regulation FD.</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(d) Exhibits</w:t>
            </w:r>
          </w:p>
        </w:tc>
        <w:tc>
          <w:tcPr>
            <w:tcW w:w="308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441"/>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3080" w:type="dxa"/>
            <w:vAlign w:val="bottom"/>
          </w:tcPr>
          <w:p>
            <w:pPr>
              <w:spacing w:after="0"/>
              <w:rPr>
                <w:sz w:val="24"/>
                <w:szCs w:val="24"/>
                <w:color w:val="auto"/>
              </w:rPr>
            </w:pPr>
          </w:p>
        </w:tc>
        <w:tc>
          <w:tcPr>
            <w:tcW w:w="6920" w:type="dxa"/>
            <w:vAlign w:val="bottom"/>
          </w:tcPr>
          <w:p>
            <w:pPr>
              <w:spacing w:after="0"/>
              <w:rPr>
                <w:sz w:val="24"/>
                <w:szCs w:val="24"/>
                <w:color w:val="auto"/>
              </w:rPr>
            </w:pPr>
          </w:p>
        </w:tc>
      </w:tr>
      <w:tr>
        <w:trPr>
          <w:trHeight w:val="234"/>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Number</w:t>
            </w: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3080" w:type="dxa"/>
            <w:vAlign w:val="bottom"/>
            <w:tcBorders>
              <w:bottom w:val="single" w:sz="8" w:color="0000FF"/>
            </w:tcBorders>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Lucid Press Release Dated August 3, 2022</w:t>
              </w:r>
            </w:hyperlink>
          </w:p>
        </w:tc>
        <w:tc>
          <w:tcPr>
            <w:tcW w:w="6920" w:type="dxa"/>
            <w:vAlign w:val="bottom"/>
          </w:tcPr>
          <w:p>
            <w:pPr>
              <w:spacing w:after="0"/>
              <w:rPr>
                <w:sz w:val="19"/>
                <w:szCs w:val="19"/>
                <w:color w:val="auto"/>
              </w:rPr>
            </w:pPr>
          </w:p>
        </w:tc>
      </w:tr>
      <w:tr>
        <w:trPr>
          <w:trHeight w:val="291"/>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00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33"/>
        </w:trPr>
        <w:tc>
          <w:tcPr>
            <w:tcW w:w="12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3, 2022</w:t>
      </w:r>
    </w:p>
    <w:p>
      <w:pPr>
        <w:spacing w:after="0" w:line="32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Lucid Group, Inc.</w:t>
      </w:r>
    </w:p>
    <w:p>
      <w:pPr>
        <w:spacing w:after="0" w:line="320" w:lineRule="exact"/>
        <w:rPr>
          <w:sz w:val="20"/>
          <w:szCs w:val="20"/>
          <w:color w:val="auto"/>
        </w:rPr>
      </w:pPr>
    </w:p>
    <w:p>
      <w:pPr>
        <w:ind w:left="540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Sherry House</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3" w:name="page4"/>
    <w:bookmarkEnd w:id="3"/>
    <w:p>
      <w:pPr>
        <w:ind w:left="10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3"/>
          <w:szCs w:val="23"/>
          <w:b w:val="1"/>
          <w:bCs w:val="1"/>
          <w:color w:val="auto"/>
        </w:rPr>
        <w:t>Lucid Announces Second Quarter 2022 Financial Results,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Reports Strong Demand While Lowering Production Guidance for the Year</w:t>
      </w:r>
    </w:p>
    <w:p>
      <w:pPr>
        <w:spacing w:after="0" w:line="232"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Q2 revenue of $97.3M driven by customer deliveries of 679 vehicles in the quarter</w:t>
      </w:r>
    </w:p>
    <w:p>
      <w:pPr>
        <w:spacing w:after="0" w:line="8"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Strong demand with over 37,000 reservations, representing potential sales of approximately $3.5B</w:t>
      </w: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Production volume outlook for 2022 revised to a range of 6,000 to 7,000 vehicles</w:t>
      </w:r>
    </w:p>
    <w:p>
      <w:pPr>
        <w:spacing w:after="0" w:line="21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 xml:space="preserve">NEWARK, CA — August 3, 2022 — </w:t>
      </w:r>
      <w:r>
        <w:rPr>
          <w:rFonts w:ascii="Arial" w:cs="Arial" w:eastAsia="Arial" w:hAnsi="Arial"/>
          <w:sz w:val="18"/>
          <w:szCs w:val="18"/>
          <w:u w:val="single" w:color="auto"/>
          <w:color w:val="auto"/>
        </w:rPr>
        <w:t>Lucid Group, Inc.</w:t>
      </w:r>
      <w:r>
        <w:rPr>
          <w:rFonts w:ascii="Arial" w:cs="Arial" w:eastAsia="Arial" w:hAnsi="Arial"/>
          <w:sz w:val="18"/>
          <w:szCs w:val="18"/>
          <w:color w:val="auto"/>
        </w:rPr>
        <w:t xml:space="preserve"> (NASDAQ: LCID), setting new standards with the longest-range, fastest-charging electric car on the market, today announced financial results for its second quarter ended June 30, 2022. Lucid reported Q2 revenue of $97.3 million on deliveries of 679 vehicles. The Company reported strong customer demand for Lucid Air with reservations over 37,000 as of today, representing potential sales of approximately $3.5 billion. Lucid revised its 2022 production volume outlook to a range of 6,000 to 7,000 vehicles. Lucid ended the quarter with $4.6 billion cash, cash equivalents, and investments, which is expected to fund the Company well into 2023. In addition, Lucid reported first half production of 1,405 vehicles.</w:t>
      </w:r>
    </w:p>
    <w:p>
      <w:pPr>
        <w:spacing w:after="0" w:line="194" w:lineRule="exact"/>
        <w:rPr>
          <w:sz w:val="20"/>
          <w:szCs w:val="20"/>
          <w:color w:val="auto"/>
        </w:rPr>
      </w:pPr>
    </w:p>
    <w:p>
      <w:pPr>
        <w:ind w:right="200"/>
        <w:spacing w:after="0" w:line="232" w:lineRule="auto"/>
        <w:rPr>
          <w:sz w:val="20"/>
          <w:szCs w:val="20"/>
          <w:color w:val="auto"/>
        </w:rPr>
      </w:pPr>
      <w:r>
        <w:rPr>
          <w:rFonts w:ascii="Arial" w:cs="Arial" w:eastAsia="Arial" w:hAnsi="Arial"/>
          <w:sz w:val="20"/>
          <w:szCs w:val="20"/>
          <w:color w:val="auto"/>
        </w:rPr>
        <w:t>“Our revised production guidance reflects the extraordinary supply chain and logistics challenges we encountered,” said Peter Rawlinson, Lucid’s CEO and CTO. “We’ve identified the primary bottlenecks, and we are taking appropriate measures – bringing our logistics operations in-house, adding key hires to the executive team, and restructuring our logistics and manufacturing organization. We continue to see strong demand for our vehicles, with over 37,000 customer reservations, and I remain confident that we shall overcome these near-term challenges.”</w:t>
      </w:r>
    </w:p>
    <w:p>
      <w:pPr>
        <w:spacing w:after="0" w:line="211"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“Our Q2 revenue was $97.3 million, primarily driven by higher customer deliveries of Lucid Air vehicles. We continue to have a strong balance sheet, closing the quarter with $4.6 billion cash, cash equivalents and investments, which we believe is sufficient to fund the Company well into 2023,” said Sherry House, Lucid’s CFO. “Despite our immediate challenges, we believe that bringing our logistics center on-site at our Arizona factory will help reduce complexity, cut down lead times, and reduce various costs.”</w:t>
      </w:r>
    </w:p>
    <w:p>
      <w:pPr>
        <w:spacing w:after="0" w:line="204"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Lucid will host a conference call for analysts and investors at 2:30 P.M. PT / 5:30 P.M. ET on August 3, 2022.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Lucid Group</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Lucid’s mission is to inspire the adoption of sustainable energy by creating advanced technologies and the most captivating luxury electric vehicles centered around the human experience. The Company’s first car, Lucid Air, is a state-of-the-art luxury sedan with a California-inspired design that features luxurious full-size interior space in a mid-size exterior footprint. Underpinned by race-proven battery technology and proprietary powertrains developed entirely in-house, Lucid Air was named the 2022 MotorTrend Car of the Year®. The Lucid Air Grand Touring features an official EPA estimated 516 miles of range or 1,050 horsepower. Deliveries of Lucid Air, which is produced at Lucid’s factory in Casa Grande, Arizona, are currently underway to U.S. customers.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investor@lucidmotors.com</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media@lucidmotors.com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1B1B1B"/>
        </w:rPr>
        <w:t>Trademarks</w:t>
      </w:r>
    </w:p>
    <w:p>
      <w:pPr>
        <w:spacing w:after="0" w:line="222"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This communication contains trademarks, service marks, trade names and copyrights of Lucid Group, Inc. and its subsidiaries and other companies, which are the property of their respective owners.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319"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Forward Looking Statements</w:t>
      </w:r>
    </w:p>
    <w:p>
      <w:pPr>
        <w:spacing w:after="0" w:line="2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outlook, amount of reservations and related potential sales, future capital expenditures and other operating expenses, expectations and timing related to commercial product launches, including the Project Gravity SUV and the various Air models, production and delivery volumes, the range and performance of Lucid’s vehicles, Lucid’s estimate of the length of time its existing cash, cash equivalents and investments will be sufficient to fund planned operations, the timing of deliveries, future manufacturing capabilities and facilities, studio and service center openings, ability to mitigate supply chain and logistics risks, benefits of relocating Lucid’s logistics operations center, ability to vertically integrate production processes, future sales channels and strategies, future market launches and international expansion, including Lucid’s launch plans for the European market and planned manufacturing facility in Saudi Arabia, Lucid Financial Services, the potential success of Lucid’s go-to-market strategy and future vehicle programs,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market, financial, political and legal conditions, including the ongoing conflict between Russia and Ukraine; risks related to prices and availability of commodities, Lucid’s supply chain, logistics, inventory management and quality control, and Lucid’s ability to complete the tooling of its manufacturing facilities over time and scale production of the Lucid Air and other vehicles; risks related to the uncertainty of Lucid’s projected financial information; risks related to the timing of expected business milestones and commercial product launches, including Lucid’s ability to mass produce the Lucid Air and complete the tooling of its manufacturing facility; risks related to the expansion of Lucid’s manufacturing facility, the construction of new manufacturing facilities and the increase of Lucid’s production capacity; Lucid’s ability to manage expenses;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enter into or maintain partnerships with original equipment manufacturers, vendors and technology providers; Lucid’s ability to effectively manage its growth and recruit and retain key employees, including its chief executive officer and executive team; risks related to potential vehicle recalls; Lucid’s ability to establish and expand its brand and capture additional market share, and the risks associated with negative press or reputational harm; Lucid’s ability to effectively utilize zero emission vehicle credits and obtain and utilize certain tax and other incentives; Lucid’s ability to issue equity or equity-linked securities in the future; Lucid’s ability to pay interest and principal on its indebtedness; future changes to vehicle specifications which may impact performance, pricing and other expectations; the outcome of any potential litigation, government and regulatory proceedings, investigations and inquiries; and the impact of the global COVID-19 pandemic on Lucid’s supply chain, including COVID-related shutdowns of Lucid’s suppliers’ facilities in China, projected results of operations, financial performance or other financial metrics, or on any of the foregoing risks; and those factors discussed under the heading “Risk Factors” in Part II, Item 1A of Lucid’s Quarterly Report on Form 10-Q for the quarter ended June 30, 2022,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18"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Non-GAAP Financial Measures and Key Business Metrics:</w:t>
      </w:r>
    </w:p>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Condensed consolidated financial information has been presented in accordance with US GAAP (“GAAP”) as well as on a non-GAAP basis to supplement our condensed consolidated financial results. Lucid’s non-GAAP financial measures include Adjusted EBITDA and Free Cash Flow which are discussed below.</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Adjusted EBITDA is defined as net loss before (1) interest expense, (2) interest income, (3) provision for income taxes, (4) depreciation and amortization, (5) change in fair value of forward contracts, (6) change in fair value of convertible preferred stock warrant liability, (7) change in fair value of common stock warrant liability and (8) stock-based compensation. Adjusted EBITDA is a performance measure that Lucid believes provides useful information to Lucid’s management and investors about Lucid’s profitability. Free Cash Flow is defined as net cash used in operating activities reduced by capital expenditures. Free Cash Flow is a performance measure that Lucid believes provides useful information to Lucid’s management and investors about the amount of cash generated by the business after necessary capital expenditures.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our industry, may calculate non-GAAP financial measures and key performance measures differently or may use other measures to evaluate their performance, all of which could reduce the usefulness of our non-GAAP financial measures and key performance measures as tools for comparison. A reconciliation between GAAP and non-GAAP financial information is presented below.</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LUCID GROUP, INC.</w:t>
      </w:r>
    </w:p>
    <w:p>
      <w:pPr>
        <w:jc w:val="center"/>
        <w:spacing w:after="0" w:line="204" w:lineRule="auto"/>
        <w:rPr>
          <w:sz w:val="20"/>
          <w:szCs w:val="20"/>
          <w:color w:val="auto"/>
        </w:rPr>
      </w:pPr>
      <w:r>
        <w:rPr>
          <w:rFonts w:ascii="Arial" w:cs="Arial" w:eastAsia="Arial" w:hAnsi="Arial"/>
          <w:sz w:val="18"/>
          <w:szCs w:val="18"/>
          <w:b w:val="1"/>
          <w:bCs w:val="1"/>
          <w:color w:val="auto"/>
        </w:rPr>
        <w:t>CONDENSED CONSOLIDATED BALANCE SHEETS</w:t>
      </w:r>
      <w:r>
        <w:rPr>
          <w:rFonts w:ascii="Arial" w:cs="Arial" w:eastAsia="Arial" w:hAnsi="Arial"/>
          <w:sz w:val="25"/>
          <w:szCs w:val="25"/>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7"/>
        </w:trPr>
        <w:tc>
          <w:tcPr>
            <w:tcW w:w="8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3,157,449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6,262,905</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1,136,633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553,045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127,250</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70,346</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43,328</w:t>
            </w:r>
          </w:p>
        </w:tc>
      </w:tr>
      <w:tr>
        <w:trPr>
          <w:trHeight w:val="27"/>
        </w:trPr>
        <w:tc>
          <w:tcPr>
            <w:tcW w:w="8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5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4,966,489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6,506,977</w:t>
            </w:r>
          </w:p>
        </w:tc>
      </w:tr>
      <w:tr>
        <w:trPr>
          <w:trHeight w:val="237"/>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1,615,435</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1,182,153</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161,974</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278,055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71,233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r>
      <w:tr>
        <w:trPr>
          <w:trHeight w:val="263"/>
        </w:trPr>
        <w:tc>
          <w:tcPr>
            <w:tcW w:w="85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7,129,419</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7,881,713</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129,070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41,342</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32,364</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4,183</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464,819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318,212</w:t>
            </w:r>
          </w:p>
        </w:tc>
      </w:tr>
      <w:tr>
        <w:trPr>
          <w:trHeight w:val="237"/>
        </w:trPr>
        <w:tc>
          <w:tcPr>
            <w:tcW w:w="854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654,096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396,101</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liabilities,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Common stock warrant liability</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536,635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1,394,808</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1,989,200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1,986,791</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233,725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188,575</w:t>
            </w:r>
          </w:p>
        </w:tc>
      </w:tr>
      <w:tr>
        <w:trPr>
          <w:trHeight w:val="27"/>
        </w:trPr>
        <w:tc>
          <w:tcPr>
            <w:tcW w:w="8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3,419,033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3,972,358</w:t>
            </w:r>
          </w:p>
        </w:tc>
      </w:tr>
      <w:tr>
        <w:trPr>
          <w:trHeight w:val="256"/>
        </w:trPr>
        <w:tc>
          <w:tcPr>
            <w:tcW w:w="8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Preferred stock, par value $0.0001; 10,000,000 shares authorized as of June 30, 2022 and</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540" w:type="dxa"/>
            <w:vAlign w:val="bottom"/>
            <w:gridSpan w:val="2"/>
          </w:tcPr>
          <w:p>
            <w:pPr>
              <w:ind w:left="340"/>
              <w:spacing w:after="0"/>
              <w:rPr>
                <w:sz w:val="20"/>
                <w:szCs w:val="20"/>
                <w:color w:val="auto"/>
              </w:rPr>
            </w:pPr>
            <w:r>
              <w:rPr>
                <w:rFonts w:ascii="Arial" w:cs="Arial" w:eastAsia="Arial" w:hAnsi="Arial"/>
                <w:sz w:val="18"/>
                <w:szCs w:val="18"/>
                <w:color w:val="auto"/>
              </w:rPr>
              <w:t>December 31, 2021; no shares issued and outstanding as of June 30, 2022 and December 31, 2021</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Common stock, par value $0.0001; 15,000,000,000 shares authorized as of June 30, 2022 and December 31, 2021;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1,673,401,436 and 1,648,413,415 shares issued and 1,672,543,611 and 1,647,555,590 shares outstanding as of</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8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June 30, 2022 and December 31, 2021,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10,099,209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9,995,778</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857,825 shares at June 30, 2022 and December 31, 2021</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(20,716)</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(6,367,583)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(6,065,872)</w:t>
            </w:r>
          </w:p>
        </w:tc>
      </w:tr>
      <w:tr>
        <w:trPr>
          <w:trHeight w:val="23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3,710,386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3,909,355</w:t>
            </w:r>
          </w:p>
        </w:tc>
      </w:tr>
      <w:tr>
        <w:trPr>
          <w:trHeight w:val="27"/>
        </w:trPr>
        <w:tc>
          <w:tcPr>
            <w:tcW w:w="8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7,129,419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7,881,713</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83" w:right="339" w:bottom="1440"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83"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LUCID GROUP, INC.</w:t>
      </w:r>
    </w:p>
    <w:p>
      <w:pPr>
        <w:jc w:val="center"/>
        <w:ind w:right="-19"/>
        <w:spacing w:after="0" w:line="209" w:lineRule="auto"/>
        <w:rPr>
          <w:sz w:val="20"/>
          <w:szCs w:val="20"/>
          <w:color w:val="auto"/>
        </w:rPr>
      </w:pPr>
      <w:r>
        <w:rPr>
          <w:rFonts w:ascii="Arial" w:cs="Arial" w:eastAsia="Arial" w:hAnsi="Arial"/>
          <w:sz w:val="20"/>
          <w:szCs w:val="20"/>
          <w:b w:val="1"/>
          <w:bCs w:val="1"/>
          <w:color w:val="auto"/>
        </w:rPr>
        <w:t>CONDENSED CONSOLIDATED STATEMENTS OF OPERATIONS AND COMPREHENSIVE LOSS</w:t>
      </w:r>
      <w:r>
        <w:rPr>
          <w:rFonts w:ascii="Arial" w:cs="Arial" w:eastAsia="Arial" w:hAnsi="Arial"/>
          <w:sz w:val="25"/>
          <w:szCs w:val="25"/>
          <w:b w:val="1"/>
          <w:bCs w:val="1"/>
          <w:color w:val="auto"/>
          <w:vertAlign w:val="superscript"/>
        </w:rPr>
        <w:t>1</w:t>
      </w:r>
    </w:p>
    <w:p>
      <w:pPr>
        <w:jc w:val="center"/>
        <w:ind w:right="-19"/>
        <w:spacing w:after="0"/>
        <w:rPr>
          <w:sz w:val="20"/>
          <w:szCs w:val="20"/>
          <w:color w:val="auto"/>
        </w:rPr>
      </w:pPr>
      <w:r>
        <w:rPr>
          <w:rFonts w:ascii="Arial" w:cs="Arial" w:eastAsia="Arial" w:hAnsi="Arial"/>
          <w:sz w:val="20"/>
          <w:szCs w:val="20"/>
          <w:b w:val="1"/>
          <w:bCs w:val="1"/>
          <w:color w:val="auto"/>
        </w:rPr>
        <w:t>Unaudited</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5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155,011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292,342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538,312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200,381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386,457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344,171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386,971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203,924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cost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656,535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249,093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1,311,740</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(559,199)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(1,156,729)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(547,712)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Change in fair value of forward contracts</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Change in fair value of convertible preferred stock warrant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Change in fair value of common stock warrant liability</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334,843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858,173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12,144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338,842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855,409</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(461,957)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Loss before provision for income taxes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(220,357)</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(261,721)</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(301,320)</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(1,009,669)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7"/>
                <w:szCs w:val="17"/>
                <w:b w:val="1"/>
                <w:bCs w:val="1"/>
                <w:color w:val="auto"/>
              </w:rPr>
              <w:t>Net loss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(220,425)</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(301,711)</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(1,009,678)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4"/>
              </w:rPr>
              <w:t>Deemed dividend related to the issuance of Series E convertible preferred stock</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(2,167,332)</w:t>
            </w:r>
          </w:p>
        </w:tc>
        <w:tc>
          <w:tcPr>
            <w:tcW w:w="0" w:type="dxa"/>
            <w:vAlign w:val="bottom"/>
          </w:tcPr>
          <w:p>
            <w:pPr>
              <w:spacing w:after="0"/>
              <w:rPr>
                <w:sz w:val="1"/>
                <w:szCs w:val="1"/>
                <w:color w:val="auto"/>
              </w:rPr>
            </w:pPr>
          </w:p>
        </w:tc>
      </w:tr>
      <w:tr>
        <w:trPr>
          <w:trHeight w:val="261"/>
        </w:trPr>
        <w:tc>
          <w:tcPr>
            <w:tcW w:w="5860" w:type="dxa"/>
            <w:vAlign w:val="bottom"/>
            <w:gridSpan w:val="2"/>
          </w:tcPr>
          <w:p>
            <w:pPr>
              <w:spacing w:after="0"/>
              <w:rPr>
                <w:sz w:val="20"/>
                <w:szCs w:val="20"/>
                <w:color w:val="auto"/>
              </w:rPr>
            </w:pPr>
            <w:r>
              <w:rPr>
                <w:rFonts w:ascii="Arial" w:cs="Arial" w:eastAsia="Arial" w:hAnsi="Arial"/>
                <w:sz w:val="17"/>
                <w:szCs w:val="17"/>
                <w:b w:val="1"/>
                <w:bCs w:val="1"/>
                <w:color w:val="auto"/>
              </w:rPr>
              <w:t>Net loss attributable to common stockholders, basic</w:t>
            </w:r>
          </w:p>
        </w:tc>
        <w:tc>
          <w:tcPr>
            <w:tcW w:w="1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(220,425)</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(301,711)</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(3,177,010)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Change in fair value of dilutive warrants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(334,843)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(858,173)</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7"/>
                <w:szCs w:val="17"/>
                <w:b w:val="1"/>
                <w:bCs w:val="1"/>
                <w:color w:val="auto"/>
              </w:rPr>
              <w:t>Net loss attributable to common stockholders,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(555,268)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(1,159,884)</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(3,177,010)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Weighted average shares outstanding used in computing net loss per share</w:t>
            </w:r>
          </w:p>
        </w:tc>
        <w:tc>
          <w:tcPr>
            <w:tcW w:w="1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w w:val="88"/>
              </w:rPr>
              <w:t>1,669,303,813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0"/>
              </w:rPr>
              <w:t>36,298,508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w w:val="88"/>
              </w:rPr>
              <w:t>1,661,960,471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5"/>
              </w:rPr>
              <w:t>34,484,767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attributable to common stockholders, basic</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used in computing net loss per share</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1,686,815,404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36,298,508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1,684,328,007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34,484,767</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attributable to common stockholders, diluted</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Net loss per share attributable to common stockholders, basic</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attributable to common stockholders,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loss</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Net unrealized losses on investments, net of tax</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(1,009,678)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w w:val="94"/>
              </w:rPr>
              <w:t>Deemed dividend related to the issuance of Series E convertible preferred stock</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(2,167,332)</w:t>
            </w:r>
          </w:p>
        </w:tc>
        <w:tc>
          <w:tcPr>
            <w:tcW w:w="0" w:type="dxa"/>
            <w:vAlign w:val="bottom"/>
          </w:tcPr>
          <w:p>
            <w:pPr>
              <w:spacing w:after="0"/>
              <w:rPr>
                <w:sz w:val="1"/>
                <w:szCs w:val="1"/>
                <w:color w:val="auto"/>
              </w:rPr>
            </w:pPr>
          </w:p>
        </w:tc>
      </w:tr>
      <w:tr>
        <w:trPr>
          <w:trHeight w:val="27"/>
        </w:trPr>
        <w:tc>
          <w:tcPr>
            <w:tcW w:w="5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 attributable to common stockholders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(221,116)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(302,402)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(3,177,010)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80"/>
          </w:cols>
          <w:pgMar w:left="340" w:top="778"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LUCID GROUP, INC.</w:t>
      </w:r>
    </w:p>
    <w:p>
      <w:pPr>
        <w:jc w:val="center"/>
        <w:spacing w:after="0" w:line="222" w:lineRule="auto"/>
        <w:rPr>
          <w:sz w:val="20"/>
          <w:szCs w:val="20"/>
          <w:color w:val="auto"/>
        </w:rPr>
      </w:pPr>
      <w:r>
        <w:rPr>
          <w:rFonts w:ascii="Arial" w:cs="Arial" w:eastAsia="Arial" w:hAnsi="Arial"/>
          <w:sz w:val="18"/>
          <w:szCs w:val="18"/>
          <w:b w:val="1"/>
          <w:bCs w:val="1"/>
          <w:color w:val="auto"/>
        </w:rPr>
        <w:t>CONDENSED CONSOLIDATED STATEMENTS OF CASH FLOWS</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n thousands</w:t>
      </w:r>
      <w:r>
        <w:rPr>
          <w:rFonts w:ascii="Arial" w:cs="Arial" w:eastAsia="Arial" w:hAnsi="Arial"/>
          <w:sz w:val="18"/>
          <w:szCs w:val="18"/>
          <w:color w:val="auto"/>
        </w:rPr>
        <w: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24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7"/>
        </w:trPr>
        <w:tc>
          <w:tcPr>
            <w:tcW w:w="5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(220,425)</w:t>
            </w:r>
          </w:p>
        </w:tc>
        <w:tc>
          <w:tcPr>
            <w:tcW w:w="80" w:type="dxa"/>
            <w:vAlign w:val="bottom"/>
          </w:tcPr>
          <w:p>
            <w:pPr>
              <w:spacing w:after="0"/>
              <w:rPr>
                <w:sz w:val="21"/>
                <w:szCs w:val="21"/>
                <w:color w:val="auto"/>
              </w:rPr>
            </w:pPr>
          </w:p>
        </w:tc>
        <w:tc>
          <w:tcPr>
            <w:tcW w:w="42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(301,711)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(1,009,678)</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42,448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80,690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11,738</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insurance premium</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Non-cash operating lease cost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4,848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8,952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13,502</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94,392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268,943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129,244</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Amortization of debt discounts and issuance costs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write-downs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81,691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178,057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contingent forward contract liability</w:t>
            </w:r>
          </w:p>
        </w:tc>
        <w:tc>
          <w:tcPr>
            <w:tcW w:w="1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12,382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454,546</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preferred stock warrant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common stock warrant liability</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(334,843)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(858,173)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non-cash items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(300,830)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(603,852)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(27,181)</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(22,183)</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17,426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(32,199)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43,883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49,596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(11,871)</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(6,944)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(7,742)</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51,484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3,889</w:t>
            </w:r>
          </w:p>
        </w:tc>
      </w:tr>
      <w:tr>
        <w:trPr>
          <w:trHeight w:val="27"/>
        </w:trPr>
        <w:tc>
          <w:tcPr>
            <w:tcW w:w="5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(513,628)</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(235,078)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(1,008,277)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(453,804)</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(309,818)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(111,754)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(494,900)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(206,533)</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Proceed from sale of property, plant and equipment</w:t>
            </w:r>
          </w:p>
        </w:tc>
        <w:tc>
          <w:tcPr>
            <w:tcW w:w="1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(1,419,223)</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(1,419,223)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980" w:type="dxa"/>
            <w:vAlign w:val="bottom"/>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(1,729,041)</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(111,735)</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(1,914,123)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(206,514)</w:t>
            </w:r>
          </w:p>
        </w:tc>
      </w:tr>
      <w:tr>
        <w:trPr>
          <w:trHeight w:val="27"/>
        </w:trPr>
        <w:tc>
          <w:tcPr>
            <w:tcW w:w="5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Payment for short-term insurance financing note</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(15,330)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(2,747)</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for finance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Proceeds from short-term insurance financing note</w:t>
            </w:r>
          </w:p>
        </w:tc>
        <w:tc>
          <w:tcPr>
            <w:tcW w:w="1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10,950</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Repurchase of Series B convertible preferred stock</w:t>
            </w:r>
          </w:p>
        </w:tc>
        <w:tc>
          <w:tcPr>
            <w:tcW w:w="1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Series D convertible preferred stock</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Proceeds from issuance of Series E convertible preferred stock</w:t>
            </w:r>
          </w:p>
        </w:tc>
        <w:tc>
          <w:tcPr>
            <w:tcW w:w="1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92,920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12,882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12,882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repurchases from employees for tax withholdings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Payment for credit facility issuance costs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(6,631)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101,007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(183,209)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612,105</w:t>
            </w: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(2,238,577)</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(245,806)</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(3,105,609)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(48,213)</w:t>
            </w: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cash, cash equivalents, and restricted cash</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5,430,988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838,011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6,298,020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640,418</w:t>
            </w:r>
          </w:p>
        </w:tc>
      </w:tr>
      <w:tr>
        <w:trPr>
          <w:trHeight w:val="263"/>
        </w:trPr>
        <w:tc>
          <w:tcPr>
            <w:tcW w:w="5980" w:type="dxa"/>
            <w:vAlign w:val="bottom"/>
          </w:tcPr>
          <w:p>
            <w:pPr>
              <w:ind w:left="20"/>
              <w:spacing w:after="0"/>
              <w:rPr>
                <w:sz w:val="20"/>
                <w:szCs w:val="20"/>
                <w:color w:val="auto"/>
              </w:rPr>
            </w:pPr>
            <w:r>
              <w:rPr>
                <w:rFonts w:ascii="Arial" w:cs="Arial" w:eastAsia="Arial" w:hAnsi="Arial"/>
                <w:sz w:val="18"/>
                <w:szCs w:val="18"/>
                <w:color w:val="auto"/>
              </w:rPr>
              <w:t>Ending cash, cash equivalents, and restricted cash</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3,192,411</w:t>
            </w:r>
          </w:p>
        </w:tc>
        <w:tc>
          <w:tcPr>
            <w:tcW w:w="8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592,205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3,192,411</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592,205</w:t>
            </w:r>
          </w:p>
        </w:tc>
      </w:tr>
      <w:tr>
        <w:trPr>
          <w:trHeight w:val="21"/>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83" w:right="339" w:bottom="752"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83" w:right="339" w:bottom="752"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LUCID GROUP, INC.</w:t>
      </w:r>
    </w:p>
    <w:p>
      <w:pPr>
        <w:jc w:val="center"/>
        <w:spacing w:after="0" w:line="209" w:lineRule="auto"/>
        <w:rPr>
          <w:sz w:val="20"/>
          <w:szCs w:val="20"/>
          <w:color w:val="auto"/>
        </w:rPr>
      </w:pPr>
      <w:r>
        <w:rPr>
          <w:rFonts w:ascii="Arial" w:cs="Arial" w:eastAsia="Arial" w:hAnsi="Arial"/>
          <w:sz w:val="20"/>
          <w:szCs w:val="20"/>
          <w:b w:val="1"/>
          <w:bCs w:val="1"/>
          <w:color w:val="auto"/>
        </w:rPr>
        <w:t>Reconciliation of GAAP to Non-GAAP Financials Measures</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8"/>
          </w:tcPr>
          <w:p>
            <w:pPr>
              <w:ind w:left="8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loss (GAAP)</w:t>
            </w: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(220,425)</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(261,726)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(301,711)</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(1,009,678)</w:t>
            </w:r>
          </w:p>
        </w:tc>
        <w:tc>
          <w:tcPr>
            <w:tcW w:w="0" w:type="dxa"/>
            <w:vAlign w:val="bottom"/>
          </w:tcPr>
          <w:p>
            <w:pPr>
              <w:spacing w:after="0"/>
              <w:rPr>
                <w:sz w:val="1"/>
                <w:szCs w:val="1"/>
                <w:color w:val="auto"/>
              </w:rPr>
            </w:pPr>
          </w:p>
        </w:tc>
      </w:tr>
      <w:tr>
        <w:trPr>
          <w:trHeight w:val="243"/>
        </w:trPr>
        <w:tc>
          <w:tcPr>
            <w:tcW w:w="646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7,189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3"/>
          </w:tcPr>
          <w:p>
            <w:pPr>
              <w:ind w:left="20"/>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42,448</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80,690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0" w:type="dxa"/>
            <w:vAlign w:val="bottom"/>
          </w:tcPr>
          <w:p>
            <w:pPr>
              <w:spacing w:after="0"/>
              <w:rPr>
                <w:sz w:val="1"/>
                <w:szCs w:val="1"/>
                <w:color w:val="auto"/>
              </w:rPr>
            </w:pPr>
          </w:p>
        </w:tc>
      </w:tr>
      <w:tr>
        <w:trPr>
          <w:trHeight w:val="243"/>
        </w:trPr>
        <w:tc>
          <w:tcPr>
            <w:tcW w:w="646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forward contracts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12,382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454,546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43"/>
        </w:trPr>
        <w:tc>
          <w:tcPr>
            <w:tcW w:w="646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common stock warrant liability</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(334,843)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(858,173)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94,392</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24,449</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268,943</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129,244</w:t>
            </w:r>
          </w:p>
        </w:tc>
        <w:tc>
          <w:tcPr>
            <w:tcW w:w="0" w:type="dxa"/>
            <w:vAlign w:val="bottom"/>
          </w:tcPr>
          <w:p>
            <w:pPr>
              <w:spacing w:after="0"/>
              <w:rPr>
                <w:sz w:val="1"/>
                <w:szCs w:val="1"/>
                <w:color w:val="auto"/>
              </w:rPr>
            </w:pPr>
          </w:p>
        </w:tc>
      </w:tr>
      <w:tr>
        <w:trPr>
          <w:trHeight w:val="263"/>
        </w:trPr>
        <w:tc>
          <w:tcPr>
            <w:tcW w:w="646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(414,082)</w:t>
            </w:r>
          </w:p>
        </w:tc>
        <w:tc>
          <w:tcPr>
            <w:tcW w:w="6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(218,041)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(797,863)</w:t>
            </w: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(407,130)</w:t>
            </w:r>
          </w:p>
        </w:tc>
        <w:tc>
          <w:tcPr>
            <w:tcW w:w="0" w:type="dxa"/>
            <w:vAlign w:val="bottom"/>
          </w:tcPr>
          <w:p>
            <w:pPr>
              <w:spacing w:after="0"/>
              <w:rPr>
                <w:sz w:val="1"/>
                <w:szCs w:val="1"/>
                <w:color w:val="auto"/>
              </w:rPr>
            </w:pPr>
          </w:p>
        </w:tc>
      </w:tr>
      <w:tr>
        <w:trPr>
          <w:trHeight w:val="21"/>
        </w:trPr>
        <w:tc>
          <w:tcPr>
            <w:tcW w:w="6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Free Cash Flow</w:t>
            </w: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4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8"/>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 (GAAP)</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(513,628)</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(235,078)</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(1,008,277)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(453,804)</w:t>
            </w:r>
          </w:p>
        </w:tc>
        <w:tc>
          <w:tcPr>
            <w:tcW w:w="0" w:type="dxa"/>
            <w:vAlign w:val="bottom"/>
          </w:tcPr>
          <w:p>
            <w:pPr>
              <w:spacing w:after="0"/>
              <w:rPr>
                <w:sz w:val="1"/>
                <w:szCs w:val="1"/>
                <w:color w:val="auto"/>
              </w:rPr>
            </w:pPr>
          </w:p>
        </w:tc>
      </w:tr>
      <w:tr>
        <w:trPr>
          <w:trHeight w:val="243"/>
        </w:trPr>
        <w:tc>
          <w:tcPr>
            <w:tcW w:w="646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(309,818)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(111,754)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(494,900)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(206,533)</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4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 (non-GAAP)</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(823,446)</w:t>
            </w:r>
          </w:p>
        </w:tc>
        <w:tc>
          <w:tcPr>
            <w:tcW w:w="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(346,832)</w:t>
            </w:r>
          </w:p>
        </w:tc>
        <w:tc>
          <w:tcPr>
            <w:tcW w:w="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(1,503,177)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(660,337)</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31" w:lineRule="exact"/>
        <w:rPr>
          <w:sz w:val="20"/>
          <w:szCs w:val="20"/>
          <w:color w:val="auto"/>
        </w:rPr>
      </w:pPr>
    </w:p>
    <w:p>
      <w:pPr>
        <w:jc w:val="both"/>
        <w:ind w:firstLine="8"/>
        <w:spacing w:after="0" w:line="257" w:lineRule="auto"/>
        <w:tabs>
          <w:tab w:leader="none" w:pos="103"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The business combination (the “Merger”) between Lucid Group Inc.’s predecessor, Atieva, Inc. (“Legacy Lucid”), and Churchill Capital Corp IV (“CCIV”), which closed on July 23, 2021, is accounted for as a reverse recapitalization under U.S. GAAP. Under this method of accounting, CCIV has been treated as the acquired company for financial reporting purposes. Accordingly, for accounting purposes, the financial statements of Lucid represent a continuation of the financial statements of Legacy Lucid with the Merger being treated as the equivalent of Legacy Lucid issuing shares for the net assets of CCIV, accompanied by a recapitalization. The net assets of CCIV were recognized as of the closing of the Merger at historical cost, with no goodwill or other intangible assets recorded. Operations prior to the Merger are presented as those of Legacy Lucid and the accumulated deficit of Legacy Lucid has been carried forward after the closing of the Merger. All periods prior to the Merger have been retrospectively adjusted using the applicable exchange ratio for the equivalent number of shares outstanding immediately after the closing of the Merger to effect the reverse recapitalization. See our Form 10-Q for the three and six months ended June 30, 2022 for additional information.</w:t>
      </w:r>
    </w:p>
    <w:p>
      <w:pPr>
        <w:sectPr>
          <w:pgSz w:w="11900" w:h="16838" w:orient="portrait"/>
          <w:cols w:equalWidth="0" w:num="1">
            <w:col w:w="11240"/>
          </w:cols>
          <w:pgMar w:left="320" w:top="778"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sectPr>
      <w:pgSz w:w="11900" w:h="16838" w:orient="portrait"/>
      <w:cols w:equalWidth="0" w:num="1">
        <w:col w:w="11240"/>
      </w:cols>
      <w:pgMar w:left="320" w:top="77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2022-08-03T15:28:37Z</dcterms:created>
  <dcterms:modified xsi:type="dcterms:W3CDTF">2022-08-03T15:28:37Z</dcterms:modified>
</cp:coreProperties>
</file>