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Under the Securities Exchange Act of 1934</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Churchill Capital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Class A 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171439102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020" w:hanging="80"/>
        <w:spacing w:after="0" w:line="299"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o Rule 13d-1(c) o Rule 13d-1(d)</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1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40"/>
          </w:cols>
          <w:pgMar w:left="320" w:top="460" w:right="4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Glazer Capital, LLC</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48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2"/>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State of Delaware</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5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584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12,313,947</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12,313,947</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12,313,947</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5.9%</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OO</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89"/>
              </w:rPr>
              <w:t>Paul J. Glazer</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3"/>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57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3"/>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93"/>
              </w:rPr>
              <w:t>United States</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12,313,947</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12,313,947</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12,313,947</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gridSpan w:val="2"/>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5.9%</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3" w:name="page4"/>
    <w:bookmarkEnd w:id="3"/>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Churchill Capital Corp IV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The Company's principal executive offices are located at 640 Fifth Avenue, 12th Floor, New York, NY 10019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2(a).</w:t>
            </w:r>
          </w:p>
        </w:tc>
        <w:tc>
          <w:tcPr>
            <w:tcW w:w="9980" w:type="dxa"/>
            <w:vAlign w:val="bottom"/>
            <w:gridSpan w:val="9"/>
          </w:tcPr>
          <w:p>
            <w:pPr>
              <w:ind w:left="3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Arial" w:cs="Arial" w:eastAsia="Arial" w:hAnsi="Arial"/>
                <w:sz w:val="20"/>
                <w:szCs w:val="20"/>
                <w:color w:val="auto"/>
              </w:rPr>
              <w:t>(i)</w:t>
            </w: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8"/>
              </w:rPr>
              <w:t>Glazer Capital, LLC, a Delaware limited liability company ("Glazer Capital"), with respect to the shares of</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3"/>
              </w:rPr>
              <w:t>Common Stock (as defined in Item 2(d)) held by certain funds and managed accounts to which Glazer Capital</w:t>
            </w:r>
          </w:p>
        </w:tc>
      </w:tr>
      <w:tr>
        <w:trPr>
          <w:trHeight w:val="206"/>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60" w:type="dxa"/>
            <w:vAlign w:val="bottom"/>
            <w:gridSpan w:val="8"/>
          </w:tcPr>
          <w:p>
            <w:pPr>
              <w:ind w:left="80"/>
              <w:spacing w:after="0" w:line="206" w:lineRule="exact"/>
              <w:rPr>
                <w:sz w:val="20"/>
                <w:szCs w:val="20"/>
                <w:color w:val="auto"/>
              </w:rPr>
            </w:pPr>
            <w:r>
              <w:rPr>
                <w:rFonts w:ascii="Arial" w:cs="Arial" w:eastAsia="Arial" w:hAnsi="Arial"/>
                <w:sz w:val="20"/>
                <w:szCs w:val="20"/>
                <w:color w:val="auto"/>
              </w:rPr>
              <w:t>serves as investment manager (collectively, the "Glazer Funds"); and</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Arial" w:cs="Arial" w:eastAsia="Arial" w:hAnsi="Arial"/>
                <w:sz w:val="20"/>
                <w:szCs w:val="20"/>
                <w:color w:val="auto"/>
              </w:rPr>
              <w:t>(ii)</w:t>
            </w: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4"/>
              </w:rPr>
              <w:t>Mr. Paul J. Glazer ("Mr. Glazer"), who serves as the Managing Member of Glazer Capital, with respect to the</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160" w:type="dxa"/>
            <w:vAlign w:val="bottom"/>
            <w:gridSpan w:val="8"/>
          </w:tcPr>
          <w:p>
            <w:pPr>
              <w:ind w:left="80"/>
              <w:spacing w:after="0"/>
              <w:rPr>
                <w:sz w:val="20"/>
                <w:szCs w:val="20"/>
                <w:color w:val="auto"/>
              </w:rPr>
            </w:pPr>
            <w:r>
              <w:rPr>
                <w:rFonts w:ascii="Arial" w:cs="Arial" w:eastAsia="Arial" w:hAnsi="Arial"/>
                <w:sz w:val="20"/>
                <w:szCs w:val="20"/>
                <w:color w:val="auto"/>
              </w:rPr>
              <w:t>shares of Common Stock held by the Glazer Funds.</w:t>
            </w:r>
          </w:p>
        </w:tc>
      </w:tr>
      <w:tr>
        <w:trPr>
          <w:trHeight w:val="414"/>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w w:val="89"/>
              </w:rPr>
              <w:t>The filing of this statement should not be construed as an admission that any of the Reporting Persons is, for the purposes</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of Section 13 of the Act, the beneficial owner of the shares of Common Stock reported herein.</w:t>
            </w:r>
          </w:p>
        </w:tc>
      </w:tr>
      <w:tr>
        <w:trPr>
          <w:trHeight w:val="459"/>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980" w:type="dxa"/>
            <w:vAlign w:val="bottom"/>
            <w:gridSpan w:val="9"/>
          </w:tcPr>
          <w:p>
            <w:pPr>
              <w:ind w:left="5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w w:val="92"/>
              </w:rPr>
              <w:t>The address of the business office of each of the Reporting Persons is 250 West 55</w:t>
            </w:r>
            <w:r>
              <w:rPr>
                <w:rFonts w:ascii="Arial" w:cs="Arial" w:eastAsia="Arial" w:hAnsi="Arial"/>
                <w:sz w:val="32"/>
                <w:szCs w:val="32"/>
                <w:color w:val="auto"/>
                <w:w w:val="92"/>
                <w:vertAlign w:val="superscript"/>
              </w:rPr>
              <w:t>th</w:t>
            </w:r>
            <w:r>
              <w:rPr>
                <w:rFonts w:ascii="Arial" w:cs="Arial" w:eastAsia="Arial" w:hAnsi="Arial"/>
                <w:sz w:val="20"/>
                <w:szCs w:val="20"/>
                <w:color w:val="auto"/>
                <w:w w:val="92"/>
              </w:rPr>
              <w:t xml:space="preserve"> Street, Suite 30A, New York,</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rPr>
              <w:t>New York 10019.</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Glazer Capital is a Delaware limited liability company. Mr. Glazer is a United Stated citizen.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Class A common stock, $0.0001 par value</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459"/>
        </w:trPr>
        <w:tc>
          <w:tcPr>
            <w:tcW w:w="1260" w:type="dxa"/>
            <w:vAlign w:val="bottom"/>
          </w:tcPr>
          <w:p>
            <w:pPr>
              <w:spacing w:after="0"/>
              <w:rPr>
                <w:sz w:val="24"/>
                <w:szCs w:val="24"/>
                <w:color w:val="auto"/>
              </w:rPr>
            </w:pPr>
          </w:p>
        </w:tc>
        <w:tc>
          <w:tcPr>
            <w:tcW w:w="2520" w:type="dxa"/>
            <w:vAlign w:val="bottom"/>
            <w:gridSpan w:val="2"/>
          </w:tcPr>
          <w:p>
            <w:pPr>
              <w:ind w:left="440"/>
              <w:spacing w:after="0"/>
              <w:rPr>
                <w:sz w:val="20"/>
                <w:szCs w:val="20"/>
                <w:color w:val="auto"/>
              </w:rPr>
            </w:pPr>
            <w:r>
              <w:rPr>
                <w:rFonts w:ascii="Arial" w:cs="Arial" w:eastAsia="Arial" w:hAnsi="Arial"/>
                <w:sz w:val="20"/>
                <w:szCs w:val="20"/>
                <w:color w:val="auto"/>
              </w:rPr>
              <w:t>171439102</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w w:val="98"/>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20"/>
                <w:szCs w:val="20"/>
                <w:color w:val="auto"/>
              </w:rPr>
              <w:t>(a)</w:t>
            </w:r>
          </w:p>
        </w:tc>
        <w:tc>
          <w:tcPr>
            <w:tcW w:w="9160" w:type="dxa"/>
            <w:vAlign w:val="bottom"/>
            <w:gridSpan w:val="8"/>
          </w:tcPr>
          <w:p>
            <w:pPr>
              <w:ind w:left="5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tc>
      </w:tr>
    </w:tbl>
    <w:p>
      <w:pPr>
        <w:sectPr>
          <w:pgSz w:w="11900" w:h="16838" w:orient="portrait"/>
          <w:cols w:equalWidth="0" w:num="1">
            <w:col w:w="11240"/>
          </w:cols>
          <w:pgMar w:left="320" w:top="927" w:right="339" w:bottom="1440" w:gutter="0" w:footer="0" w:header="0"/>
        </w:sectPr>
      </w:pPr>
    </w:p>
    <w:bookmarkStart w:id="4" w:name="page5"/>
    <w:bookmarkEnd w:id="4"/>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180" w:hanging="1347"/>
        <w:spacing w:after="0" w:line="250" w:lineRule="exact"/>
        <w:tabs>
          <w:tab w:leader="none" w:pos="2518"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18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40" w:right="3220" w:hanging="1347"/>
        <w:spacing w:after="0" w:line="250"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ind w:left="3040" w:right="600" w:hanging="1347"/>
        <w:spacing w:after="0" w:line="23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 (12 U.S.C. 1813);</w:t>
      </w:r>
    </w:p>
    <w:p>
      <w:pPr>
        <w:spacing w:after="0" w:line="184" w:lineRule="exact"/>
        <w:rPr>
          <w:rFonts w:ascii="Arial" w:cs="Arial" w:eastAsia="Arial" w:hAnsi="Arial"/>
          <w:sz w:val="20"/>
          <w:szCs w:val="20"/>
          <w:color w:val="auto"/>
        </w:rPr>
      </w:pPr>
    </w:p>
    <w:p>
      <w:pPr>
        <w:ind w:left="3040" w:right="300" w:hanging="1347"/>
        <w:spacing w:after="0" w:line="25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7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18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600" w:right="1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90" w:lineRule="exact"/>
        <w:rPr>
          <w:sz w:val="20"/>
          <w:szCs w:val="20"/>
          <w:color w:val="auto"/>
        </w:rPr>
      </w:pPr>
    </w:p>
    <w:p>
      <w:pPr>
        <w:ind w:left="1600" w:right="140"/>
        <w:spacing w:after="0" w:line="287" w:lineRule="auto"/>
        <w:rPr>
          <w:sz w:val="20"/>
          <w:szCs w:val="20"/>
          <w:color w:val="auto"/>
        </w:rPr>
      </w:pPr>
      <w:r>
        <w:rPr>
          <w:rFonts w:ascii="Arial" w:cs="Arial" w:eastAsia="Arial" w:hAnsi="Arial"/>
          <w:sz w:val="19"/>
          <w:szCs w:val="19"/>
          <w:color w:val="auto"/>
        </w:rPr>
        <w:t>The percentages set forth in Row (11) of the cover page for each Reporting Person and elsewhere in this Schedule 13G are based on the 207,000,000 shares of Class A common stock, $0.0001 par value outstanding.</w:t>
      </w:r>
    </w:p>
    <w:p>
      <w:pPr>
        <w:spacing w:after="0" w:line="160"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See Item 2.</w:t>
      </w:r>
    </w:p>
    <w:p>
      <w:pPr>
        <w:spacing w:after="0" w:line="223" w:lineRule="exact"/>
        <w:rPr>
          <w:sz w:val="20"/>
          <w:szCs w:val="20"/>
          <w:color w:val="auto"/>
        </w:rPr>
      </w:pPr>
    </w:p>
    <w:p>
      <w:pPr>
        <w:ind w:left="1600" w:hanging="1589"/>
        <w:spacing w:after="0" w:line="267" w:lineRule="auto"/>
        <w:tabs>
          <w:tab w:leader="none" w:pos="15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ectPr>
          <w:pgSz w:w="11900" w:h="16838" w:orient="portrait"/>
          <w:cols w:equalWidth="0" w:num="1">
            <w:col w:w="11140"/>
          </w:cols>
          <w:pgMar w:left="420" w:top="679" w:right="339" w:bottom="1440" w:gutter="0" w:footer="0" w:header="0"/>
        </w:sectPr>
      </w:pPr>
    </w:p>
    <w:bookmarkStart w:id="5" w:name="page6"/>
    <w:bookmarkEnd w:id="5"/>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00"/>
        <w:spacing w:after="0" w:line="282" w:lineRule="auto"/>
        <w:rPr>
          <w:sz w:val="20"/>
          <w:szCs w:val="20"/>
          <w:color w:val="auto"/>
        </w:rPr>
      </w:pPr>
      <w:r>
        <w:rPr>
          <w:rFonts w:ascii="Arial" w:cs="Arial" w:eastAsia="Arial" w:hAnsi="Arial"/>
          <w:sz w:val="18"/>
          <w:szCs w:val="18"/>
          <w:color w:val="auto"/>
        </w:rPr>
        <w:t>By signing below each Reporting Person certifies that, to the best of its or his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20" w:top="933"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or his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16, 2021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p>
      <w:pPr>
        <w:sectPr>
          <w:pgSz w:w="11900" w:h="16838" w:orient="portrait"/>
          <w:cols w:equalWidth="0" w:num="1">
            <w:col w:w="11240"/>
          </w:cols>
          <w:pgMar w:left="320" w:top="114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JOINT FILING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DATED as of February 16, 2021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2021-02-16T05:24:13Z</dcterms:created>
  <dcterms:modified xsi:type="dcterms:W3CDTF">2021-02-16T05:24:13Z</dcterms:modified>
</cp:coreProperties>
</file>