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Dhingra Gagan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7373 GATEWAY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Lucid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LCID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of Acctng &amp; Internal Ctrl*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55,476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645,721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have been withheld by the Issuer to satisfy tax withholding and remittance obligations in connection with the settlement of performance stock units ("PSUs") for which service-based vesting requirements have been satisfied and the time-based vesting of restricted stock units ("RSUs"). The acquisition of such PSUs and RSUs has previously been reported on Forms 4 filed by the reporting person.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*Mr. Dhingra also serves as Interim Chief Financial Officer and Principal Financial Officer.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Bruce Wang, as attorney-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Gagan Dhingra</w:t>
            </w: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89939" TargetMode="External"/><Relationship Id="rId14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2024-12-09T16:08:06Z</dcterms:created>
  <dcterms:modified xsi:type="dcterms:W3CDTF">2024-12-09T16:08:06Z</dcterms:modified>
</cp:coreProperties>
</file>